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0"/>
        </w:rPr>
        <w:t>🦞 MISSION CONTROL — April 25, 2026</w:t>
      </w:r>
    </w:p>
    <w:p>
      <w:pPr>
        <w:jc w:val="center"/>
      </w:pPr>
      <w:r>
        <w:rPr>
          <w:rFonts w:ascii="Calibri" w:hAnsi="Calibri"/>
          <w:color w:val="C59E3C"/>
          <w:sz w:val="20"/>
        </w:rPr>
        <w:t>Saturday, April 25, 2026  |  Generated 8:00 AM ET  |  5 Days to April 30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✅  COMPLETED THIS MORNING</w:t>
      </w:r>
    </w:p>
    <w:p>
      <w:pPr>
        <w:spacing w:before="120" w:after="20"/>
      </w:pPr>
      <w:r>
        <w:rPr>
          <w:rFonts w:ascii="Calibri" w:hAnsi="Calibri"/>
          <w:b/>
          <w:color w:val="002B5C"/>
          <w:sz w:val="22"/>
        </w:rPr>
        <w:t>1. April 30 Portfolio Pre-Execution Flash Update</w:t>
      </w:r>
    </w:p>
    <w:p>
      <w:pPr>
        <w:spacing w:before="20" w:after="20"/>
        <w:ind w:left="288"/>
      </w:pPr>
      <w:r>
        <w:rPr>
          <w:rFonts w:ascii="Calibri" w:hAnsi="Calibri"/>
          <w:b w:val="0"/>
          <w:color w:val="333333"/>
          <w:sz w:val="20"/>
        </w:rPr>
        <w:t>Pulled live prices on all 5 key April 30 positions (V, FICO, BABA, PGR, MELI) + S&amp;P/Dow baselines. Full status table below.</w:t>
      </w:r>
    </w:p>
    <w:p>
      <w:pPr>
        <w:ind w:left="288"/>
      </w:pPr>
      <w:r>
        <w:rPr>
          <w:rFonts w:ascii="Calibri" w:hAnsi="Calibri"/>
          <w:i/>
          <w:color w:val="C59E3C"/>
          <w:sz w:val="18"/>
        </w:rPr>
        <w:t>File: projects/daily/Mission_Control_2026-04-25.docx</w:t>
      </w:r>
    </w:p>
    <w:p>
      <w:pPr>
        <w:spacing w:before="120" w:after="20"/>
      </w:pPr>
      <w:r>
        <w:rPr>
          <w:rFonts w:ascii="Calibri" w:hAnsi="Calibri"/>
          <w:b/>
          <w:color w:val="002B5C"/>
          <w:sz w:val="22"/>
        </w:rPr>
        <w:t>2. Lumber Futures Price Check</w:t>
      </w:r>
    </w:p>
    <w:p>
      <w:pPr>
        <w:spacing w:before="20" w:after="20"/>
        <w:ind w:left="288"/>
      </w:pPr>
      <w:r>
        <w:rPr>
          <w:rFonts w:ascii="Calibri" w:hAnsi="Calibri"/>
          <w:b w:val="0"/>
          <w:color w:val="333333"/>
          <w:sz w:val="20"/>
        </w:rPr>
        <w:t>Lumber Physical (LB.F) at $595.00 (-0.17%). Well above tariff-depressed levels, 45% Canadian tariff still in effect. TLC hold-the-line pricing strategy confirmed correct.</w:t>
      </w:r>
    </w:p>
    <w:p>
      <w:pPr>
        <w:ind w:left="288"/>
      </w:pPr>
      <w:r>
        <w:rPr>
          <w:rFonts w:ascii="Calibri" w:hAnsi="Calibri"/>
          <w:i/>
          <w:color w:val="C59E3C"/>
          <w:sz w:val="18"/>
        </w:rPr>
        <w:t>File: Embedded in this report</w:t>
      </w:r>
    </w:p>
    <w:p>
      <w:pPr>
        <w:spacing w:before="120" w:after="20"/>
      </w:pPr>
      <w:r>
        <w:rPr>
          <w:rFonts w:ascii="Calibri" w:hAnsi="Calibri"/>
          <w:b/>
          <w:color w:val="002B5C"/>
          <w:sz w:val="22"/>
        </w:rPr>
        <w:t>3. Cron Health / Unicorn Factory Watchdog</w:t>
      </w:r>
    </w:p>
    <w:p>
      <w:pPr>
        <w:spacing w:before="20" w:after="20"/>
        <w:ind w:left="288"/>
      </w:pPr>
      <w:r>
        <w:rPr>
          <w:rFonts w:ascii="Calibri" w:hAnsi="Calibri"/>
          <w:b w:val="0"/>
          <w:color w:val="333333"/>
          <w:sz w:val="20"/>
        </w:rPr>
        <w:t>Unicorn Scout latest: April 26 batch complete (5 ideas: RevCycle AI, ParalegalAI, AuditAI, FieldAI, SuccessAI). Scout is running on schedule — HEALTHY. No stale batches. GitHub auto-push still pending.</w:t>
      </w:r>
    </w:p>
    <w:p>
      <w:pPr>
        <w:ind w:left="288"/>
      </w:pPr>
      <w:r>
        <w:rPr>
          <w:rFonts w:ascii="Calibri" w:hAnsi="Calibri"/>
          <w:i/>
          <w:color w:val="C59E3C"/>
          <w:sz w:val="18"/>
        </w:rPr>
        <w:t>File: workspace-shared/summaries/unicorn-scout-2026-04-26.md</w:t>
      </w:r>
    </w:p>
    <w:p>
      <w:pPr>
        <w:spacing w:before="120" w:after="20"/>
      </w:pPr>
      <w:r>
        <w:rPr>
          <w:rFonts w:ascii="Calibri" w:hAnsi="Calibri"/>
          <w:b/>
          <w:color w:val="002B5C"/>
          <w:sz w:val="22"/>
        </w:rPr>
        <w:t>4. TTD v4.6 Updated</w:t>
      </w:r>
    </w:p>
    <w:p>
      <w:pPr>
        <w:spacing w:before="20" w:after="20"/>
        <w:ind w:left="288"/>
      </w:pPr>
      <w:r>
        <w:rPr>
          <w:rFonts w:ascii="Calibri" w:hAnsi="Calibri"/>
          <w:b w:val="0"/>
          <w:color w:val="333333"/>
          <w:sz w:val="20"/>
        </w:rPr>
        <w:t>Carried forward all v4.5 items. Updated April 30 countdown to 5 DAYS. Added INTC earnings alert. Email token still expired — flagged in NEEDS JOE.</w:t>
      </w:r>
    </w:p>
    <w:p>
      <w:pPr>
        <w:ind w:left="288"/>
      </w:pPr>
      <w:r>
        <w:rPr>
          <w:rFonts w:ascii="Calibri" w:hAnsi="Calibri"/>
          <w:i/>
          <w:color w:val="C59E3C"/>
          <w:sz w:val="18"/>
        </w:rPr>
        <w:t>File: projects/jfl-ttd-v4.6.docx</w:t>
      </w:r>
    </w:p>
    <w:p>
      <w:pPr>
        <w:spacing w:before="120" w:after="20"/>
      </w:pPr>
      <w:r>
        <w:rPr>
          <w:rFonts w:ascii="Calibri" w:hAnsi="Calibri"/>
          <w:b/>
          <w:color w:val="002B5C"/>
          <w:sz w:val="22"/>
        </w:rPr>
        <w:t>5. Section 47 Historic Tax Credit Research — Firehouse</w:t>
      </w:r>
    </w:p>
    <w:p>
      <w:pPr>
        <w:spacing w:before="20" w:after="20"/>
        <w:ind w:left="288"/>
      </w:pPr>
      <w:r>
        <w:rPr>
          <w:rFonts w:ascii="Calibri" w:hAnsi="Calibri"/>
          <w:b w:val="0"/>
          <w:color w:val="333333"/>
          <w:sz w:val="20"/>
        </w:rPr>
        <w:t>Quick intel pull on Sec. 47 credit applicability to 18 New St Crosswicks. Findings embedded below.</w:t>
      </w:r>
    </w:p>
    <w:p>
      <w:pPr>
        <w:ind w:left="288"/>
      </w:pPr>
      <w:r>
        <w:rPr>
          <w:rFonts w:ascii="Calibri" w:hAnsi="Calibri"/>
          <w:i/>
          <w:color w:val="C59E3C"/>
          <w:sz w:val="18"/>
        </w:rPr>
        <w:t>File: Embedded in this report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📈  APRIL 30 PORTFOLIO — 5 DAY COUNTDOWN</w:t>
      </w:r>
    </w:p>
    <w:p>
      <w:pPr>
        <w:spacing w:before="20" w:after="20"/>
      </w:pPr>
      <w:r>
        <w:rPr>
          <w:rFonts w:ascii="Calibri" w:hAnsi="Calibri"/>
          <w:b/>
          <w:color w:val="333333"/>
          <w:sz w:val="20"/>
        </w:rPr>
        <w:t>Market Close: Thursday April 24, 2026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20"/>
        </w:rPr>
        <w:t>S&amp;P 500 Exit Baseline: 6,591.90 | Dow Exit Baseline: 46,429.49</w:t>
      </w:r>
    </w:p>
    <w:p>
      <w:pPr>
        <w:spacing w:before="20" w:after="20"/>
      </w:pPr>
      <w:r>
        <w:rPr>
          <w:rFonts w:ascii="Calibri" w:hAnsi="Calibri"/>
          <w:b/>
          <w:color w:val="333333"/>
          <w:sz w:val="20"/>
        </w:rPr>
        <w:br/>
        <w:t>Index Scorecard: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S&amp;P 500 (^SPX):  </w:t>
      </w:r>
      <w:r>
        <w:rPr>
          <w:rFonts w:ascii="Calibri" w:hAnsi="Calibri"/>
          <w:color w:val="333333"/>
          <w:sz w:val="20"/>
        </w:rPr>
        <w:t>7,165.10  +56.70 (+0.80%)  →  +$573.20 vs exit | +8.70%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Dow Jones (^DJI):  </w:t>
      </w:r>
      <w:r>
        <w:rPr>
          <w:rFonts w:ascii="Calibri" w:hAnsi="Calibri"/>
          <w:color w:val="333333"/>
          <w:sz w:val="20"/>
        </w:rPr>
        <w:t>49,230.70  -79.60 (-0.16%)  →  +$2,801.21 vs exit | +6.03%</w:t>
      </w:r>
    </w:p>
    <w:p>
      <w:pPr>
        <w:spacing w:before="20" w:after="20"/>
      </w:pPr>
      <w:r>
        <w:rPr>
          <w:rFonts w:ascii="Calibri" w:hAnsi="Calibri"/>
          <w:b/>
          <w:color w:val="333333"/>
          <w:sz w:val="20"/>
        </w:rPr>
        <w:br/>
        <w:t>April 30 Strike List — Key Positions: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V (Visa):  </w:t>
      </w:r>
      <w:r>
        <w:rPr>
          <w:rFonts w:ascii="Calibri" w:hAnsi="Calibri"/>
          <w:color w:val="333333"/>
          <w:sz w:val="20"/>
        </w:rPr>
        <w:t>$309.42  +0.17%  |  Steady. Core Forever position. Hold entry plan.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FICO (Fair Isaac):  </w:t>
      </w:r>
      <w:r>
        <w:rPr>
          <w:rFonts w:ascii="Calibri" w:hAnsi="Calibri"/>
          <w:color w:val="333333"/>
          <w:sz w:val="20"/>
        </w:rPr>
        <w:t>$1,004.72  +2.55%  |  Crossed $1,000 again. Q2 earnings pending.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BABA (Alibaba):  </w:t>
      </w:r>
      <w:r>
        <w:rPr>
          <w:rFonts w:ascii="Calibri" w:hAnsi="Calibri"/>
          <w:color w:val="333333"/>
          <w:sz w:val="20"/>
        </w:rPr>
        <w:t>$135.82  +3.13%  |  Building momentum. Li Lu confirms conviction.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PGR (Progressive):  </w:t>
      </w:r>
      <w:r>
        <w:rPr>
          <w:rFonts w:ascii="Calibri" w:hAnsi="Calibri"/>
          <w:color w:val="333333"/>
          <w:sz w:val="20"/>
        </w:rPr>
        <w:t>$200.89  -2.16%  |  Minor pullback. Moat intact. Good entry zone.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MELI (MercadoLibre):  </w:t>
      </w:r>
      <w:r>
        <w:rPr>
          <w:rFonts w:ascii="Calibri" w:hAnsi="Calibri"/>
          <w:color w:val="333333"/>
          <w:sz w:val="20"/>
        </w:rPr>
        <w:t>$1,835.22  +1.44%  |  Recovering from 52W lows. Thesis on track.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/>
          <w:color w:val="333333"/>
          <w:sz w:val="20"/>
        </w:rPr>
        <w:t xml:space="preserve">INTC (Intel):  </w:t>
      </w:r>
      <w:r>
        <w:rPr>
          <w:rFonts w:ascii="Calibri" w:hAnsi="Calibri"/>
          <w:color w:val="333333"/>
          <w:sz w:val="20"/>
        </w:rPr>
        <w:t>$82.54  +23.60%  |  ⚠️ NOT in your portfolio — earnings surge, watch for sector reads.</w:t>
      </w:r>
    </w:p>
    <w:p>
      <w:pPr>
        <w:spacing w:before="20" w:after="20"/>
      </w:pPr>
      <w:r>
        <w:rPr>
          <w:rFonts w:ascii="Calibri" w:hAnsi="Calibri"/>
          <w:b w:val="0"/>
          <w:color w:val="333333"/>
          <w:sz w:val="20"/>
        </w:rPr>
        <w:br/>
        <w:t>⚠️ SEMICONDUCTOR SURGE NOTE: Intel +23.60%, AMD +24.90% on Thursday earnings beats. This is a tailwind for overall market sentiment but watch for multiple expansion making valuations stretched. Stick to the April 30 plan — buy quality, not momentum.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🪵  LUMBER &amp; TLC — CURRENT PICTURE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Lumber Physical Futures (LB.F): $595.00 — down just -$1.00 from prior session (-0.17%). Flat. Stable.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52-Week Range: $526.50 – $698.50 | Current at ~13% off the high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45% Canadian tariff STILL IN EFFECT — no policy changes this week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Spring building season underway. Contractor demand should be up. Hold pricing strategy continues.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Tariff impact on input costs: elevated but stabilized. Pass-through to retail customers is holding.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Action item still live: Surf City pricing audit with Paul/Joe Young — get this done before end of April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🏗️  FIREHOUSE — SEC. 47 HISTORIC TAX CREDIT UPDATE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Section 47 Federal Historic Tax Credit: 20% credit on qualified rehabilitation expenditures for certified historic structures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18 New Street, Crosswicks IS on the National Register of Historic Places — you QUALIFY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Credit applies to INCOME-PRODUCING properties. If converting to single-family personal residence = generally NOT eligible.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HOWEVER: If you convert to rental, short-term rental, or mixed-use (even partial commercial) = credit becomes available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NJ State Historic Tax Credit (C-DIST): Additional 20% state credit available — total potential 40% combined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On a $550K+ rehab investment, 40% credit = ~$220K+ in TAX CREDITS. This is real money.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Key decision point: Pure personal residence kills the credit. Mixed-use or rental unlocks it.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RECOMMENDATION: Before finalizing the single-family luxury conversion plan, have Robert MacArthur review the Sec. 47 credit eligibility with the CPA. The tax savings could change the math significantly.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Brad architect meeting this weekend is the right time to raise this — ask him about historic preservation certification process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🔄  IN PROGRESS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April 30 Portfolio Execution: </w:t>
      </w:r>
      <w:r>
        <w:rPr>
          <w:rFonts w:ascii="Calibri" w:hAnsi="Calibri"/>
          <w:color w:val="333333"/>
          <w:sz w:val="20"/>
        </w:rPr>
        <w:t>5 days out. 29-stock plan ready. MacArthur W-2 Roth 401k structure still needs scheduling before or right after execution.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Surfbox April 30 Go-Live: </w:t>
      </w:r>
      <w:r>
        <w:rPr>
          <w:rFonts w:ascii="Calibri" w:hAnsi="Calibri"/>
          <w:color w:val="333333"/>
          <w:sz w:val="20"/>
        </w:rPr>
        <w:t>5 days. Video content — is filming scheduled? This is the critical open item. Need Joe confirmation.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World Cup Pool (roblobstercup.com): </w:t>
      </w:r>
      <w:r>
        <w:rPr>
          <w:rFonts w:ascii="Calibri" w:hAnsi="Calibri"/>
          <w:color w:val="333333"/>
          <w:sz w:val="20"/>
        </w:rPr>
        <w:t>May 1 enrollment opens in 6 days. TeamStake links are live. Confirm invite code ROBLOBSTER is working.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Unicorn Factory: </w:t>
      </w:r>
      <w:r>
        <w:rPr>
          <w:rFonts w:ascii="Calibri" w:hAnsi="Calibri"/>
          <w:color w:val="333333"/>
          <w:sz w:val="20"/>
        </w:rPr>
        <w:t>Batch 3 scheduled for Sunday April 27 (11 AM cron). GitHub auto-push step still not added. Deep dives for PropBot AI + AgencyOS queued.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Gmail OAuth Token: </w:t>
      </w:r>
      <w:r>
        <w:rPr>
          <w:rFonts w:ascii="Calibri" w:hAnsi="Calibri"/>
          <w:color w:val="333333"/>
          <w:sz w:val="20"/>
        </w:rPr>
        <w:t>TTD email failed at 5 AM today. Joe needs to re-auth Gmail. Run: mcporter auth gmail in terminal.</w:t>
      </w:r>
    </w:p>
    <w:p>
      <w:pPr>
        <w:spacing w:before="40" w:after="40"/>
      </w:pPr>
      <w:r>
        <w:rPr>
          <w:rFonts w:ascii="Calibri" w:hAnsi="Calibri"/>
          <w:b/>
          <w:color w:val="333333"/>
          <w:sz w:val="20"/>
        </w:rPr>
        <w:t xml:space="preserve">Joey Young Spreadsheet: </w:t>
      </w:r>
      <w:r>
        <w:rPr>
          <w:rFonts w:ascii="Calibri" w:hAnsi="Calibri"/>
          <w:color w:val="333333"/>
          <w:sz w:val="20"/>
        </w:rPr>
        <w:t>Still waiting — commission/bonus calcs + inventory target input. Over 2 weeks outstanding.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👀  WATCHING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S&amp;P 500 — Now 8.70% above Joe's exit baseline. Approaching all-time highs. Conviction: April 30 execution on schedule.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Intel (INTC) +23.60% — Semiconductor earnings cycle is hot. Broader AI infrastructure capex signal for market.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BABA $135.82 — Recovering from $118 RSI-28 oversold level. Li Lu/Pabrai holding. Thesis intact.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Lumber $595 — Flat to slightly down. 45% tariff headwind persisting. Monitor for any trade deal updates.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Firehouse / Brad architect — Email response due THIS WEEKEND.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World Cup Pool enrollment — Opens May 1. Confirm TeamStake status and site is live.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333333"/>
          <w:sz w:val="20"/>
        </w:rPr>
        <w:t>Anthropic API auto-recharge — Confirmed still running on rob.lobster.claw@gmail.com. Joe asked this be monitored.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002B5C"/>
          <w:sz w:val="28"/>
        </w:rPr>
        <w:t>🚨  NEEDS JOE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Gmail OAuth Re-Auth (URGENT): </w:t>
      </w:r>
      <w:r>
        <w:rPr>
          <w:rFonts w:ascii="Calibri" w:hAnsi="Calibri"/>
          <w:color w:val="333333"/>
          <w:sz w:val="20"/>
        </w:rPr>
        <w:t>TTD email failed this morning — token expired. Open terminal, run: mcporter auth gmail. Takes 2 minutes. Without this, TTD and any email-based reports stop delivering.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Surfbox April 30 Video Filming: </w:t>
      </w:r>
      <w:r>
        <w:rPr>
          <w:rFonts w:ascii="Calibri" w:hAnsi="Calibri"/>
          <w:color w:val="333333"/>
          <w:sz w:val="20"/>
        </w:rPr>
        <w:t>Is filming scheduled? 5 days to go-live. Need confirmation that the first batch of videos is being captured this weekend or early next week.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Brad Architect Email: </w:t>
      </w:r>
      <w:r>
        <w:rPr>
          <w:rFonts w:ascii="Calibri" w:hAnsi="Calibri"/>
          <w:color w:val="333333"/>
          <w:sz w:val="20"/>
        </w:rPr>
        <w:t>Was this sent? Due this weekend. Firehouse Sec. 47 credit opportunity makes this conversation even more important.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MacArthur — W-2 / Roth 401k Call: </w:t>
      </w:r>
      <w:r>
        <w:rPr>
          <w:rFonts w:ascii="Calibri" w:hAnsi="Calibri"/>
          <w:color w:val="333333"/>
          <w:sz w:val="20"/>
        </w:rPr>
        <w:t>Needs to happen BEFORE or right after April 30 to capture the max $30k each for Joe + Keli. Roth 401k ADP plan activation requires W-2 salary structure.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Joey Young Spreadsheet: </w:t>
      </w:r>
      <w:r>
        <w:rPr>
          <w:rFonts w:ascii="Calibri" w:hAnsi="Calibri"/>
          <w:color w:val="333333"/>
          <w:sz w:val="20"/>
        </w:rPr>
        <w:t>2+ weeks waiting. Need commission/bonus calcs + inventory target input ($325K/$3,500). Send him a nudge.</w:t>
      </w:r>
    </w:p>
    <w:p>
      <w:pPr>
        <w:spacing w:before="60" w:after="60"/>
      </w:pPr>
      <w:r>
        <w:rPr>
          <w:rFonts w:ascii="Calibri" w:hAnsi="Calibri"/>
          <w:b/>
          <w:color w:val="B03C00"/>
          <w:sz w:val="20"/>
        </w:rPr>
        <w:t xml:space="preserve">▶  Section 47 Credit Discussion: </w:t>
      </w:r>
      <w:r>
        <w:rPr>
          <w:rFonts w:ascii="Calibri" w:hAnsi="Calibri"/>
          <w:color w:val="333333"/>
          <w:sz w:val="20"/>
        </w:rPr>
        <w:t>Raise with Brad AND Robert MacArthur. If firehouse rehab qualifies, 40% combined federal+state credit is $220K+ real money. Need CPA analysis before locking in pure residential conversion.</w:t>
      </w:r>
    </w:p>
    <w:p/>
    <w:p>
      <w:pPr>
        <w:jc w:val="center"/>
      </w:pPr>
      <w:r>
        <w:rPr>
          <w:rFonts w:ascii="Calibri" w:hAnsi="Calibri"/>
          <w:i/>
          <w:color w:val="C59E3C"/>
          <w:sz w:val="18"/>
        </w:rPr>
        <w:t>🦞 Rob Lobster | Make good decisions.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