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center"/>
      </w:pPr>
      <w:r>
        <w:rPr>
          <w:rFonts w:ascii="Calibri" w:hAnsi="Calibri"/>
          <w:b/>
          <w:sz w:val="20"/>
        </w:rPr>
        <w:t>JFL TTD v3.1  |  Friday, April 17, 2026  |  Last Updated: 6:00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GMAIL OAUTH EXPIRED — re-auth NOW or reports keep failing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April 30 portfolio execution — 13 DAYS AWAY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Surfbox social media go-live — April 30, video still NOT filmed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Lobster Press: Buffer acct + forwarding rule (Joe action)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ReBolt provisional patent — go/no-go decision needed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Surfbox: Assign video filmmaker NOW — 13 days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Surfbox: Google Ads account ($1K/mo) — setup before Apr 30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Joey Young spreadsheet — WAITING (commission + inventory)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Epicor Min/Max system — Edwin + Joey leading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Surf City margin audit in Epicor (Paul)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OBX pipeline — zero new rentals Jan-Feb, investigate</w:t>
            </w:r>
          </w:p>
        </w:tc>
      </w:tr>
      <w:tr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PMK invoice $13,750 — pay from JLKL TD Bank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Schedule Mike the plumber (Code Official walk-through)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HVAC: finalize contractor (furnace + heat pump)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Phil Reed: Certificate of Compliance + $150 fee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Historic tax credit (National Register) — CPA review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APRIL 30 — Execution Day, 13 days, 29 stocks ready</w:t>
            </w:r>
          </w:p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Stagger deployment — 3 tranches over 3 days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Roth 401k: Move to W-2 salary (MacArthur coordinate)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BABA position: size carefully (Tepper/Burry/Spier hold)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Q1 2026 13F filings due May 15 — monitor</w:t>
            </w:r>
          </w:p>
        </w:tc>
      </w:tr>
      <w:tr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040"/>
            <w:shd w:val="clear" w:color="auto" w:fill="B03C00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/>
                <w:color w:val="CC0000"/>
                <w:sz w:val="16"/>
              </w:rPr>
              <w:t>▶  TEXT TOMMY — did Gio cut $225 check?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Call Jersey Appliance — 609-918-1830 (Thermador hood)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Key rings — WAITING ON LJ (5 rings organized)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Jules: summer waitressing job plan — talk to her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Bella: set up her OpenClaw + AI education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Rob Lobster voice clone — talk to Renee first</w:t>
            </w:r>
          </w:p>
        </w:tc>
        <w:tc>
          <w:tcPr>
            <w:tcW w:type="dxa" w:w="504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ReBolt: provisional patent filing ($12-23K budget)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Lobster Press: Buffer + handles + logos (Joe action)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Corner Market 275 W 9th — deal next step?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Colorant industry re-entry — timing decision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T1D App: Dexcom-Oura integration (90-day build)</w:t>
            </w:r>
          </w:p>
          <w:p>
            <w:pPr>
              <w:spacing w:before="10" w:after="10"/>
            </w:pPr>
            <w:r>
              <w:rPr>
                <w:rFonts w:ascii="Calibri" w:hAnsi="Calibri"/>
                <w:b w:val="0"/>
                <w:sz w:val="16"/>
              </w:rPr>
              <w:t>☐  ElevenLabs voice setup + voice plugin on Mac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