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0"/>
        </w:rPr>
        <w:t>JFL TTD v3.6  |  Tuesday, April 21, 2026  |  Last Updated: 8:00 AM ET  |  ▶ urgent  ☐ pending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837"/>
        <w:gridCol w:w="5837"/>
      </w:tblGrid>
      <w:tr>
        <w:tc>
          <w:tcPr>
            <w:tcW w:type="dxa" w:w="5616"/>
            <w:vAlign w:val="top"/>
            <w:tcBorders>
              <w:left w:val="single" w:sz="6" w:color="333333"/>
              <w:top w:val="single" w:sz="6" w:color="333333"/>
              <w:right w:val="single" w:sz="6" w:color="333333"/>
              <w:bottom w:val="single" w:sz="6" w:color="333333"/>
            </w:tcBorders>
            <w:shd w:fill="B03C0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🔥  ON FIRE THIS WEEK</w:t>
            </w:r>
          </w:p>
        </w:tc>
        <w:tc>
          <w:tcPr>
            <w:tcW w:type="dxa" w:w="5616"/>
            <w:vAlign w:val="top"/>
            <w:tcBorders>
              <w:left w:val="single" w:sz="6" w:color="333333"/>
              <w:top w:val="single" w:sz="6" w:color="333333"/>
              <w:right w:val="single" w:sz="6" w:color="333333"/>
              <w:bottom w:val="single" w:sz="6" w:color="333333"/>
            </w:tcBorders>
            <w:shd w:fill="B03C0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🪵  TLC / SURFBOX</w:t>
            </w:r>
          </w:p>
        </w:tc>
      </w:tr>
      <w:tr>
        <w:tc>
          <w:tcPr>
            <w:tcW w:type="dxa" w:w="5616"/>
            <w:vAlign w:val="top"/>
            <w:tcBorders>
              <w:left w:val="single" w:sz="6" w:color="333333"/>
              <w:top w:val="single" w:sz="6" w:color="333333"/>
              <w:right w:val="single" w:sz="6" w:color="333333"/>
              <w:bottom w:val="single" w:sz="6" w:color="333333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6"/>
              </w:rPr>
              <w:t>▶  April 30 portfolio execution — 9 DAYS AWAY</w:t>
            </w:r>
          </w:p>
          <w:p>
            <w:pPr>
              <w:spacing w:before="0" w:after="0"/>
            </w:pPr>
            <w:r>
              <w:rPr>
                <w:rFonts w:ascii="Calibri" w:hAnsi="Calibri"/>
                <w:sz w:val="16"/>
              </w:rPr>
              <w:t>☐  Lobster Press: Buffer acct + forwarding rule (Joe action)</w:t>
            </w:r>
          </w:p>
          <w:p>
            <w:pPr>
              <w:spacing w:before="0" w:after="0"/>
            </w:pPr>
            <w:r>
              <w:rPr>
                <w:rFonts w:ascii="Calibri" w:hAnsi="Calibri"/>
                <w:sz w:val="16"/>
              </w:rPr>
              <w:t>☐  ReBolt provisional patent — go/no-go decision needed</w:t>
            </w:r>
          </w:p>
          <w:p>
            <w:pPr>
              <w:spacing w:before="0" w:after="0"/>
            </w:pPr>
            <w:r>
              <w:rPr>
                <w:rFonts w:ascii="Calibri" w:hAnsi="Calibri"/>
                <w:sz w:val="16"/>
              </w:rPr>
              <w:t>☐  Unicorn Scout findings ready — review AI biz ideas</w:t>
            </w:r>
          </w:p>
          <w:p>
            <w:pPr>
              <w:spacing w:before="0" w:after="0"/>
            </w:pPr>
            <w:r>
              <w:rPr>
                <w:rFonts w:ascii="Calibri" w:hAnsi="Calibri"/>
                <w:sz w:val="16"/>
              </w:rPr>
              <w:t>☐  Morning Joe’s Rundown / Mission Control delivered</w:t>
            </w:r>
          </w:p>
        </w:tc>
        <w:tc>
          <w:tcPr>
            <w:tcW w:type="dxa" w:w="5616"/>
            <w:vAlign w:val="top"/>
            <w:tcBorders>
              <w:left w:val="single" w:sz="6" w:color="333333"/>
              <w:top w:val="single" w:sz="6" w:color="333333"/>
              <w:right w:val="single" w:sz="6" w:color="333333"/>
              <w:bottom w:val="single" w:sz="6" w:color="333333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6"/>
              </w:rPr>
              <w:t>▶  Surfbox: Assign video filmmaker NOW — 9 days to Apr 30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16"/>
              </w:rPr>
              <w:t>▶  Surfbox: Google Ads account ($1K/mo) — setup before Apr 30</w:t>
            </w:r>
          </w:p>
          <w:p>
            <w:pPr>
              <w:spacing w:before="0" w:after="0"/>
            </w:pPr>
            <w:r>
              <w:rPr>
                <w:rFonts w:ascii="Calibri" w:hAnsi="Calibri"/>
                <w:sz w:val="16"/>
              </w:rPr>
              <w:t>☐  Joey Young spreadsheet — WAITING (commission + inventory)</w:t>
            </w:r>
          </w:p>
          <w:p>
            <w:pPr>
              <w:spacing w:before="0" w:after="0"/>
            </w:pPr>
            <w:r>
              <w:rPr>
                <w:rFonts w:ascii="Calibri" w:hAnsi="Calibri"/>
                <w:sz w:val="16"/>
              </w:rPr>
              <w:t>☐  Epicor Min/Max system — Edwin + Joey leading</w:t>
            </w:r>
          </w:p>
          <w:p>
            <w:pPr>
              <w:spacing w:before="0" w:after="0"/>
            </w:pPr>
            <w:r>
              <w:rPr>
                <w:rFonts w:ascii="Calibri" w:hAnsi="Calibri"/>
                <w:sz w:val="16"/>
              </w:rPr>
              <w:t>☐  Surf City margin audit in Epicor (Paul)</w:t>
            </w:r>
          </w:p>
          <w:p>
            <w:pPr>
              <w:spacing w:before="0" w:after="0"/>
            </w:pPr>
            <w:r>
              <w:rPr>
                <w:rFonts w:ascii="Calibri" w:hAnsi="Calibri"/>
                <w:sz w:val="16"/>
              </w:rPr>
              <w:t>☐  OBX pipeline — zero new rentals Jan-Feb, investigate</w:t>
            </w:r>
          </w:p>
        </w:tc>
      </w:tr>
      <w:tr>
        <w:tc>
          <w:tcPr>
            <w:tcW w:type="dxa" w:w="5616"/>
            <w:vAlign w:val="top"/>
            <w:tcBorders>
              <w:left w:val="single" w:sz="6" w:color="333333"/>
              <w:top w:val="single" w:sz="6" w:color="333333"/>
              <w:right w:val="single" w:sz="6" w:color="333333"/>
              <w:bottom w:val="single" w:sz="6" w:color="333333"/>
            </w:tcBorders>
            <w:shd w:fill="B03C0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🏗️  FIREHOUSE — 18 New St</w:t>
            </w:r>
          </w:p>
        </w:tc>
        <w:tc>
          <w:tcPr>
            <w:tcW w:type="dxa" w:w="5616"/>
            <w:vAlign w:val="top"/>
            <w:tcBorders>
              <w:left w:val="single" w:sz="6" w:color="333333"/>
              <w:top w:val="single" w:sz="6" w:color="333333"/>
              <w:right w:val="single" w:sz="6" w:color="333333"/>
              <w:bottom w:val="single" w:sz="6" w:color="333333"/>
            </w:tcBorders>
            <w:shd w:fill="B03C0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💰  INVESTING — JFL&amp;KL FUND</w:t>
            </w:r>
          </w:p>
        </w:tc>
      </w:tr>
      <w:tr>
        <w:tc>
          <w:tcPr>
            <w:tcW w:type="dxa" w:w="5616"/>
            <w:vAlign w:val="top"/>
            <w:tcBorders>
              <w:left w:val="single" w:sz="6" w:color="333333"/>
              <w:top w:val="single" w:sz="6" w:color="333333"/>
              <w:right w:val="single" w:sz="6" w:color="333333"/>
              <w:bottom w:val="single" w:sz="6" w:color="333333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6"/>
              </w:rPr>
              <w:t>▶  PMK invoice $13,750 — pay from JLKL TD Bank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16"/>
              </w:rPr>
              <w:t>▶  Schedule Mike the plumber (Code Official walk-through)</w:t>
            </w:r>
          </w:p>
          <w:p>
            <w:pPr>
              <w:spacing w:before="0" w:after="0"/>
            </w:pPr>
            <w:r>
              <w:rPr>
                <w:rFonts w:ascii="Calibri" w:hAnsi="Calibri"/>
                <w:sz w:val="16"/>
              </w:rPr>
              <w:t>☐  HVAC: finalize contractor (furnace + heat pump)</w:t>
            </w:r>
          </w:p>
          <w:p>
            <w:pPr>
              <w:spacing w:before="0" w:after="0"/>
            </w:pPr>
            <w:r>
              <w:rPr>
                <w:rFonts w:ascii="Calibri" w:hAnsi="Calibri"/>
                <w:sz w:val="16"/>
              </w:rPr>
              <w:t>☐  Phil Reed: Certificate of Compliance + $150 fee</w:t>
            </w:r>
          </w:p>
          <w:p>
            <w:pPr>
              <w:spacing w:before="0" w:after="0"/>
            </w:pPr>
            <w:r>
              <w:rPr>
                <w:rFonts w:ascii="Calibri" w:hAnsi="Calibri"/>
                <w:sz w:val="16"/>
              </w:rPr>
              <w:t>☐  Historic tax credit (National Register) — CPA review</w:t>
            </w:r>
          </w:p>
        </w:tc>
        <w:tc>
          <w:tcPr>
            <w:tcW w:type="dxa" w:w="5616"/>
            <w:vAlign w:val="top"/>
            <w:tcBorders>
              <w:left w:val="single" w:sz="6" w:color="333333"/>
              <w:top w:val="single" w:sz="6" w:color="333333"/>
              <w:right w:val="single" w:sz="6" w:color="333333"/>
              <w:bottom w:val="single" w:sz="6" w:color="333333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6"/>
              </w:rPr>
              <w:t>▶  APRIL 30 — Execution Day, 9 DAYS, 29 stocks ready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16"/>
              </w:rPr>
              <w:t>▶  Stagger deployment — 3 tranches over 3 days</w:t>
            </w:r>
          </w:p>
          <w:p>
            <w:pPr>
              <w:spacing w:before="0" w:after="0"/>
            </w:pPr>
            <w:r>
              <w:rPr>
                <w:rFonts w:ascii="Calibri" w:hAnsi="Calibri"/>
                <w:sz w:val="16"/>
              </w:rPr>
              <w:t>☐  Schwab: assets transferred out Apr 17 — verify receipt</w:t>
            </w:r>
          </w:p>
          <w:p>
            <w:pPr>
              <w:spacing w:before="0" w:after="0"/>
            </w:pPr>
            <w:r>
              <w:rPr>
                <w:rFonts w:ascii="Calibri" w:hAnsi="Calibri"/>
                <w:sz w:val="16"/>
              </w:rPr>
              <w:t>☐  Roth 401k: Move to W-2 salary (MacArthur coordinate)</w:t>
            </w:r>
          </w:p>
          <w:p>
            <w:pPr>
              <w:spacing w:before="0" w:after="0"/>
            </w:pPr>
            <w:r>
              <w:rPr>
                <w:rFonts w:ascii="Calibri" w:hAnsi="Calibri"/>
                <w:sz w:val="16"/>
              </w:rPr>
              <w:t>☐  BABA position: size carefully (Tepper/Burry/Spier hold)</w:t>
            </w:r>
          </w:p>
          <w:p>
            <w:pPr>
              <w:spacing w:before="0" w:after="0"/>
            </w:pPr>
            <w:r>
              <w:rPr>
                <w:rFonts w:ascii="Calibri" w:hAnsi="Calibri"/>
                <w:sz w:val="16"/>
              </w:rPr>
              <w:t>☐  Q1 2026 13F filings due May 15 — monitor</w:t>
            </w:r>
          </w:p>
        </w:tc>
      </w:tr>
      <w:tr>
        <w:tc>
          <w:tcPr>
            <w:tcW w:type="dxa" w:w="5616"/>
            <w:vAlign w:val="top"/>
            <w:tcBorders>
              <w:left w:val="single" w:sz="6" w:color="333333"/>
              <w:top w:val="single" w:sz="6" w:color="333333"/>
              <w:right w:val="single" w:sz="6" w:color="333333"/>
              <w:bottom w:val="single" w:sz="6" w:color="333333"/>
            </w:tcBorders>
            <w:shd w:fill="B03C0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🏠  FAMILY / PERSONAL</w:t>
            </w:r>
          </w:p>
        </w:tc>
        <w:tc>
          <w:tcPr>
            <w:tcW w:type="dxa" w:w="5616"/>
            <w:vAlign w:val="top"/>
            <w:tcBorders>
              <w:left w:val="single" w:sz="6" w:color="333333"/>
              <w:top w:val="single" w:sz="6" w:color="333333"/>
              <w:right w:val="single" w:sz="6" w:color="333333"/>
              <w:bottom w:val="single" w:sz="6" w:color="333333"/>
            </w:tcBorders>
            <w:shd w:fill="B03C0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🚀  PROJECTS / VENTURES</w:t>
            </w:r>
          </w:p>
        </w:tc>
      </w:tr>
      <w:tr>
        <w:tc>
          <w:tcPr>
            <w:tcW w:type="dxa" w:w="5616"/>
            <w:vAlign w:val="top"/>
            <w:tcBorders>
              <w:left w:val="single" w:sz="6" w:color="333333"/>
              <w:top w:val="single" w:sz="6" w:color="333333"/>
              <w:right w:val="single" w:sz="6" w:color="333333"/>
              <w:bottom w:val="single" w:sz="6" w:color="333333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6"/>
              </w:rPr>
              <w:t>▶  TEXT TOMMY — did Gio cut $225 check?</w:t>
            </w:r>
          </w:p>
          <w:p>
            <w:pPr>
              <w:spacing w:before="0" w:after="0"/>
            </w:pPr>
            <w:r>
              <w:rPr>
                <w:rFonts w:ascii="Calibri" w:hAnsi="Calibri"/>
                <w:sz w:val="16"/>
              </w:rPr>
              <w:t>☐  Call Jersey Appliance — 609-918-1830 (Thermador hood)</w:t>
            </w:r>
          </w:p>
          <w:p>
            <w:pPr>
              <w:spacing w:before="0" w:after="0"/>
            </w:pPr>
            <w:r>
              <w:rPr>
                <w:rFonts w:ascii="Calibri" w:hAnsi="Calibri"/>
                <w:sz w:val="16"/>
              </w:rPr>
              <w:t>☐  Key rings — WAITING ON LJ (5 rings organized)</w:t>
            </w:r>
          </w:p>
          <w:p>
            <w:pPr>
              <w:spacing w:before="0" w:after="0"/>
            </w:pPr>
            <w:r>
              <w:rPr>
                <w:rFonts w:ascii="Calibri" w:hAnsi="Calibri"/>
                <w:sz w:val="16"/>
              </w:rPr>
              <w:t>☐  Jules: summer waitressing job plan — talk to her</w:t>
            </w:r>
          </w:p>
          <w:p>
            <w:pPr>
              <w:spacing w:before="0" w:after="0"/>
            </w:pPr>
            <w:r>
              <w:rPr>
                <w:rFonts w:ascii="Calibri" w:hAnsi="Calibri"/>
                <w:sz w:val="16"/>
              </w:rPr>
              <w:t>☐  Bella: set up her OpenClaw + AI education</w:t>
            </w:r>
          </w:p>
          <w:p>
            <w:pPr>
              <w:spacing w:before="0" w:after="0"/>
            </w:pPr>
            <w:r>
              <w:rPr>
                <w:rFonts w:ascii="Calibri" w:hAnsi="Calibri"/>
                <w:sz w:val="16"/>
              </w:rPr>
              <w:t>☐  Rob Lobster voice clone — talk to Renee first</w:t>
            </w:r>
          </w:p>
        </w:tc>
        <w:tc>
          <w:tcPr>
            <w:tcW w:type="dxa" w:w="5616"/>
            <w:vAlign w:val="top"/>
            <w:tcBorders>
              <w:left w:val="single" w:sz="6" w:color="333333"/>
              <w:top w:val="single" w:sz="6" w:color="333333"/>
              <w:right w:val="single" w:sz="6" w:color="333333"/>
              <w:bottom w:val="single" w:sz="6" w:color="333333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sz w:val="16"/>
              </w:rPr>
              <w:t>☐  ReBolt: provisional patent filing ($12-23K budget)</w:t>
            </w:r>
          </w:p>
          <w:p>
            <w:pPr>
              <w:spacing w:before="0" w:after="0"/>
            </w:pPr>
            <w:r>
              <w:rPr>
                <w:rFonts w:ascii="Calibri" w:hAnsi="Calibri"/>
                <w:sz w:val="16"/>
              </w:rPr>
              <w:t>☐  Lobster Press: Buffer + handles + logos (Joe action)</w:t>
            </w:r>
          </w:p>
          <w:p>
            <w:pPr>
              <w:spacing w:before="0" w:after="0"/>
            </w:pPr>
            <w:r>
              <w:rPr>
                <w:rFonts w:ascii="Calibri" w:hAnsi="Calibri"/>
                <w:sz w:val="16"/>
              </w:rPr>
              <w:t>☐  Corner Market 275 W 9th — deal next step?</w:t>
            </w:r>
          </w:p>
          <w:p>
            <w:pPr>
              <w:spacing w:before="0" w:after="0"/>
            </w:pPr>
            <w:r>
              <w:rPr>
                <w:rFonts w:ascii="Calibri" w:hAnsi="Calibri"/>
                <w:sz w:val="16"/>
              </w:rPr>
              <w:t>☐  Colorant industry re-entry — timing decision</w:t>
            </w:r>
          </w:p>
          <w:p>
            <w:pPr>
              <w:spacing w:before="0" w:after="0"/>
            </w:pPr>
            <w:r>
              <w:rPr>
                <w:rFonts w:ascii="Calibri" w:hAnsi="Calibri"/>
                <w:sz w:val="16"/>
              </w:rPr>
              <w:t>☐  T1D App: Dexcom-Oura integration (90-day build)</w:t>
            </w:r>
          </w:p>
          <w:p>
            <w:pPr>
              <w:spacing w:before="0" w:after="0"/>
            </w:pPr>
            <w:r>
              <w:rPr>
                <w:rFonts w:ascii="Calibri" w:hAnsi="Calibri"/>
                <w:sz w:val="16"/>
              </w:rPr>
              <w:t>☐  ElevenLabs voice setup + voice plugin on Mac</w:t>
            </w:r>
          </w:p>
        </w:tc>
      </w:tr>
    </w:tbl>
    <w:sectPr w:rsidR="00FC693F" w:rsidRPr="0006063C" w:rsidSect="00034616">
      <w:pgSz w:w="12240" w:h="15840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