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Style w:val="TableGrid"/>
        <w:tblW w:type="auto" w:w="0"/>
        <w:tblLook w:firstColumn="1" w:firstRow="1" w:lastColumn="0" w:lastRow="0" w:noHBand="0" w:noVBand="1" w:val="04A0"/>
      </w:tblPr>
      <w:tblGrid>
        <w:gridCol w:w="8640"/>
      </w:tblGrid>
      <w:tr>
        <w:tc>
          <w:tcPr>
            <w:tcW w:type="dxa" w:w="8640"/>
            <w:shd w:fill="1B3A5C" w:val="clear"/>
          </w:tcPr>
          <w:p>
            <w:pPr>
              <w:jc w:val="center"/>
            </w:pPr>
            <w:r>
              <w:rPr>
                <w:rFonts w:ascii="Calibri" w:hAnsi="Calibri"/>
                <w:b/>
                <w:color w:val="FFFFFF"/>
                <w:sz w:val="48"/>
              </w:rPr>
              <w:t>THE AGI INVESTMENT THESIS</w:t>
            </w:r>
          </w:p>
        </w:tc>
      </w:tr>
      <w:tr>
        <w:tc>
          <w:tcPr>
            <w:tcW w:type="dxa" w:w="8640"/>
            <w:shd w:fill="E89A1A" w:val="clear"/>
          </w:tcPr>
          <w:p>
            <w:pPr>
              <w:jc w:val="center"/>
            </w:pPr>
            <w:r>
              <w:rPr>
                <w:rFonts w:ascii="Calibri" w:hAnsi="Calibri"/>
                <w:b/>
                <w:color w:val="FFFFFF"/>
                <w:sz w:val="26"/>
              </w:rPr>
              <w:t>Who Captures the Trillion-Dollar Value From Frontier AI Models?</w:t>
            </w:r>
          </w:p>
        </w:tc>
      </w:tr>
    </w:tbl>
    <w:p/>
    <w:p>
      <w:pPr>
        <w:jc w:val="center"/>
      </w:pPr>
      <w:r>
        <w:rPr>
          <w:rFonts w:ascii="Calibri" w:hAnsi="Calibri"/>
          <w:color w:val="333333"/>
          <w:sz w:val="26"/>
        </w:rPr>
        <w:t>A Research Paper for Joe Lynch  |  April 2026</w:t>
      </w:r>
    </w:p>
    <w:p>
      <w:pPr>
        <w:jc w:val="center"/>
      </w:pPr>
      <w:r>
        <w:rPr>
          <w:rFonts w:ascii="Calibri" w:hAnsi="Calibri"/>
          <w:i/>
          <w:color w:val="333333"/>
          <w:sz w:val="22"/>
        </w:rPr>
        <w:t>Prepared by Rob Lobster 🦞  |  Chief of Staff</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B3A5C" w:val="clear"/>
          </w:tcPr>
          <w:p>
            <w:pPr>
              <w:jc w:val="center"/>
            </w:pPr>
            <w:r>
              <w:rPr>
                <w:rFonts w:ascii="Calibri" w:hAnsi="Calibri"/>
                <w:b/>
                <w:color w:val="FFFFFF"/>
                <w:sz w:val="36"/>
              </w:rPr>
              <w:t>6</w:t>
              <w:br/>
            </w:r>
            <w:r>
              <w:rPr>
                <w:rFonts w:ascii="Calibri" w:hAnsi="Calibri"/>
                <w:color w:val="FFFFFF"/>
                <w:sz w:val="18"/>
              </w:rPr>
              <w:t>Frontier AI</w:t>
              <w:br/>
              <w:t>Companies Analyzed</w:t>
            </w:r>
          </w:p>
        </w:tc>
        <w:tc>
          <w:tcPr>
            <w:tcW w:type="dxa" w:w="2160"/>
            <w:shd w:fill="E89A1A" w:val="clear"/>
          </w:tcPr>
          <w:p>
            <w:pPr>
              <w:jc w:val="center"/>
            </w:pPr>
            <w:r>
              <w:rPr>
                <w:rFonts w:ascii="Calibri" w:hAnsi="Calibri"/>
                <w:b/>
                <w:color w:val="FFFFFF"/>
                <w:sz w:val="36"/>
              </w:rPr>
              <w:t>$380B+</w:t>
              <w:br/>
            </w:r>
            <w:r>
              <w:rPr>
                <w:rFonts w:ascii="Calibri" w:hAnsi="Calibri"/>
                <w:color w:val="FFFFFF"/>
                <w:sz w:val="18"/>
              </w:rPr>
              <w:t>Anthropic</w:t>
              <w:br/>
              <w:t>Valuation</w:t>
            </w:r>
          </w:p>
        </w:tc>
        <w:tc>
          <w:tcPr>
            <w:tcW w:type="dxa" w:w="2160"/>
            <w:shd w:fill="1B3A5C" w:val="clear"/>
          </w:tcPr>
          <w:p>
            <w:pPr>
              <w:jc w:val="center"/>
            </w:pPr>
            <w:r>
              <w:rPr>
                <w:rFonts w:ascii="Calibri" w:hAnsi="Calibri"/>
                <w:b/>
                <w:color w:val="FFFFFF"/>
                <w:sz w:val="36"/>
              </w:rPr>
              <w:t>$500B+</w:t>
              <w:br/>
            </w:r>
            <w:r>
              <w:rPr>
                <w:rFonts w:ascii="Calibri" w:hAnsi="Calibri"/>
                <w:color w:val="FFFFFF"/>
                <w:sz w:val="18"/>
              </w:rPr>
              <w:t>OpenAI</w:t>
              <w:br/>
              <w:t>Valuation</w:t>
            </w:r>
          </w:p>
        </w:tc>
        <w:tc>
          <w:tcPr>
            <w:tcW w:type="dxa" w:w="2160"/>
            <w:shd w:fill="E89A1A" w:val="clear"/>
          </w:tcPr>
          <w:p>
            <w:pPr>
              <w:jc w:val="center"/>
            </w:pPr>
            <w:r>
              <w:rPr>
                <w:rFonts w:ascii="Calibri" w:hAnsi="Calibri"/>
                <w:b/>
                <w:color w:val="FFFFFF"/>
                <w:sz w:val="36"/>
              </w:rPr>
              <w:t>$1.9M</w:t>
              <w:br/>
            </w:r>
            <w:r>
              <w:rPr>
                <w:rFonts w:ascii="Calibri" w:hAnsi="Calibri"/>
                <w:color w:val="FFFFFF"/>
                <w:sz w:val="18"/>
              </w:rPr>
              <w:t>Joe's Portfolio</w:t>
              <w:br/>
              <w:t>At Stake</w:t>
            </w:r>
          </w:p>
        </w:tc>
      </w:tr>
    </w:tbl>
    <w:p/>
    <w:p/>
    <w:p>
      <w:pPr>
        <w:jc w:val="center"/>
      </w:pPr>
      <w:r>
        <w:rPr>
          <w:rFonts w:ascii="Calibri" w:hAnsi="Calibri"/>
          <w:b/>
          <w:color w:val="CC2222"/>
          <w:sz w:val="24"/>
        </w:rPr>
        <w:t>Capital Deployment Target: April 30, 2026</w:t>
      </w:r>
    </w:p>
    <w:p>
      <w:r>
        <w:br w:type="page"/>
      </w:r>
    </w:p>
    <w:tbl>
      <w:tblPr>
        <w:tblStyle w:val="TableGrid"/>
        <w:tblW w:type="auto" w:w="0"/>
        <w:tblLook w:firstColumn="1" w:firstRow="1" w:lastColumn="0" w:lastRow="0" w:noHBand="0" w:noVBand="1" w:val="04A0"/>
      </w:tblPr>
      <w:tblGrid>
        <w:gridCol w:w="8640"/>
      </w:tblGrid>
      <w:tr>
        <w:tc>
          <w:tcPr>
            <w:tcW w:type="dxa" w:w="8640"/>
            <w:shd w:fill="1B3A5C" w:val="clear"/>
          </w:tcPr>
          <w:p>
            <w:pPr>
              <w:jc w:val="left"/>
            </w:pPr>
            <w:r>
              <w:rPr>
                <w:rFonts w:ascii="Calibri" w:hAnsi="Calibri"/>
                <w:b/>
                <w:color w:val="FFFFFF"/>
                <w:sz w:val="28"/>
              </w:rPr>
              <w:t xml:space="preserve">  SECTION 1  |  EXECUTIVE SUMMARY</w:t>
            </w:r>
          </w:p>
        </w:tc>
      </w:tr>
    </w:tbl>
    <w:p/>
    <w:p>
      <w:pPr>
        <w:spacing w:before="240" w:after="120"/>
      </w:pPr>
      <w:r>
        <w:rPr>
          <w:rFonts w:ascii="Calibri" w:hAnsi="Calibri"/>
          <w:b/>
          <w:color w:val="1B3A5C"/>
          <w:sz w:val="32"/>
        </w:rPr>
        <w:t>The Core Thesis</w:t>
      </w:r>
    </w:p>
    <w:p>
      <w:pPr>
        <w:spacing w:after="120" w:before="40"/>
      </w:pPr>
      <w:r>
        <w:rPr>
          <w:rFonts w:ascii="Calibri" w:hAnsi="Calibri"/>
          <w:color w:val="333333"/>
          <w:sz w:val="22"/>
        </w:rPr>
        <w:t>Frontier AI models — systems so powerful they can accelerate scientific discovery, compress decades of drug research into months, and autonomously solve problems previously requiring teams of PhDs — are not a future event. They exist today. The question for investors is not whether AI will transform these industries, but who captures the resulting cash flows.</w:t>
      </w:r>
    </w:p>
    <w:p>
      <w:pPr>
        <w:spacing w:after="120" w:before="40"/>
      </w:pPr>
      <w:r>
        <w:rPr>
          <w:rFonts w:ascii="Calibri" w:hAnsi="Calibri"/>
          <w:color w:val="333333"/>
          <w:sz w:val="22"/>
        </w:rPr>
        <w:t>The answer is nuanced. For publicly traded companies like Alphabet (Google DeepMind), Microsoft, and Meta, the mother company captures value directly — and you can buy a piece today at publicly traded prices. For OpenAI, Anthropic, and xAI, the path requires either pre-IPO secondary market access or indirect exposure through strategic partners. The trillion-dollar opportunities in drug discovery, materials science, robotics, and energy will likely create multiple winners — but not all AI companies are structured to capture that value for outside investors.</w:t>
      </w:r>
    </w:p>
    <w:p>
      <w:pPr>
        <w:spacing w:before="240" w:after="120"/>
      </w:pPr>
      <w:r>
        <w:rPr>
          <w:rFonts w:ascii="Calibri" w:hAnsi="Calibri"/>
          <w:b/>
          <w:color w:val="1B3A5C"/>
          <w:sz w:val="32"/>
        </w:rPr>
        <w:t>Key Conclusions</w:t>
      </w:r>
    </w:p>
    <w:p>
      <w:pPr>
        <w:pStyle w:val="ListBullet"/>
        <w:spacing w:after="60"/>
        <w:ind w:left="360"/>
      </w:pPr>
      <w:r>
        <w:rPr>
          <w:rFonts w:ascii="Calibri" w:hAnsi="Calibri"/>
          <w:b/>
          <w:color w:val="333333"/>
          <w:sz w:val="22"/>
        </w:rPr>
        <w:t xml:space="preserve">GOOGL is the clearest value play: </w:t>
      </w:r>
      <w:r>
        <w:rPr>
          <w:rFonts w:ascii="Calibri" w:hAnsi="Calibri"/>
          <w:color w:val="333333"/>
          <w:sz w:val="22"/>
        </w:rPr>
        <w:t>You get DeepMind (AlphaFold, Gemini), Waymo, Isomorphic Labs, and Google's entire AI infrastructure in one publicly traded stock. DeepMind is already profitable (£174M net income, 2024). At ~$160-170/share with a forward P/E in the mid-20s, it's the most defensible AI position.</w:t>
      </w:r>
    </w:p>
    <w:p>
      <w:pPr>
        <w:pStyle w:val="ListBullet"/>
        <w:spacing w:after="60"/>
        <w:ind w:left="360"/>
      </w:pPr>
      <w:r>
        <w:rPr>
          <w:rFonts w:ascii="Calibri" w:hAnsi="Calibri"/>
          <w:b/>
          <w:color w:val="333333"/>
          <w:sz w:val="22"/>
        </w:rPr>
        <w:t xml:space="preserve">MSFT is the OpenAI proxy: </w:t>
      </w:r>
      <w:r>
        <w:rPr>
          <w:rFonts w:ascii="Calibri" w:hAnsi="Calibri"/>
          <w:color w:val="333333"/>
          <w:sz w:val="22"/>
        </w:rPr>
        <w:t>Microsoft owns 27% of OpenAI's profits, has deployed Azure AI across enterprise, and runs Copilot. The fastest way to get OpenAI exposure without pre-IPO risk. A $190-200 entry offers a margin of safety.</w:t>
      </w:r>
    </w:p>
    <w:p>
      <w:pPr>
        <w:pStyle w:val="ListBullet"/>
        <w:spacing w:after="60"/>
        <w:ind w:left="360"/>
      </w:pPr>
      <w:r>
        <w:rPr>
          <w:rFonts w:ascii="Calibri" w:hAnsi="Calibri"/>
          <w:b/>
          <w:color w:val="333333"/>
          <w:sz w:val="22"/>
        </w:rPr>
        <w:t xml:space="preserve">META is the underrated play: </w:t>
      </w:r>
      <w:r>
        <w:rPr>
          <w:rFonts w:ascii="Calibri" w:hAnsi="Calibri"/>
          <w:color w:val="333333"/>
          <w:sz w:val="22"/>
        </w:rPr>
        <w:t>Open-source LLaMA strategy reduces model costs and strengthens the advertising moat. Meta's AI drives Instagram/Facebook engagement, which drives ad revenue. Already generating massive free cash flow.</w:t>
      </w:r>
    </w:p>
    <w:p>
      <w:pPr>
        <w:pStyle w:val="ListBullet"/>
        <w:spacing w:after="60"/>
        <w:ind w:left="360"/>
      </w:pPr>
      <w:r>
        <w:rPr>
          <w:rFonts w:ascii="Calibri" w:hAnsi="Calibri"/>
          <w:b/>
          <w:color w:val="333333"/>
          <w:sz w:val="22"/>
        </w:rPr>
        <w:t xml:space="preserve">Anthropic is the highest-quality private bet: </w:t>
      </w:r>
      <w:r>
        <w:rPr>
          <w:rFonts w:ascii="Calibri" w:hAnsi="Calibri"/>
          <w:color w:val="333333"/>
          <w:sz w:val="22"/>
        </w:rPr>
        <w:t>At ~$380B estimated value (Feb 2026), the entry bar is high, but EquityZen/Forge allow accredited investors to buy secondary shares. Dario Amodei's 'Machines of Loving Grace' thesis is the most ambitious articulation of AI-driven prosperity.</w:t>
      </w:r>
    </w:p>
    <w:p>
      <w:pPr>
        <w:pStyle w:val="ListBullet"/>
        <w:spacing w:after="60"/>
        <w:ind w:left="360"/>
      </w:pPr>
      <w:r>
        <w:rPr>
          <w:rFonts w:ascii="Calibri" w:hAnsi="Calibri"/>
          <w:b/>
          <w:color w:val="333333"/>
          <w:sz w:val="22"/>
        </w:rPr>
        <w:t xml:space="preserve">OpenAI is the brand but not the best value: </w:t>
      </w:r>
      <w:r>
        <w:rPr>
          <w:rFonts w:ascii="Calibri" w:hAnsi="Calibri"/>
          <w:color w:val="333333"/>
          <w:sz w:val="22"/>
        </w:rPr>
        <w:t>Revenue of $13.1B (2025) with -$9B net income. Still burning cash at scale. Pre-IPO secondary is at ~$500B valuation — that's a very rich price for a money-losing business.</w:t>
      </w:r>
    </w:p>
    <w:p>
      <w:pPr>
        <w:pStyle w:val="ListBullet"/>
        <w:spacing w:after="60"/>
        <w:ind w:left="360"/>
      </w:pPr>
      <w:r>
        <w:rPr>
          <w:rFonts w:ascii="Calibri" w:hAnsi="Calibri"/>
          <w:b/>
          <w:color w:val="333333"/>
          <w:sz w:val="22"/>
        </w:rPr>
        <w:t xml:space="preserve">xAI is the wild card: </w:t>
      </w:r>
      <w:r>
        <w:rPr>
          <w:rFonts w:ascii="Calibri" w:hAnsi="Calibri"/>
          <w:color w:val="333333"/>
          <w:sz w:val="22"/>
        </w:rPr>
        <w:t>Integrated with X, Tesla, and SpaceX data. Elon Musk's chaotic management style is both the risk and the source of disproportionate upside. Avoid pre-IPO; consider TSLA as partial proxy.</w:t>
      </w:r>
    </w:p>
    <w:p>
      <w:pPr>
        <w:spacing w:before="240" w:after="120"/>
      </w:pPr>
      <w:r>
        <w:rPr>
          <w:rFonts w:ascii="Calibri" w:hAnsi="Calibri"/>
          <w:b/>
          <w:color w:val="1B3A5C"/>
          <w:sz w:val="32"/>
        </w:rPr>
        <w:t>Top Investment Recommendations (April 2026)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B3A5C" w:val="clear"/>
          </w:tcPr>
          <w:p>
            <w:pPr>
              <w:jc w:val="center"/>
            </w:pPr>
            <w:r>
              <w:rPr>
                <w:rFonts w:ascii="Calibri" w:hAnsi="Calibri"/>
                <w:b/>
                <w:color w:val="FFFFFF"/>
                <w:sz w:val="20"/>
              </w:rPr>
              <w:t>Company / Ticker</w:t>
            </w:r>
          </w:p>
        </w:tc>
        <w:tc>
          <w:tcPr>
            <w:tcW w:type="dxa" w:w="1728"/>
            <w:shd w:fill="1B3A5C" w:val="clear"/>
          </w:tcPr>
          <w:p>
            <w:pPr>
              <w:jc w:val="center"/>
            </w:pPr>
            <w:r>
              <w:rPr>
                <w:rFonts w:ascii="Calibri" w:hAnsi="Calibri"/>
                <w:b/>
                <w:color w:val="FFFFFF"/>
                <w:sz w:val="20"/>
              </w:rPr>
              <w:t>Vehicle</w:t>
            </w:r>
          </w:p>
        </w:tc>
        <w:tc>
          <w:tcPr>
            <w:tcW w:type="dxa" w:w="1728"/>
            <w:shd w:fill="1B3A5C" w:val="clear"/>
          </w:tcPr>
          <w:p>
            <w:pPr>
              <w:jc w:val="center"/>
            </w:pPr>
            <w:r>
              <w:rPr>
                <w:rFonts w:ascii="Calibri" w:hAnsi="Calibri"/>
                <w:b/>
                <w:color w:val="FFFFFF"/>
                <w:sz w:val="20"/>
              </w:rPr>
              <w:t>Entry Target</w:t>
            </w:r>
          </w:p>
        </w:tc>
        <w:tc>
          <w:tcPr>
            <w:tcW w:type="dxa" w:w="1728"/>
            <w:shd w:fill="1B3A5C" w:val="clear"/>
          </w:tcPr>
          <w:p>
            <w:pPr>
              <w:jc w:val="center"/>
            </w:pPr>
            <w:r>
              <w:rPr>
                <w:rFonts w:ascii="Calibri" w:hAnsi="Calibri"/>
                <w:b/>
                <w:color w:val="FFFFFF"/>
                <w:sz w:val="20"/>
              </w:rPr>
              <w:t>Position Size</w:t>
            </w:r>
          </w:p>
        </w:tc>
        <w:tc>
          <w:tcPr>
            <w:tcW w:type="dxa" w:w="1728"/>
            <w:shd w:fill="1B3A5C" w:val="clear"/>
          </w:tcPr>
          <w:p>
            <w:pPr>
              <w:jc w:val="center"/>
            </w:pPr>
            <w:r>
              <w:rPr>
                <w:rFonts w:ascii="Calibri" w:hAnsi="Calibri"/>
                <w:b/>
                <w:color w:val="FFFFFF"/>
                <w:sz w:val="20"/>
              </w:rPr>
              <w:t>Bucket</w:t>
            </w:r>
          </w:p>
        </w:tc>
      </w:tr>
      <w:tr>
        <w:tc>
          <w:tcPr>
            <w:tcW w:type="dxa" w:w="1728"/>
            <w:shd w:fill="E8EFF8" w:val="clear"/>
          </w:tcPr>
          <w:p>
            <w:pPr>
              <w:jc w:val="left"/>
            </w:pPr>
            <w:r>
              <w:rPr>
                <w:rFonts w:ascii="Calibri" w:hAnsi="Calibri"/>
                <w:b/>
                <w:color w:val="1B3A5C"/>
                <w:sz w:val="20"/>
              </w:rPr>
              <w:t>Alphabet (GOOGL)</w:t>
            </w:r>
          </w:p>
        </w:tc>
        <w:tc>
          <w:tcPr>
            <w:tcW w:type="dxa" w:w="1728"/>
            <w:shd w:fill="F5F5F5" w:val="clear"/>
          </w:tcPr>
          <w:p>
            <w:pPr>
              <w:jc w:val="center"/>
            </w:pPr>
            <w:r>
              <w:rPr>
                <w:rFonts w:ascii="Calibri" w:hAnsi="Calibri"/>
                <w:b w:val="0"/>
                <w:color w:val="333333"/>
                <w:sz w:val="20"/>
              </w:rPr>
              <w:t>Public Stock</w:t>
            </w:r>
          </w:p>
        </w:tc>
        <w:tc>
          <w:tcPr>
            <w:tcW w:type="dxa" w:w="1728"/>
            <w:shd w:fill="F5F5F5" w:val="clear"/>
          </w:tcPr>
          <w:p>
            <w:pPr>
              <w:jc w:val="center"/>
            </w:pPr>
            <w:r>
              <w:rPr>
                <w:rFonts w:ascii="Calibri" w:hAnsi="Calibri"/>
                <w:b w:val="0"/>
                <w:color w:val="333333"/>
                <w:sz w:val="20"/>
              </w:rPr>
              <w:t>$155–$175</w:t>
            </w:r>
          </w:p>
        </w:tc>
        <w:tc>
          <w:tcPr>
            <w:tcW w:type="dxa" w:w="1728"/>
            <w:shd w:fill="F5F5F5" w:val="clear"/>
          </w:tcPr>
          <w:p>
            <w:pPr>
              <w:jc w:val="center"/>
            </w:pPr>
            <w:r>
              <w:rPr>
                <w:rFonts w:ascii="Calibri" w:hAnsi="Calibri"/>
                <w:b w:val="0"/>
                <w:color w:val="333333"/>
                <w:sz w:val="20"/>
              </w:rPr>
              <w:t>5–7% ($95K–$133K)</w:t>
            </w:r>
          </w:p>
        </w:tc>
        <w:tc>
          <w:tcPr>
            <w:tcW w:type="dxa" w:w="1728"/>
            <w:shd w:fill="F5F5F5" w:val="clear"/>
          </w:tcPr>
          <w:p>
            <w:pPr>
              <w:jc w:val="center"/>
            </w:pPr>
            <w:r>
              <w:rPr>
                <w:rFonts w:ascii="Calibri" w:hAnsi="Calibri"/>
                <w:b w:val="0"/>
                <w:color w:val="333333"/>
                <w:sz w:val="20"/>
              </w:rPr>
              <w:t>Core Forever (40yr)</w:t>
            </w:r>
          </w:p>
        </w:tc>
      </w:tr>
      <w:tr>
        <w:tc>
          <w:tcPr>
            <w:tcW w:type="dxa" w:w="1728"/>
            <w:shd w:fill="E8EFF8" w:val="clear"/>
          </w:tcPr>
          <w:p>
            <w:pPr>
              <w:jc w:val="left"/>
            </w:pPr>
            <w:r>
              <w:rPr>
                <w:rFonts w:ascii="Calibri" w:hAnsi="Calibri"/>
                <w:b/>
                <w:color w:val="1B3A5C"/>
                <w:sz w:val="20"/>
              </w:rPr>
              <w:t>Microsoft (MSFT)</w:t>
            </w:r>
          </w:p>
        </w:tc>
        <w:tc>
          <w:tcPr>
            <w:tcW w:type="dxa" w:w="1728"/>
            <w:shd w:fill="FFFFFF" w:val="clear"/>
          </w:tcPr>
          <w:p>
            <w:pPr>
              <w:jc w:val="center"/>
            </w:pPr>
            <w:r>
              <w:rPr>
                <w:rFonts w:ascii="Calibri" w:hAnsi="Calibri"/>
                <w:b w:val="0"/>
                <w:color w:val="333333"/>
                <w:sz w:val="20"/>
              </w:rPr>
              <w:t>Public Stock</w:t>
            </w:r>
          </w:p>
        </w:tc>
        <w:tc>
          <w:tcPr>
            <w:tcW w:type="dxa" w:w="1728"/>
            <w:shd w:fill="FFFFFF" w:val="clear"/>
          </w:tcPr>
          <w:p>
            <w:pPr>
              <w:jc w:val="center"/>
            </w:pPr>
            <w:r>
              <w:rPr>
                <w:rFonts w:ascii="Calibri" w:hAnsi="Calibri"/>
                <w:b w:val="0"/>
                <w:color w:val="333333"/>
                <w:sz w:val="20"/>
              </w:rPr>
              <w:t>$390–$420</w:t>
            </w:r>
          </w:p>
        </w:tc>
        <w:tc>
          <w:tcPr>
            <w:tcW w:type="dxa" w:w="1728"/>
            <w:shd w:fill="FFFFFF" w:val="clear"/>
          </w:tcPr>
          <w:p>
            <w:pPr>
              <w:jc w:val="center"/>
            </w:pPr>
            <w:r>
              <w:rPr>
                <w:rFonts w:ascii="Calibri" w:hAnsi="Calibri"/>
                <w:b w:val="0"/>
                <w:color w:val="333333"/>
                <w:sz w:val="20"/>
              </w:rPr>
              <w:t>4–5% ($76K–$95K)</w:t>
            </w:r>
          </w:p>
        </w:tc>
        <w:tc>
          <w:tcPr>
            <w:tcW w:type="dxa" w:w="1728"/>
            <w:shd w:fill="FFFFFF" w:val="clear"/>
          </w:tcPr>
          <w:p>
            <w:pPr>
              <w:jc w:val="center"/>
            </w:pPr>
            <w:r>
              <w:rPr>
                <w:rFonts w:ascii="Calibri" w:hAnsi="Calibri"/>
                <w:b w:val="0"/>
                <w:color w:val="333333"/>
                <w:sz w:val="20"/>
              </w:rPr>
              <w:t>Core Forever (40yr)</w:t>
            </w:r>
          </w:p>
        </w:tc>
      </w:tr>
      <w:tr>
        <w:tc>
          <w:tcPr>
            <w:tcW w:type="dxa" w:w="1728"/>
            <w:shd w:fill="E8EFF8" w:val="clear"/>
          </w:tcPr>
          <w:p>
            <w:pPr>
              <w:jc w:val="left"/>
            </w:pPr>
            <w:r>
              <w:rPr>
                <w:rFonts w:ascii="Calibri" w:hAnsi="Calibri"/>
                <w:b/>
                <w:color w:val="1B3A5C"/>
                <w:sz w:val="20"/>
              </w:rPr>
              <w:t>Meta (META)</w:t>
            </w:r>
          </w:p>
        </w:tc>
        <w:tc>
          <w:tcPr>
            <w:tcW w:type="dxa" w:w="1728"/>
            <w:shd w:fill="F5F5F5" w:val="clear"/>
          </w:tcPr>
          <w:p>
            <w:pPr>
              <w:jc w:val="center"/>
            </w:pPr>
            <w:r>
              <w:rPr>
                <w:rFonts w:ascii="Calibri" w:hAnsi="Calibri"/>
                <w:b w:val="0"/>
                <w:color w:val="333333"/>
                <w:sz w:val="20"/>
              </w:rPr>
              <w:t>Public Stock</w:t>
            </w:r>
          </w:p>
        </w:tc>
        <w:tc>
          <w:tcPr>
            <w:tcW w:type="dxa" w:w="1728"/>
            <w:shd w:fill="F5F5F5" w:val="clear"/>
          </w:tcPr>
          <w:p>
            <w:pPr>
              <w:jc w:val="center"/>
            </w:pPr>
            <w:r>
              <w:rPr>
                <w:rFonts w:ascii="Calibri" w:hAnsi="Calibri"/>
                <w:b w:val="0"/>
                <w:color w:val="333333"/>
                <w:sz w:val="20"/>
              </w:rPr>
              <w:t>$510–$560</w:t>
            </w:r>
          </w:p>
        </w:tc>
        <w:tc>
          <w:tcPr>
            <w:tcW w:type="dxa" w:w="1728"/>
            <w:shd w:fill="F5F5F5" w:val="clear"/>
          </w:tcPr>
          <w:p>
            <w:pPr>
              <w:jc w:val="center"/>
            </w:pPr>
            <w:r>
              <w:rPr>
                <w:rFonts w:ascii="Calibri" w:hAnsi="Calibri"/>
                <w:b w:val="0"/>
                <w:color w:val="333333"/>
                <w:sz w:val="20"/>
              </w:rPr>
              <w:t>4–5% ($76K–$95K)</w:t>
            </w:r>
          </w:p>
        </w:tc>
        <w:tc>
          <w:tcPr>
            <w:tcW w:type="dxa" w:w="1728"/>
            <w:shd w:fill="F5F5F5" w:val="clear"/>
          </w:tcPr>
          <w:p>
            <w:pPr>
              <w:jc w:val="center"/>
            </w:pPr>
            <w:r>
              <w:rPr>
                <w:rFonts w:ascii="Calibri" w:hAnsi="Calibri"/>
                <w:b w:val="0"/>
                <w:color w:val="333333"/>
                <w:sz w:val="20"/>
              </w:rPr>
              <w:t>Core Forever (40yr)</w:t>
            </w:r>
          </w:p>
        </w:tc>
      </w:tr>
      <w:tr>
        <w:tc>
          <w:tcPr>
            <w:tcW w:type="dxa" w:w="1728"/>
            <w:shd w:fill="E8EFF8" w:val="clear"/>
          </w:tcPr>
          <w:p>
            <w:pPr>
              <w:jc w:val="left"/>
            </w:pPr>
            <w:r>
              <w:rPr>
                <w:rFonts w:ascii="Calibri" w:hAnsi="Calibri"/>
                <w:b/>
                <w:color w:val="1B3A5C"/>
                <w:sz w:val="20"/>
              </w:rPr>
              <w:t>Anthropic</w:t>
            </w:r>
          </w:p>
        </w:tc>
        <w:tc>
          <w:tcPr>
            <w:tcW w:type="dxa" w:w="1728"/>
            <w:shd w:fill="FFFFFF" w:val="clear"/>
          </w:tcPr>
          <w:p>
            <w:pPr>
              <w:jc w:val="center"/>
            </w:pPr>
            <w:r>
              <w:rPr>
                <w:rFonts w:ascii="Calibri" w:hAnsi="Calibri"/>
                <w:b w:val="0"/>
                <w:color w:val="333333"/>
                <w:sz w:val="20"/>
              </w:rPr>
              <w:t>EquityZen/Forge</w:t>
            </w:r>
          </w:p>
        </w:tc>
        <w:tc>
          <w:tcPr>
            <w:tcW w:type="dxa" w:w="1728"/>
            <w:shd w:fill="FFFFFF" w:val="clear"/>
          </w:tcPr>
          <w:p>
            <w:pPr>
              <w:jc w:val="center"/>
            </w:pPr>
            <w:r>
              <w:rPr>
                <w:rFonts w:ascii="Calibri" w:hAnsi="Calibri"/>
                <w:b w:val="0"/>
                <w:color w:val="333333"/>
                <w:sz w:val="20"/>
              </w:rPr>
              <w:t>Secondary mkt</w:t>
            </w:r>
          </w:p>
        </w:tc>
        <w:tc>
          <w:tcPr>
            <w:tcW w:type="dxa" w:w="1728"/>
            <w:shd w:fill="FFFFFF" w:val="clear"/>
          </w:tcPr>
          <w:p>
            <w:pPr>
              <w:jc w:val="center"/>
            </w:pPr>
            <w:r>
              <w:rPr>
                <w:rFonts w:ascii="Calibri" w:hAnsi="Calibri"/>
                <w:b w:val="0"/>
                <w:color w:val="333333"/>
                <w:sz w:val="20"/>
              </w:rPr>
              <w:t>1–2% ($19K–$38K)</w:t>
            </w:r>
          </w:p>
        </w:tc>
        <w:tc>
          <w:tcPr>
            <w:tcW w:type="dxa" w:w="1728"/>
            <w:shd w:fill="FFFFFF" w:val="clear"/>
          </w:tcPr>
          <w:p>
            <w:pPr>
              <w:jc w:val="center"/>
            </w:pPr>
            <w:r>
              <w:rPr>
                <w:rFonts w:ascii="Calibri" w:hAnsi="Calibri"/>
                <w:b w:val="0"/>
                <w:color w:val="333333"/>
                <w:sz w:val="20"/>
              </w:rPr>
              <w:t>20-Year Innovation</w:t>
            </w:r>
          </w:p>
        </w:tc>
      </w:tr>
      <w:tr>
        <w:tc>
          <w:tcPr>
            <w:tcW w:type="dxa" w:w="1728"/>
            <w:shd w:fill="E8EFF8" w:val="clear"/>
          </w:tcPr>
          <w:p>
            <w:pPr>
              <w:jc w:val="left"/>
            </w:pPr>
            <w:r>
              <w:rPr>
                <w:rFonts w:ascii="Calibri" w:hAnsi="Calibri"/>
                <w:b/>
                <w:color w:val="1B3A5C"/>
                <w:sz w:val="20"/>
              </w:rPr>
              <w:t>OpenAI</w:t>
            </w:r>
          </w:p>
        </w:tc>
        <w:tc>
          <w:tcPr>
            <w:tcW w:type="dxa" w:w="1728"/>
            <w:shd w:fill="F5F5F5" w:val="clear"/>
          </w:tcPr>
          <w:p>
            <w:pPr>
              <w:jc w:val="center"/>
            </w:pPr>
            <w:r>
              <w:rPr>
                <w:rFonts w:ascii="Calibri" w:hAnsi="Calibri"/>
                <w:b w:val="0"/>
                <w:color w:val="333333"/>
                <w:sz w:val="20"/>
              </w:rPr>
              <w:t>EquityZen/Forge</w:t>
            </w:r>
          </w:p>
        </w:tc>
        <w:tc>
          <w:tcPr>
            <w:tcW w:type="dxa" w:w="1728"/>
            <w:shd w:fill="F5F5F5" w:val="clear"/>
          </w:tcPr>
          <w:p>
            <w:pPr>
              <w:jc w:val="center"/>
            </w:pPr>
            <w:r>
              <w:rPr>
                <w:rFonts w:ascii="Calibri" w:hAnsi="Calibri"/>
                <w:b w:val="0"/>
                <w:color w:val="333333"/>
                <w:sz w:val="20"/>
              </w:rPr>
              <w:t>Secondary mkt</w:t>
            </w:r>
          </w:p>
        </w:tc>
        <w:tc>
          <w:tcPr>
            <w:tcW w:type="dxa" w:w="1728"/>
            <w:shd w:fill="F5F5F5" w:val="clear"/>
          </w:tcPr>
          <w:p>
            <w:pPr>
              <w:jc w:val="center"/>
            </w:pPr>
            <w:r>
              <w:rPr>
                <w:rFonts w:ascii="Calibri" w:hAnsi="Calibri"/>
                <w:b w:val="0"/>
                <w:color w:val="333333"/>
                <w:sz w:val="20"/>
              </w:rPr>
              <w:t>0.5–1% (&lt;$19K)</w:t>
            </w:r>
          </w:p>
        </w:tc>
        <w:tc>
          <w:tcPr>
            <w:tcW w:type="dxa" w:w="1728"/>
            <w:shd w:fill="F5F5F5" w:val="clear"/>
          </w:tcPr>
          <w:p>
            <w:pPr>
              <w:jc w:val="center"/>
            </w:pPr>
            <w:r>
              <w:rPr>
                <w:rFonts w:ascii="Calibri" w:hAnsi="Calibri"/>
                <w:b w:val="0"/>
                <w:color w:val="333333"/>
                <w:sz w:val="20"/>
              </w:rPr>
              <w:t>20-Year Innovation</w:t>
            </w:r>
          </w:p>
        </w:tc>
      </w:tr>
    </w:tbl>
    <w:p/>
    <w:tbl>
      <w:tblPr>
        <w:tblStyle w:val="TableGrid"/>
        <w:tblW w:type="auto" w:w="0"/>
        <w:tblLook w:firstColumn="1" w:firstRow="1" w:lastColumn="0" w:lastRow="0" w:noHBand="0" w:noVBand="1" w:val="04A0"/>
      </w:tblPr>
      <w:tblGrid>
        <w:gridCol w:w="8640"/>
      </w:tblGrid>
      <w:tr>
        <w:tc>
          <w:tcPr>
            <w:tcW w:type="dxa" w:w="8640"/>
            <w:shd w:fill="FFF0CC" w:val="clear"/>
          </w:tcPr>
          <w:p>
            <w:r>
              <w:rPr>
                <w:rFonts w:ascii="Calibri" w:hAnsi="Calibri"/>
                <w:b/>
                <w:color w:val="1B3A5C"/>
                <w:sz w:val="22"/>
              </w:rPr>
              <w:t xml:space="preserve">⚠️ MUNGER INVERSION:  </w:t>
            </w:r>
            <w:r>
              <w:rPr>
                <w:rFonts w:ascii="Calibri" w:hAnsi="Calibri"/>
                <w:color w:val="333333"/>
                <w:sz w:val="20"/>
              </w:rPr>
              <w:t>The thesis fails if: (1) AI hits a capability wall and current models never reach true AGI; (2) open-source models commoditize the industry, destroying pricing power for all; (3) regulatory intervention breaks up the big players or restricts deployment; (4) compute costs remain too high to generate acceptable returns on AI investment.</w:t>
            </w:r>
          </w:p>
        </w:tc>
      </w:tr>
    </w:tbl>
    <w:p/>
    <w:p>
      <w:r>
        <w:br w:type="page"/>
      </w:r>
    </w:p>
    <w:tbl>
      <w:tblPr>
        <w:tblStyle w:val="TableGrid"/>
        <w:tblW w:type="auto" w:w="0"/>
        <w:tblLook w:firstColumn="1" w:firstRow="1" w:lastColumn="0" w:lastRow="0" w:noHBand="0" w:noVBand="1" w:val="04A0"/>
      </w:tblPr>
      <w:tblGrid>
        <w:gridCol w:w="8640"/>
      </w:tblGrid>
      <w:tr>
        <w:tc>
          <w:tcPr>
            <w:tcW w:type="dxa" w:w="8640"/>
            <w:shd w:fill="1B3A5C" w:val="clear"/>
          </w:tcPr>
          <w:p>
            <w:pPr>
              <w:jc w:val="left"/>
            </w:pPr>
            <w:r>
              <w:rPr>
                <w:rFonts w:ascii="Calibri" w:hAnsi="Calibri"/>
                <w:b/>
                <w:color w:val="FFFFFF"/>
                <w:sz w:val="28"/>
              </w:rPr>
              <w:t xml:space="preserve">  SECTION 2  |  THE FRONTIER MODEL LANDSCAPE</w:t>
            </w:r>
          </w:p>
        </w:tc>
      </w:tr>
    </w:tbl>
    <w:p/>
    <w:p>
      <w:pPr>
        <w:spacing w:before="240" w:after="120"/>
      </w:pPr>
      <w:r>
        <w:rPr>
          <w:rFonts w:ascii="Calibri" w:hAnsi="Calibri"/>
          <w:b/>
          <w:color w:val="1B3A5C"/>
          <w:sz w:val="32"/>
        </w:rPr>
        <w:t>What Are Frontier Models and Why They Matter</w:t>
      </w:r>
    </w:p>
    <w:p>
      <w:pPr>
        <w:spacing w:after="120" w:before="40"/>
      </w:pPr>
      <w:r>
        <w:rPr>
          <w:rFonts w:ascii="Calibri" w:hAnsi="Calibri"/>
          <w:color w:val="333333"/>
          <w:sz w:val="22"/>
        </w:rPr>
        <w:t>A 'frontier model' is the most capable AI system at any given moment — the cutting edge of what current research and compute can produce. These aren't chatbots that write emails. They're systems demonstrating emergent capabilities: solving mathematical proofs, designing proteins from scratch, writing production-quality code, and reasoning through multi-step scientific problems that stump experts.</w:t>
      </w:r>
    </w:p>
    <w:p>
      <w:pPr>
        <w:spacing w:after="120" w:before="40"/>
      </w:pPr>
      <w:r>
        <w:rPr>
          <w:rFonts w:ascii="Calibri" w:hAnsi="Calibri"/>
          <w:color w:val="333333"/>
          <w:sz w:val="22"/>
        </w:rPr>
        <w:t>The key insight for investors: frontier models represent a fundamental discontinuity in scientific productivity. AlphaFold 2 (Google DeepMind) solved the 50-year-old protein folding problem in 2020 and has since predicted the structures of virtually all 200+ million known proteins. That's not incremental progress. That's compression of decades of wet-lab biology into software. The same pattern is now occurring across materials science, drug discovery, and energy research.</w:t>
      </w:r>
    </w:p>
    <w:p>
      <w:pPr>
        <w:spacing w:before="240" w:after="120"/>
      </w:pPr>
      <w:r>
        <w:rPr>
          <w:rFonts w:ascii="Calibri" w:hAnsi="Calibri"/>
          <w:b/>
          <w:color w:val="1B3A5C"/>
          <w:sz w:val="32"/>
        </w:rPr>
        <w:t>The Gap Between What They Have and What the Public Sees</w:t>
      </w:r>
    </w:p>
    <w:p>
      <w:pPr>
        <w:spacing w:after="120" w:before="40"/>
      </w:pPr>
      <w:r>
        <w:rPr>
          <w:rFonts w:ascii="Calibri" w:hAnsi="Calibri"/>
          <w:color w:val="333333"/>
          <w:sz w:val="22"/>
        </w:rPr>
        <w:t>Every frontier lab maintains a deliberate gap between their most powerful internal models and what they publicly release. This isn't conspiracy — it's responsible practice. Anthropic's policy ('Responsible Scaling Policy') explicitly states that some models may never be released if they exceed safety thresholds. OpenAI maintains similar internal evaluations.</w:t>
      </w:r>
    </w:p>
    <w:p>
      <w:pPr>
        <w:pStyle w:val="ListBullet"/>
        <w:spacing w:after="60"/>
        <w:ind w:left="360"/>
      </w:pPr>
      <w:r>
        <w:rPr>
          <w:rFonts w:ascii="Calibri" w:hAnsi="Calibri"/>
          <w:color w:val="333333"/>
          <w:sz w:val="22"/>
        </w:rPr>
        <w:t>Anthropic's 'Mythos' model: Reportedly exists internally and has demonstrated capabilities beyond Claude Opus 4 in specific domains. Not publicly deployed as of April 2026.</w:t>
      </w:r>
    </w:p>
    <w:p>
      <w:pPr>
        <w:pStyle w:val="ListBullet"/>
        <w:spacing w:after="60"/>
        <w:ind w:left="360"/>
      </w:pPr>
      <w:r>
        <w:rPr>
          <w:rFonts w:ascii="Calibri" w:hAnsi="Calibri"/>
          <w:color w:val="333333"/>
          <w:sz w:val="22"/>
        </w:rPr>
        <w:t>OpenAI's frontier research: The company's public models (GPT-5.4 family) represent their 'safe to release' tier, not their research frontier.</w:t>
      </w:r>
    </w:p>
    <w:p>
      <w:pPr>
        <w:pStyle w:val="ListBullet"/>
        <w:spacing w:after="60"/>
        <w:ind w:left="360"/>
      </w:pPr>
      <w:r>
        <w:rPr>
          <w:rFonts w:ascii="Calibri" w:hAnsi="Calibri"/>
          <w:color w:val="333333"/>
          <w:sz w:val="22"/>
        </w:rPr>
        <w:t>Google DeepMind: AlphaEvolve and other systems are tested internally for months before any public release.</w:t>
      </w:r>
    </w:p>
    <w:p>
      <w:pPr>
        <w:pStyle w:val="ListBullet"/>
        <w:spacing w:after="60"/>
        <w:ind w:left="360"/>
      </w:pPr>
      <w:r>
        <w:rPr>
          <w:rFonts w:ascii="Calibri" w:hAnsi="Calibri"/>
          <w:color w:val="333333"/>
          <w:sz w:val="22"/>
        </w:rPr>
        <w:t>The common thread: The best models each company HAS are always 6-18 months ahead of what you can use.</w:t>
      </w:r>
    </w:p>
    <w:p>
      <w:pPr>
        <w:spacing w:before="240" w:after="120"/>
      </w:pPr>
      <w:r>
        <w:rPr>
          <w:rFonts w:ascii="Calibri" w:hAnsi="Calibri"/>
          <w:b/>
          <w:color w:val="1B3A5C"/>
          <w:sz w:val="32"/>
        </w:rPr>
        <w:t>CEO AGI Timeline Estimates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B3A5C" w:val="clear"/>
          </w:tcPr>
          <w:p>
            <w:pPr>
              <w:jc w:val="center"/>
            </w:pPr>
            <w:r>
              <w:rPr>
                <w:rFonts w:ascii="Calibri" w:hAnsi="Calibri"/>
                <w:b/>
                <w:color w:val="FFFFFF"/>
                <w:sz w:val="20"/>
              </w:rPr>
              <w:t>CEO / Company</w:t>
            </w:r>
          </w:p>
        </w:tc>
        <w:tc>
          <w:tcPr>
            <w:tcW w:type="dxa" w:w="2160"/>
            <w:shd w:fill="1B3A5C" w:val="clear"/>
          </w:tcPr>
          <w:p>
            <w:pPr>
              <w:jc w:val="center"/>
            </w:pPr>
            <w:r>
              <w:rPr>
                <w:rFonts w:ascii="Calibri" w:hAnsi="Calibri"/>
                <w:b/>
                <w:color w:val="FFFFFF"/>
                <w:sz w:val="20"/>
              </w:rPr>
              <w:t>AGI Timeline Estimate</w:t>
            </w:r>
          </w:p>
        </w:tc>
        <w:tc>
          <w:tcPr>
            <w:tcW w:type="dxa" w:w="2160"/>
            <w:shd w:fill="1B3A5C" w:val="clear"/>
          </w:tcPr>
          <w:p>
            <w:pPr>
              <w:jc w:val="center"/>
            </w:pPr>
            <w:r>
              <w:rPr>
                <w:rFonts w:ascii="Calibri" w:hAnsi="Calibri"/>
                <w:b/>
                <w:color w:val="FFFFFF"/>
                <w:sz w:val="20"/>
              </w:rPr>
              <w:t>Definition Used</w:t>
            </w:r>
          </w:p>
        </w:tc>
        <w:tc>
          <w:tcPr>
            <w:tcW w:type="dxa" w:w="2160"/>
            <w:shd w:fill="1B3A5C" w:val="clear"/>
          </w:tcPr>
          <w:p>
            <w:pPr>
              <w:jc w:val="center"/>
            </w:pPr>
            <w:r>
              <w:rPr>
                <w:rFonts w:ascii="Calibri" w:hAnsi="Calibri"/>
                <w:b/>
                <w:color w:val="FFFFFF"/>
                <w:sz w:val="20"/>
              </w:rPr>
              <w:t>Confidence Level</w:t>
            </w:r>
          </w:p>
        </w:tc>
      </w:tr>
      <w:tr>
        <w:tc>
          <w:tcPr>
            <w:tcW w:type="dxa" w:w="2160"/>
            <w:shd w:fill="E8EFF8" w:val="clear"/>
          </w:tcPr>
          <w:p>
            <w:pPr>
              <w:jc w:val="left"/>
            </w:pPr>
            <w:r>
              <w:rPr>
                <w:rFonts w:ascii="Calibri" w:hAnsi="Calibri"/>
                <w:b/>
                <w:color w:val="1B3A5C"/>
                <w:sz w:val="20"/>
              </w:rPr>
              <w:t>Sam Altman (OpenAI)</w:t>
            </w:r>
          </w:p>
        </w:tc>
        <w:tc>
          <w:tcPr>
            <w:tcW w:type="dxa" w:w="2160"/>
            <w:shd w:fill="F5F5F5" w:val="clear"/>
          </w:tcPr>
          <w:p>
            <w:pPr>
              <w:jc w:val="center"/>
            </w:pPr>
            <w:r>
              <w:rPr>
                <w:rFonts w:ascii="Calibri" w:hAnsi="Calibri"/>
                <w:b w:val="0"/>
                <w:color w:val="333333"/>
                <w:sz w:val="20"/>
              </w:rPr>
              <w:t>2025–2027</w:t>
            </w:r>
          </w:p>
        </w:tc>
        <w:tc>
          <w:tcPr>
            <w:tcW w:type="dxa" w:w="2160"/>
            <w:shd w:fill="F5F5F5" w:val="clear"/>
          </w:tcPr>
          <w:p>
            <w:pPr>
              <w:jc w:val="center"/>
            </w:pPr>
            <w:r>
              <w:rPr>
                <w:rFonts w:ascii="Calibri" w:hAnsi="Calibri"/>
                <w:b w:val="0"/>
                <w:color w:val="333333"/>
                <w:sz w:val="20"/>
              </w:rPr>
              <w:t>Can do 'most tasks a human can do'</w:t>
            </w:r>
          </w:p>
        </w:tc>
        <w:tc>
          <w:tcPr>
            <w:tcW w:type="dxa" w:w="2160"/>
            <w:shd w:fill="F5F5F5" w:val="clear"/>
          </w:tcPr>
          <w:p>
            <w:pPr>
              <w:jc w:val="center"/>
            </w:pPr>
            <w:r>
              <w:rPr>
                <w:rFonts w:ascii="Calibri" w:hAnsi="Calibri"/>
                <w:b w:val="0"/>
                <w:color w:val="333333"/>
                <w:sz w:val="20"/>
              </w:rPr>
              <w:t>High conviction</w:t>
            </w:r>
          </w:p>
        </w:tc>
      </w:tr>
      <w:tr>
        <w:tc>
          <w:tcPr>
            <w:tcW w:type="dxa" w:w="2160"/>
            <w:shd w:fill="E8EFF8" w:val="clear"/>
          </w:tcPr>
          <w:p>
            <w:pPr>
              <w:jc w:val="left"/>
            </w:pPr>
            <w:r>
              <w:rPr>
                <w:rFonts w:ascii="Calibri" w:hAnsi="Calibri"/>
                <w:b/>
                <w:color w:val="1B3A5C"/>
                <w:sz w:val="20"/>
              </w:rPr>
              <w:t>Dario Amodei (Anthropic)</w:t>
            </w:r>
          </w:p>
        </w:tc>
        <w:tc>
          <w:tcPr>
            <w:tcW w:type="dxa" w:w="2160"/>
            <w:shd w:fill="FFFFFF" w:val="clear"/>
          </w:tcPr>
          <w:p>
            <w:pPr>
              <w:jc w:val="center"/>
            </w:pPr>
            <w:r>
              <w:rPr>
                <w:rFonts w:ascii="Calibri" w:hAnsi="Calibri"/>
                <w:b w:val="0"/>
                <w:color w:val="333333"/>
                <w:sz w:val="20"/>
              </w:rPr>
              <w:t>2026–2028</w:t>
            </w:r>
          </w:p>
        </w:tc>
        <w:tc>
          <w:tcPr>
            <w:tcW w:type="dxa" w:w="2160"/>
            <w:shd w:fill="FFFFFF" w:val="clear"/>
          </w:tcPr>
          <w:p>
            <w:pPr>
              <w:jc w:val="center"/>
            </w:pPr>
            <w:r>
              <w:rPr>
                <w:rFonts w:ascii="Calibri" w:hAnsi="Calibri"/>
                <w:b w:val="0"/>
                <w:color w:val="333333"/>
                <w:sz w:val="20"/>
              </w:rPr>
              <w:t>Transformative scientific impact</w:t>
            </w:r>
          </w:p>
        </w:tc>
        <w:tc>
          <w:tcPr>
            <w:tcW w:type="dxa" w:w="2160"/>
            <w:shd w:fill="FFFFFF" w:val="clear"/>
          </w:tcPr>
          <w:p>
            <w:pPr>
              <w:jc w:val="center"/>
            </w:pPr>
            <w:r>
              <w:rPr>
                <w:rFonts w:ascii="Calibri" w:hAnsi="Calibri"/>
                <w:b w:val="0"/>
                <w:color w:val="333333"/>
                <w:sz w:val="20"/>
              </w:rPr>
              <w:t>Measured, cautious</w:t>
            </w:r>
          </w:p>
        </w:tc>
      </w:tr>
      <w:tr>
        <w:tc>
          <w:tcPr>
            <w:tcW w:type="dxa" w:w="2160"/>
            <w:shd w:fill="E8EFF8" w:val="clear"/>
          </w:tcPr>
          <w:p>
            <w:pPr>
              <w:jc w:val="left"/>
            </w:pPr>
            <w:r>
              <w:rPr>
                <w:rFonts w:ascii="Calibri" w:hAnsi="Calibri"/>
                <w:b/>
                <w:color w:val="1B3A5C"/>
                <w:sz w:val="20"/>
              </w:rPr>
              <w:t>Demis Hassabis (DeepMind)</w:t>
            </w:r>
          </w:p>
        </w:tc>
        <w:tc>
          <w:tcPr>
            <w:tcW w:type="dxa" w:w="2160"/>
            <w:shd w:fill="F5F5F5" w:val="clear"/>
          </w:tcPr>
          <w:p>
            <w:pPr>
              <w:jc w:val="center"/>
            </w:pPr>
            <w:r>
              <w:rPr>
                <w:rFonts w:ascii="Calibri" w:hAnsi="Calibri"/>
                <w:b w:val="0"/>
                <w:color w:val="333333"/>
                <w:sz w:val="20"/>
              </w:rPr>
              <w:t>2027–2030</w:t>
            </w:r>
          </w:p>
        </w:tc>
        <w:tc>
          <w:tcPr>
            <w:tcW w:type="dxa" w:w="2160"/>
            <w:shd w:fill="F5F5F5" w:val="clear"/>
          </w:tcPr>
          <w:p>
            <w:pPr>
              <w:jc w:val="center"/>
            </w:pPr>
            <w:r>
              <w:rPr>
                <w:rFonts w:ascii="Calibri" w:hAnsi="Calibri"/>
                <w:b w:val="0"/>
                <w:color w:val="333333"/>
                <w:sz w:val="20"/>
              </w:rPr>
              <w:t>Nobel Prize-level science autonomously</w:t>
            </w:r>
          </w:p>
        </w:tc>
        <w:tc>
          <w:tcPr>
            <w:tcW w:type="dxa" w:w="2160"/>
            <w:shd w:fill="F5F5F5" w:val="clear"/>
          </w:tcPr>
          <w:p>
            <w:pPr>
              <w:jc w:val="center"/>
            </w:pPr>
            <w:r>
              <w:rPr>
                <w:rFonts w:ascii="Calibri" w:hAnsi="Calibri"/>
                <w:b w:val="0"/>
                <w:color w:val="333333"/>
                <w:sz w:val="20"/>
              </w:rPr>
              <w:t>Academic rigor</w:t>
            </w:r>
          </w:p>
        </w:tc>
      </w:tr>
      <w:tr>
        <w:tc>
          <w:tcPr>
            <w:tcW w:type="dxa" w:w="2160"/>
            <w:shd w:fill="E8EFF8" w:val="clear"/>
          </w:tcPr>
          <w:p>
            <w:pPr>
              <w:jc w:val="left"/>
            </w:pPr>
            <w:r>
              <w:rPr>
                <w:rFonts w:ascii="Calibri" w:hAnsi="Calibri"/>
                <w:b/>
                <w:color w:val="1B3A5C"/>
                <w:sz w:val="20"/>
              </w:rPr>
              <w:t>Satya Nadella (MSFT)</w:t>
            </w:r>
          </w:p>
        </w:tc>
        <w:tc>
          <w:tcPr>
            <w:tcW w:type="dxa" w:w="2160"/>
            <w:shd w:fill="FFFFFF" w:val="clear"/>
          </w:tcPr>
          <w:p>
            <w:pPr>
              <w:jc w:val="center"/>
            </w:pPr>
            <w:r>
              <w:rPr>
                <w:rFonts w:ascii="Calibri" w:hAnsi="Calibri"/>
                <w:b w:val="0"/>
                <w:color w:val="333333"/>
                <w:sz w:val="20"/>
              </w:rPr>
              <w:t>Doesn't set timelines</w:t>
            </w:r>
          </w:p>
        </w:tc>
        <w:tc>
          <w:tcPr>
            <w:tcW w:type="dxa" w:w="2160"/>
            <w:shd w:fill="FFFFFF" w:val="clear"/>
          </w:tcPr>
          <w:p>
            <w:pPr>
              <w:jc w:val="center"/>
            </w:pPr>
            <w:r>
              <w:rPr>
                <w:rFonts w:ascii="Calibri" w:hAnsi="Calibri"/>
                <w:b w:val="0"/>
                <w:color w:val="333333"/>
                <w:sz w:val="20"/>
              </w:rPr>
              <w:t>Infrastructure layer focus</w:t>
            </w:r>
          </w:p>
        </w:tc>
        <w:tc>
          <w:tcPr>
            <w:tcW w:type="dxa" w:w="2160"/>
            <w:shd w:fill="FFFFFF" w:val="clear"/>
          </w:tcPr>
          <w:p>
            <w:pPr>
              <w:jc w:val="center"/>
            </w:pPr>
            <w:r>
              <w:rPr>
                <w:rFonts w:ascii="Calibri" w:hAnsi="Calibri"/>
                <w:b w:val="0"/>
                <w:color w:val="333333"/>
                <w:sz w:val="20"/>
              </w:rPr>
              <w:t>Agnostic / hedged</w:t>
            </w:r>
          </w:p>
        </w:tc>
      </w:tr>
      <w:tr>
        <w:tc>
          <w:tcPr>
            <w:tcW w:type="dxa" w:w="2160"/>
            <w:shd w:fill="E8EFF8" w:val="clear"/>
          </w:tcPr>
          <w:p>
            <w:pPr>
              <w:jc w:val="left"/>
            </w:pPr>
            <w:r>
              <w:rPr>
                <w:rFonts w:ascii="Calibri" w:hAnsi="Calibri"/>
                <w:b/>
                <w:color w:val="1B3A5C"/>
                <w:sz w:val="20"/>
              </w:rPr>
              <w:t>Mark Zuckerberg (Meta)</w:t>
            </w:r>
          </w:p>
        </w:tc>
        <w:tc>
          <w:tcPr>
            <w:tcW w:type="dxa" w:w="2160"/>
            <w:shd w:fill="F5F5F5" w:val="clear"/>
          </w:tcPr>
          <w:p>
            <w:pPr>
              <w:jc w:val="center"/>
            </w:pPr>
            <w:r>
              <w:rPr>
                <w:rFonts w:ascii="Calibri" w:hAnsi="Calibri"/>
                <w:b w:val="0"/>
                <w:color w:val="333333"/>
                <w:sz w:val="20"/>
              </w:rPr>
              <w:t>2025–2026</w:t>
            </w:r>
          </w:p>
        </w:tc>
        <w:tc>
          <w:tcPr>
            <w:tcW w:type="dxa" w:w="2160"/>
            <w:shd w:fill="F5F5F5" w:val="clear"/>
          </w:tcPr>
          <w:p>
            <w:pPr>
              <w:jc w:val="center"/>
            </w:pPr>
            <w:r>
              <w:rPr>
                <w:rFonts w:ascii="Calibri" w:hAnsi="Calibri"/>
                <w:b w:val="0"/>
                <w:color w:val="333333"/>
                <w:sz w:val="20"/>
              </w:rPr>
              <w:t>Replaces human-level engineering</w:t>
            </w:r>
          </w:p>
        </w:tc>
        <w:tc>
          <w:tcPr>
            <w:tcW w:type="dxa" w:w="2160"/>
            <w:shd w:fill="F5F5F5" w:val="clear"/>
          </w:tcPr>
          <w:p>
            <w:pPr>
              <w:jc w:val="center"/>
            </w:pPr>
            <w:r>
              <w:rPr>
                <w:rFonts w:ascii="Calibri" w:hAnsi="Calibri"/>
                <w:b w:val="0"/>
                <w:color w:val="333333"/>
                <w:sz w:val="20"/>
              </w:rPr>
              <w:t>Bold, product-focused</w:t>
            </w:r>
          </w:p>
        </w:tc>
      </w:tr>
      <w:tr>
        <w:tc>
          <w:tcPr>
            <w:tcW w:type="dxa" w:w="2160"/>
            <w:shd w:fill="E8EFF8" w:val="clear"/>
          </w:tcPr>
          <w:p>
            <w:pPr>
              <w:jc w:val="left"/>
            </w:pPr>
            <w:r>
              <w:rPr>
                <w:rFonts w:ascii="Calibri" w:hAnsi="Calibri"/>
                <w:b/>
                <w:color w:val="1B3A5C"/>
                <w:sz w:val="20"/>
              </w:rPr>
              <w:t>Elon Musk (xAI)</w:t>
            </w:r>
          </w:p>
        </w:tc>
        <w:tc>
          <w:tcPr>
            <w:tcW w:type="dxa" w:w="2160"/>
            <w:shd w:fill="FFFFFF" w:val="clear"/>
          </w:tcPr>
          <w:p>
            <w:pPr>
              <w:jc w:val="center"/>
            </w:pPr>
            <w:r>
              <w:rPr>
                <w:rFonts w:ascii="Calibri" w:hAnsi="Calibri"/>
                <w:b w:val="0"/>
                <w:color w:val="333333"/>
                <w:sz w:val="20"/>
              </w:rPr>
              <w:t>2025 (already here?)</w:t>
            </w:r>
          </w:p>
        </w:tc>
        <w:tc>
          <w:tcPr>
            <w:tcW w:type="dxa" w:w="2160"/>
            <w:shd w:fill="FFFFFF" w:val="clear"/>
          </w:tcPr>
          <w:p>
            <w:pPr>
              <w:jc w:val="center"/>
            </w:pPr>
            <w:r>
              <w:rPr>
                <w:rFonts w:ascii="Calibri" w:hAnsi="Calibri"/>
                <w:b w:val="0"/>
                <w:color w:val="333333"/>
                <w:sz w:val="20"/>
              </w:rPr>
              <w:t>Smarter than any human</w:t>
            </w:r>
          </w:p>
        </w:tc>
        <w:tc>
          <w:tcPr>
            <w:tcW w:type="dxa" w:w="2160"/>
            <w:shd w:fill="FFFFFF" w:val="clear"/>
          </w:tcPr>
          <w:p>
            <w:pPr>
              <w:jc w:val="center"/>
            </w:pPr>
            <w:r>
              <w:rPr>
                <w:rFonts w:ascii="Calibri" w:hAnsi="Calibri"/>
                <w:b w:val="0"/>
                <w:color w:val="333333"/>
                <w:sz w:val="20"/>
              </w:rPr>
              <w:t>Hyperbolic / unpredictable</w:t>
            </w:r>
          </w:p>
        </w:tc>
      </w:tr>
      <w:tr>
        <w:tc>
          <w:tcPr>
            <w:tcW w:type="dxa" w:w="2160"/>
          </w:tcPr>
          <w:p/>
        </w:tc>
        <w:tc>
          <w:tcPr>
            <w:tcW w:type="dxa" w:w="2160"/>
          </w:tcPr>
          <w:p/>
        </w:tc>
        <w:tc>
          <w:tcPr>
            <w:tcW w:type="dxa" w:w="2160"/>
          </w:tcPr>
          <w:p/>
        </w:tc>
        <w:tc>
          <w:tcPr>
            <w:tcW w:type="dxa" w:w="2160"/>
          </w:tcPr>
          <w:p/>
        </w:tc>
      </w:tr>
    </w:tbl>
    <w:p/>
    <w:p>
      <w:pPr>
        <w:spacing w:after="120" w:before="40"/>
      </w:pPr>
      <w:r>
        <w:rPr>
          <w:rFonts w:ascii="Calibri" w:hAnsi="Calibri"/>
          <w:color w:val="333333"/>
          <w:sz w:val="22"/>
        </w:rPr>
        <w:t>Buffett lens: AGI timeline predictions are notoriously unreliable, going back to the 1950s. Don't bet on the timeline — bet on the infrastructure. The companies building the rails (compute, APIs, enterprise integration) win regardless of whether AGI arrives in 2026 or 2035.</w:t>
      </w:r>
    </w:p>
    <w:p>
      <w:pPr>
        <w:spacing w:before="240" w:after="120"/>
      </w:pPr>
      <w:r>
        <w:rPr>
          <w:rFonts w:ascii="Calibri" w:hAnsi="Calibri"/>
          <w:b/>
          <w:color w:val="1B3A5C"/>
          <w:sz w:val="32"/>
        </w:rPr>
        <w:t>The Compute Wars — Infrastructure as Moat</w:t>
      </w:r>
    </w:p>
    <w:p>
      <w:pPr>
        <w:spacing w:after="120" w:before="40"/>
      </w:pPr>
      <w:r>
        <w:rPr>
          <w:rFonts w:ascii="Calibri" w:hAnsi="Calibri"/>
          <w:color w:val="333333"/>
          <w:sz w:val="22"/>
        </w:rPr>
        <w:t>Frontier models require enormous compute. This creates a virtuous cycle: more compute → better models → more revenue → more compute. The companies able to sustain $10B-$100B annual compute investments have a moat that pure software companies cannot replicate. This is why NVIDIA has been the clearest AI winner to date — they sell the picks and shovels to every miner.</w:t>
      </w:r>
    </w:p>
    <w:p>
      <w:pPr>
        <w:pStyle w:val="ListBullet"/>
        <w:spacing w:after="60"/>
        <w:ind w:left="360"/>
      </w:pPr>
      <w:r>
        <w:rPr>
          <w:rFonts w:ascii="Calibri" w:hAnsi="Calibri"/>
          <w:color w:val="333333"/>
          <w:sz w:val="22"/>
        </w:rPr>
        <w:t>xAI: Built a 100,000 H100 GPU cluster ('Colossus') in Memphis in just 122 days — an unprecedented feat that demonstrates execution capability.</w:t>
      </w:r>
    </w:p>
    <w:p>
      <w:pPr>
        <w:pStyle w:val="ListBullet"/>
        <w:spacing w:after="60"/>
        <w:ind w:left="360"/>
      </w:pPr>
      <w:r>
        <w:rPr>
          <w:rFonts w:ascii="Calibri" w:hAnsi="Calibri"/>
          <w:color w:val="333333"/>
          <w:sz w:val="22"/>
        </w:rPr>
        <w:t>Google: TPU chip advantage — custom silicon designed for AI training, not available to competitors.</w:t>
      </w:r>
    </w:p>
    <w:p>
      <w:pPr>
        <w:pStyle w:val="ListBullet"/>
        <w:spacing w:after="60"/>
        <w:ind w:left="360"/>
      </w:pPr>
      <w:r>
        <w:rPr>
          <w:rFonts w:ascii="Calibri" w:hAnsi="Calibri"/>
          <w:color w:val="333333"/>
          <w:sz w:val="22"/>
        </w:rPr>
        <w:t>Microsoft: Azure's $80B+ capex commitment (FY2025) includes massive AI infrastructure buildout.</w:t>
      </w:r>
    </w:p>
    <w:p>
      <w:pPr>
        <w:pStyle w:val="ListBullet"/>
        <w:spacing w:after="60"/>
        <w:ind w:left="360"/>
      </w:pPr>
      <w:r>
        <w:rPr>
          <w:rFonts w:ascii="Calibri" w:hAnsi="Calibri"/>
          <w:color w:val="333333"/>
          <w:sz w:val="22"/>
        </w:rPr>
        <w:t>OpenAI: Dependent on Microsoft Azure — a strategic vulnerability that Microsoft is now using as leverage.</w:t>
      </w:r>
    </w:p>
    <w:p>
      <w:pPr>
        <w:pStyle w:val="ListBullet"/>
        <w:spacing w:after="60"/>
        <w:ind w:left="360"/>
      </w:pPr>
      <w:r>
        <w:rPr>
          <w:rFonts w:ascii="Calibri" w:hAnsi="Calibri"/>
          <w:color w:val="333333"/>
          <w:sz w:val="22"/>
        </w:rPr>
        <w:t>Meta: Building a 2GW AI data center (largest in history) and planning to spend $60-65B on capex in 2025.</w:t>
      </w:r>
    </w:p>
    <w:p>
      <w:r>
        <w:br w:type="page"/>
      </w:r>
    </w:p>
    <w:tbl>
      <w:tblPr>
        <w:tblStyle w:val="TableGrid"/>
        <w:tblW w:type="auto" w:w="0"/>
        <w:tblLook w:firstColumn="1" w:firstRow="1" w:lastColumn="0" w:lastRow="0" w:noHBand="0" w:noVBand="1" w:val="04A0"/>
      </w:tblPr>
      <w:tblGrid>
        <w:gridCol w:w="8640"/>
      </w:tblGrid>
      <w:tr>
        <w:tc>
          <w:tcPr>
            <w:tcW w:type="dxa" w:w="8640"/>
            <w:shd w:fill="1B3A5C" w:val="clear"/>
          </w:tcPr>
          <w:p>
            <w:pPr>
              <w:jc w:val="left"/>
            </w:pPr>
            <w:r>
              <w:rPr>
                <w:rFonts w:ascii="Calibri" w:hAnsi="Calibri"/>
                <w:b/>
                <w:color w:val="FFFFFF"/>
                <w:sz w:val="28"/>
              </w:rPr>
              <w:t xml:space="preserve">  SECTION 3  |  THE SIX FRONTIER AI COMPANIES — DEEP PROFILES</w:t>
            </w:r>
          </w:p>
        </w:tc>
      </w:tr>
    </w:tbl>
    <w:p/>
    <w:p/>
    <w:tbl>
      <w:tblPr>
        <w:tblStyle w:val="TableGrid"/>
        <w:tblW w:type="auto" w:w="0"/>
        <w:tblLook w:firstColumn="1" w:firstRow="1" w:lastColumn="0" w:lastRow="0" w:noHBand="0" w:noVBand="1" w:val="04A0"/>
      </w:tblPr>
      <w:tblGrid>
        <w:gridCol w:w="864"/>
        <w:gridCol w:w="2880"/>
        <w:gridCol w:w="2160"/>
      </w:tblGrid>
      <w:tr>
        <w:tc>
          <w:tcPr>
            <w:tcW w:type="dxa" w:w="2880"/>
            <w:shd w:fill="1B3A5C" w:val="clear"/>
          </w:tcPr>
          <w:p>
            <w:pPr>
              <w:jc w:val="center"/>
            </w:pPr>
            <w:r>
              <w:rPr>
                <w:rFonts w:ascii="Calibri" w:hAnsi="Calibri"/>
                <w:b/>
                <w:color w:val="E89A1A"/>
                <w:sz w:val="36"/>
              </w:rPr>
              <w:t>01</w:t>
            </w:r>
          </w:p>
        </w:tc>
        <w:tc>
          <w:tcPr>
            <w:tcW w:type="dxa" w:w="2880"/>
            <w:shd w:fill="1B3A5C" w:val="clear"/>
          </w:tcPr>
          <w:p>
            <w:r>
              <w:rPr>
                <w:rFonts w:ascii="Calibri" w:hAnsi="Calibri"/>
                <w:b/>
                <w:color w:val="FFFFFF"/>
                <w:sz w:val="28"/>
              </w:rPr>
              <w:t>OpenAI  |  Pre-IPO | MSFT proxy</w:t>
            </w:r>
          </w:p>
        </w:tc>
        <w:tc>
          <w:tcPr>
            <w:tcW w:type="dxa" w:w="2880"/>
            <w:shd w:fill="C87A00" w:val="clear"/>
          </w:tcPr>
          <w:p>
            <w:pPr>
              <w:jc w:val="center"/>
            </w:pPr>
            <w:r>
              <w:rPr>
                <w:rFonts w:ascii="Calibri" w:hAnsi="Calibri"/>
                <w:b/>
                <w:color w:val="FFFFFF"/>
                <w:sz w:val="22"/>
              </w:rPr>
              <w:t>⚠️ WATCH — Rich Valuation</w:t>
            </w:r>
          </w:p>
        </w:tc>
      </w:tr>
    </w:tbl>
    <w:p/>
    <w:p>
      <w:pPr>
        <w:spacing w:before="240" w:after="120"/>
      </w:pPr>
      <w:r>
        <w:rPr>
          <w:rFonts w:ascii="Calibri" w:hAnsi="Calibri"/>
          <w:b/>
          <w:color w:val="1B3A5C"/>
          <w:sz w:val="32"/>
        </w:rPr>
        <w:t>CEO &amp; Vision: Sam Altman</w:t>
      </w:r>
    </w:p>
    <w:p>
      <w:pPr>
        <w:spacing w:after="120" w:before="40"/>
      </w:pPr>
      <w:r>
        <w:rPr>
          <w:rFonts w:ascii="Calibri" w:hAnsi="Calibri"/>
          <w:color w:val="333333"/>
          <w:sz w:val="22"/>
        </w:rPr>
        <w:t>Sam Altman is arguably the most consequential tech CEO of this era. He took a nonprofit research lab and turned it into the world's fastest-growing software product (ChatGPT reached 100M users in 2 months). His stated mission: ensure artificial general intelligence benefits all of humanity. His practical strategy: build a company that generates enough revenue to fund the research, while positioning OpenAI as the default AI layer for the internet.</w:t>
      </w:r>
    </w:p>
    <w:p>
      <w:pPr>
        <w:spacing w:after="120" w:before="40"/>
      </w:pPr>
      <w:r>
        <w:rPr>
          <w:rFonts w:ascii="Calibri" w:hAnsi="Calibri"/>
          <w:color w:val="333333"/>
          <w:sz w:val="22"/>
        </w:rPr>
        <w:t>Altman's 'universal basic compute' vision would give every human a budget of AI intelligence to use however they want — a political concept that signals he's thinking beyond B2B software into systemic societal impact. Whether this is idealism or positioning, it attracts talent and grants.</w:t>
      </w:r>
    </w:p>
    <w:p>
      <w:pPr>
        <w:spacing w:before="240" w:after="120"/>
      </w:pPr>
      <w:r>
        <w:rPr>
          <w:rFonts w:ascii="Calibri" w:hAnsi="Calibri"/>
          <w:b/>
          <w:color w:val="1B3A5C"/>
          <w:sz w:val="32"/>
        </w:rPr>
        <w:t>Models &amp; Technical Position</w:t>
      </w:r>
    </w:p>
    <w:p>
      <w:pPr>
        <w:pStyle w:val="ListBullet"/>
        <w:spacing w:after="60"/>
        <w:ind w:left="360"/>
      </w:pPr>
      <w:r>
        <w:rPr>
          <w:rFonts w:ascii="Calibri" w:hAnsi="Calibri"/>
          <w:color w:val="333333"/>
          <w:sz w:val="22"/>
        </w:rPr>
        <w:t>GPT-5.4 (current flagship): multimodal, reasoning-capable, widely deployed via ChatGPT and API</w:t>
      </w:r>
    </w:p>
    <w:p>
      <w:pPr>
        <w:pStyle w:val="ListBullet"/>
        <w:spacing w:after="60"/>
        <w:ind w:left="360"/>
      </w:pPr>
      <w:r>
        <w:rPr>
          <w:rFonts w:ascii="Calibri" w:hAnsi="Calibri"/>
          <w:color w:val="333333"/>
          <w:sz w:val="22"/>
        </w:rPr>
        <w:t>o3/o4 series: 'reasoning models' that think step-by-step, showing dramatic improvements on math and code</w:t>
      </w:r>
    </w:p>
    <w:p>
      <w:pPr>
        <w:pStyle w:val="ListBullet"/>
        <w:spacing w:after="60"/>
        <w:ind w:left="360"/>
      </w:pPr>
      <w:r>
        <w:rPr>
          <w:rFonts w:ascii="Calibri" w:hAnsi="Calibri"/>
          <w:color w:val="333333"/>
          <w:sz w:val="22"/>
        </w:rPr>
        <w:t>Sora: text-to-video model competing with Google Veo</w:t>
      </w:r>
    </w:p>
    <w:p>
      <w:pPr>
        <w:pStyle w:val="ListBullet"/>
        <w:spacing w:after="60"/>
        <w:ind w:left="360"/>
      </w:pPr>
      <w:r>
        <w:rPr>
          <w:rFonts w:ascii="Calibri" w:hAnsi="Calibri"/>
          <w:color w:val="333333"/>
          <w:sz w:val="22"/>
        </w:rPr>
        <w:t>DALL-E / GPT Image: leading text-to-image generation</w:t>
      </w:r>
    </w:p>
    <w:p>
      <w:pPr>
        <w:pStyle w:val="ListBullet"/>
        <w:spacing w:after="60"/>
        <w:ind w:left="360"/>
      </w:pPr>
      <w:r>
        <w:rPr>
          <w:rFonts w:ascii="Calibri" w:hAnsi="Calibri"/>
          <w:color w:val="333333"/>
          <w:sz w:val="22"/>
        </w:rPr>
        <w:t>Internal frontier: OpenAI evaluates models internally before any release. Their 'Preparedness Framework' gates releases based on safety scores.</w:t>
      </w:r>
    </w:p>
    <w:p>
      <w:pPr>
        <w:spacing w:before="240" w:after="120"/>
      </w:pPr>
      <w:r>
        <w:rPr>
          <w:rFonts w:ascii="Calibri" w:hAnsi="Calibri"/>
          <w:b/>
          <w:color w:val="1B3A5C"/>
          <w:sz w:val="32"/>
        </w:rPr>
        <w:t>Financials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pPr>
              <w:jc w:val="center"/>
            </w:pPr>
            <w:r>
              <w:rPr>
                <w:rFonts w:ascii="Calibri" w:hAnsi="Calibri"/>
                <w:b/>
                <w:color w:val="FFFFFF"/>
                <w:sz w:val="20"/>
              </w:rPr>
              <w:t>Metric</w:t>
            </w:r>
          </w:p>
        </w:tc>
        <w:tc>
          <w:tcPr>
            <w:tcW w:type="dxa" w:w="2880"/>
            <w:shd w:fill="1B3A5C" w:val="clear"/>
          </w:tcPr>
          <w:p>
            <w:pPr>
              <w:jc w:val="center"/>
            </w:pPr>
            <w:r>
              <w:rPr>
                <w:rFonts w:ascii="Calibri" w:hAnsi="Calibri"/>
                <w:b/>
                <w:color w:val="FFFFFF"/>
                <w:sz w:val="20"/>
              </w:rPr>
              <w:t>Value</w:t>
            </w:r>
          </w:p>
        </w:tc>
        <w:tc>
          <w:tcPr>
            <w:tcW w:type="dxa" w:w="2880"/>
            <w:shd w:fill="1B3A5C" w:val="clear"/>
          </w:tcPr>
          <w:p>
            <w:pPr>
              <w:jc w:val="center"/>
            </w:pPr>
            <w:r>
              <w:rPr>
                <w:rFonts w:ascii="Calibri" w:hAnsi="Calibri"/>
                <w:b/>
                <w:color w:val="FFFFFF"/>
                <w:sz w:val="20"/>
              </w:rPr>
              <w:t>Notes</w:t>
            </w:r>
          </w:p>
        </w:tc>
      </w:tr>
      <w:tr>
        <w:tc>
          <w:tcPr>
            <w:tcW w:type="dxa" w:w="2880"/>
            <w:shd w:fill="E8EFF8" w:val="clear"/>
          </w:tcPr>
          <w:p>
            <w:pPr>
              <w:jc w:val="left"/>
            </w:pPr>
            <w:r>
              <w:rPr>
                <w:rFonts w:ascii="Calibri" w:hAnsi="Calibri"/>
                <w:b/>
                <w:color w:val="1B3A5C"/>
                <w:sz w:val="20"/>
              </w:rPr>
              <w:t>Revenue (2025)</w:t>
            </w:r>
          </w:p>
        </w:tc>
        <w:tc>
          <w:tcPr>
            <w:tcW w:type="dxa" w:w="2880"/>
            <w:shd w:fill="F5F5F5" w:val="clear"/>
          </w:tcPr>
          <w:p>
            <w:pPr>
              <w:jc w:val="center"/>
            </w:pPr>
            <w:r>
              <w:rPr>
                <w:rFonts w:ascii="Calibri" w:hAnsi="Calibri"/>
                <w:color w:val="333333"/>
                <w:sz w:val="20"/>
              </w:rPr>
              <w:t>$13.1 Billion</w:t>
            </w:r>
          </w:p>
        </w:tc>
        <w:tc>
          <w:tcPr>
            <w:tcW w:type="dxa" w:w="2880"/>
            <w:shd w:fill="F5F5F5" w:val="clear"/>
          </w:tcPr>
          <w:p>
            <w:pPr>
              <w:jc w:val="center"/>
            </w:pPr>
            <w:r>
              <w:rPr>
                <w:rFonts w:ascii="Calibri" w:hAnsi="Calibri"/>
                <w:color w:val="333333"/>
                <w:sz w:val="20"/>
              </w:rPr>
              <w:t>Growing ~100% YoY</w:t>
            </w:r>
          </w:p>
        </w:tc>
      </w:tr>
      <w:tr>
        <w:tc>
          <w:tcPr>
            <w:tcW w:type="dxa" w:w="2880"/>
            <w:shd w:fill="E8EFF8" w:val="clear"/>
          </w:tcPr>
          <w:p>
            <w:pPr>
              <w:jc w:val="left"/>
            </w:pPr>
            <w:r>
              <w:rPr>
                <w:rFonts w:ascii="Calibri" w:hAnsi="Calibri"/>
                <w:b/>
                <w:color w:val="1B3A5C"/>
                <w:sz w:val="20"/>
              </w:rPr>
              <w:t>Net Income (2025)</w:t>
            </w:r>
          </w:p>
        </w:tc>
        <w:tc>
          <w:tcPr>
            <w:tcW w:type="dxa" w:w="2880"/>
            <w:shd w:fill="FFFFFF" w:val="clear"/>
          </w:tcPr>
          <w:p>
            <w:pPr>
              <w:jc w:val="center"/>
            </w:pPr>
            <w:r>
              <w:rPr>
                <w:rFonts w:ascii="Calibri" w:hAnsi="Calibri"/>
                <w:color w:val="333333"/>
                <w:sz w:val="20"/>
              </w:rPr>
              <w:t>-$9 Billion</w:t>
            </w:r>
          </w:p>
        </w:tc>
        <w:tc>
          <w:tcPr>
            <w:tcW w:type="dxa" w:w="2880"/>
            <w:shd w:fill="FFFFFF" w:val="clear"/>
          </w:tcPr>
          <w:p>
            <w:pPr>
              <w:jc w:val="center"/>
            </w:pPr>
            <w:r>
              <w:rPr>
                <w:rFonts w:ascii="Calibri" w:hAnsi="Calibri"/>
                <w:color w:val="333333"/>
                <w:sz w:val="20"/>
              </w:rPr>
              <w:t>Still burning cash at scale</w:t>
            </w:r>
          </w:p>
        </w:tc>
      </w:tr>
      <w:tr>
        <w:tc>
          <w:tcPr>
            <w:tcW w:type="dxa" w:w="2880"/>
            <w:shd w:fill="E8EFF8" w:val="clear"/>
          </w:tcPr>
          <w:p>
            <w:pPr>
              <w:jc w:val="left"/>
            </w:pPr>
            <w:r>
              <w:rPr>
                <w:rFonts w:ascii="Calibri" w:hAnsi="Calibri"/>
                <w:b/>
                <w:color w:val="1B3A5C"/>
                <w:sz w:val="20"/>
              </w:rPr>
              <w:t>Valuation (Oct 2025)</w:t>
            </w:r>
          </w:p>
        </w:tc>
        <w:tc>
          <w:tcPr>
            <w:tcW w:type="dxa" w:w="2880"/>
            <w:shd w:fill="F5F5F5" w:val="clear"/>
          </w:tcPr>
          <w:p>
            <w:pPr>
              <w:jc w:val="center"/>
            </w:pPr>
            <w:r>
              <w:rPr>
                <w:rFonts w:ascii="Calibri" w:hAnsi="Calibri"/>
                <w:color w:val="333333"/>
                <w:sz w:val="20"/>
              </w:rPr>
              <w:t>$500 Billion</w:t>
            </w:r>
          </w:p>
        </w:tc>
        <w:tc>
          <w:tcPr>
            <w:tcW w:type="dxa" w:w="2880"/>
            <w:shd w:fill="F5F5F5" w:val="clear"/>
          </w:tcPr>
          <w:p>
            <w:pPr>
              <w:jc w:val="center"/>
            </w:pPr>
            <w:r>
              <w:rPr>
                <w:rFonts w:ascii="Calibri" w:hAnsi="Calibri"/>
                <w:color w:val="333333"/>
                <w:sz w:val="20"/>
              </w:rPr>
              <w:t>Share sale at this price</w:t>
            </w:r>
          </w:p>
        </w:tc>
      </w:tr>
      <w:tr>
        <w:tc>
          <w:tcPr>
            <w:tcW w:type="dxa" w:w="2880"/>
            <w:shd w:fill="E8EFF8" w:val="clear"/>
          </w:tcPr>
          <w:p>
            <w:pPr>
              <w:jc w:val="left"/>
            </w:pPr>
            <w:r>
              <w:rPr>
                <w:rFonts w:ascii="Calibri" w:hAnsi="Calibri"/>
                <w:b/>
                <w:color w:val="1B3A5C"/>
                <w:sz w:val="20"/>
              </w:rPr>
              <w:t>Employees</w:t>
            </w:r>
          </w:p>
        </w:tc>
        <w:tc>
          <w:tcPr>
            <w:tcW w:type="dxa" w:w="2880"/>
            <w:shd w:fill="FFFFFF" w:val="clear"/>
          </w:tcPr>
          <w:p>
            <w:pPr>
              <w:jc w:val="center"/>
            </w:pPr>
            <w:r>
              <w:rPr>
                <w:rFonts w:ascii="Calibri" w:hAnsi="Calibri"/>
                <w:color w:val="333333"/>
                <w:sz w:val="20"/>
              </w:rPr>
              <w:t>~4,500</w:t>
            </w:r>
          </w:p>
        </w:tc>
        <w:tc>
          <w:tcPr>
            <w:tcW w:type="dxa" w:w="2880"/>
            <w:shd w:fill="FFFFFF" w:val="clear"/>
          </w:tcPr>
          <w:p>
            <w:pPr>
              <w:jc w:val="center"/>
            </w:pPr>
            <w:r>
              <w:rPr>
                <w:rFonts w:ascii="Calibri" w:hAnsi="Calibri"/>
                <w:color w:val="333333"/>
                <w:sz w:val="20"/>
              </w:rPr>
              <w:t>2026 estimate</w:t>
            </w:r>
          </w:p>
        </w:tc>
      </w:tr>
      <w:tr>
        <w:tc>
          <w:tcPr>
            <w:tcW w:type="dxa" w:w="2880"/>
            <w:shd w:fill="E8EFF8" w:val="clear"/>
          </w:tcPr>
          <w:p>
            <w:pPr>
              <w:jc w:val="left"/>
            </w:pPr>
            <w:r>
              <w:rPr>
                <w:rFonts w:ascii="Calibri" w:hAnsi="Calibri"/>
                <w:b/>
                <w:color w:val="1B3A5C"/>
                <w:sz w:val="20"/>
              </w:rPr>
              <w:t>Ownership</w:t>
            </w:r>
          </w:p>
        </w:tc>
        <w:tc>
          <w:tcPr>
            <w:tcW w:type="dxa" w:w="2880"/>
            <w:shd w:fill="F5F5F5" w:val="clear"/>
          </w:tcPr>
          <w:p>
            <w:pPr>
              <w:jc w:val="center"/>
            </w:pPr>
            <w:r>
              <w:rPr>
                <w:rFonts w:ascii="Calibri" w:hAnsi="Calibri"/>
                <w:color w:val="333333"/>
                <w:sz w:val="20"/>
              </w:rPr>
              <w:t>47% employees/investors, 27% Microsoft, 26% OpenAI Foundation</w:t>
            </w:r>
          </w:p>
        </w:tc>
        <w:tc>
          <w:tcPr>
            <w:tcW w:type="dxa" w:w="2880"/>
            <w:shd w:fill="F5F5F5" w:val="clear"/>
          </w:tcPr>
          <w:p>
            <w:pPr>
              <w:jc w:val="center"/>
            </w:pPr>
            <w:r>
              <w:rPr>
                <w:rFonts w:ascii="Calibri" w:hAnsi="Calibri"/>
                <w:color w:val="333333"/>
                <w:sz w:val="20"/>
              </w:rPr>
              <w:t>Post-restructuring</w:t>
            </w:r>
          </w:p>
        </w:tc>
      </w:tr>
      <w:tr>
        <w:tc>
          <w:tcPr>
            <w:tcW w:type="dxa" w:w="2880"/>
            <w:shd w:fill="E8EFF8" w:val="clear"/>
          </w:tcPr>
          <w:p>
            <w:pPr>
              <w:jc w:val="left"/>
            </w:pPr>
            <w:r>
              <w:rPr>
                <w:rFonts w:ascii="Calibri" w:hAnsi="Calibri"/>
                <w:b/>
                <w:color w:val="1B3A5C"/>
                <w:sz w:val="20"/>
              </w:rPr>
              <w:t>Revenue Run Rate (Target)</w:t>
            </w:r>
          </w:p>
        </w:tc>
        <w:tc>
          <w:tcPr>
            <w:tcW w:type="dxa" w:w="2880"/>
            <w:shd w:fill="FFFFFF" w:val="clear"/>
          </w:tcPr>
          <w:p>
            <w:pPr>
              <w:jc w:val="center"/>
            </w:pPr>
            <w:r>
              <w:rPr>
                <w:rFonts w:ascii="Calibri" w:hAnsi="Calibri"/>
                <w:color w:val="333333"/>
                <w:sz w:val="20"/>
              </w:rPr>
              <w:t>$100B by 2029</w:t>
            </w:r>
          </w:p>
        </w:tc>
        <w:tc>
          <w:tcPr>
            <w:tcW w:type="dxa" w:w="2880"/>
            <w:shd w:fill="FFFFFF" w:val="clear"/>
          </w:tcPr>
          <w:p>
            <w:pPr>
              <w:jc w:val="center"/>
            </w:pPr>
            <w:r>
              <w:rPr>
                <w:rFonts w:ascii="Calibri" w:hAnsi="Calibri"/>
                <w:color w:val="333333"/>
                <w:sz w:val="20"/>
              </w:rPr>
              <w:t>Per internal projections</w:t>
            </w:r>
          </w:p>
        </w:tc>
      </w:tr>
    </w:tbl>
    <w:p/>
    <w:p>
      <w:pPr>
        <w:spacing w:before="240" w:after="120"/>
      </w:pPr>
      <w:r>
        <w:rPr>
          <w:rFonts w:ascii="Calibri" w:hAnsi="Calibri"/>
          <w:b/>
          <w:color w:val="1B3A5C"/>
          <w:sz w:val="32"/>
        </w:rPr>
        <w:t>Corporate Structure — The PBC Restructuring</w:t>
      </w:r>
    </w:p>
    <w:p>
      <w:pPr>
        <w:spacing w:after="120" w:before="40"/>
      </w:pPr>
      <w:r>
        <w:rPr>
          <w:rFonts w:ascii="Calibri" w:hAnsi="Calibri"/>
          <w:color w:val="333333"/>
          <w:sz w:val="22"/>
        </w:rPr>
        <w:t>OpenAI completed a landmark restructuring in 2025: the for-profit subsidiary converted from a capped-profit LLC to a Public Benefit Corporation (PBC). The nonprofit OpenAI Foundation now owns 26% of the PBC. This means:</w:t>
      </w:r>
    </w:p>
    <w:p>
      <w:pPr>
        <w:pStyle w:val="ListBullet"/>
        <w:spacing w:after="60"/>
        <w:ind w:left="360"/>
      </w:pPr>
      <w:r>
        <w:rPr>
          <w:rFonts w:ascii="Calibri" w:hAnsi="Calibri"/>
          <w:color w:val="333333"/>
          <w:sz w:val="22"/>
        </w:rPr>
        <w:t>GOOD: Investors can now hold equity with normal economics (not capped at 100x returns)</w:t>
      </w:r>
    </w:p>
    <w:p>
      <w:pPr>
        <w:pStyle w:val="ListBullet"/>
        <w:spacing w:after="60"/>
        <w:ind w:left="360"/>
      </w:pPr>
      <w:r>
        <w:rPr>
          <w:rFonts w:ascii="Calibri" w:hAnsi="Calibri"/>
          <w:color w:val="333333"/>
          <w:sz w:val="22"/>
        </w:rPr>
        <w:t>GOOD: Path to IPO is cleaner — PBC structure is well understood by markets</w:t>
      </w:r>
    </w:p>
    <w:p>
      <w:pPr>
        <w:pStyle w:val="ListBullet"/>
        <w:spacing w:after="60"/>
        <w:ind w:left="360"/>
      </w:pPr>
      <w:r>
        <w:rPr>
          <w:rFonts w:ascii="Calibri" w:hAnsi="Calibri"/>
          <w:color w:val="333333"/>
          <w:sz w:val="22"/>
        </w:rPr>
        <w:t>CONCERN: The nonprofit Foundation retains significant governance influence and 26% economic stake</w:t>
      </w:r>
    </w:p>
    <w:p>
      <w:pPr>
        <w:pStyle w:val="ListBullet"/>
        <w:spacing w:after="60"/>
        <w:ind w:left="360"/>
      </w:pPr>
      <w:r>
        <w:rPr>
          <w:rFonts w:ascii="Calibri" w:hAnsi="Calibri"/>
          <w:color w:val="333333"/>
          <w:sz w:val="22"/>
        </w:rPr>
        <w:t>CONCERN: No IPO timeline confirmed — pre-IPO investors are locked up</w:t>
      </w:r>
    </w:p>
    <w:p>
      <w:pPr>
        <w:pStyle w:val="ListBullet"/>
        <w:spacing w:after="60"/>
        <w:ind w:left="360"/>
      </w:pPr>
      <w:r>
        <w:rPr>
          <w:rFonts w:ascii="Calibri" w:hAnsi="Calibri"/>
          <w:color w:val="333333"/>
          <w:sz w:val="22"/>
        </w:rPr>
        <w:t>MSFT NOTE: Microsoft's stake was negotiated before the restructuring. Per reports, MSFT had ~49% profit share rights that were renegotiated down to 27% in the PBC restructuring.</w:t>
      </w:r>
    </w:p>
    <w:p>
      <w:pPr>
        <w:spacing w:before="240" w:after="120"/>
      </w:pPr>
      <w:r>
        <w:rPr>
          <w:rFonts w:ascii="Calibri" w:hAnsi="Calibri"/>
          <w:b/>
          <w:color w:val="1B3A5C"/>
          <w:sz w:val="32"/>
        </w:rPr>
        <w:t>Buffett Assessment</w:t>
      </w:r>
    </w:p>
    <w:p>
      <w:pPr>
        <w:pStyle w:val="ListBullet"/>
        <w:spacing w:after="60"/>
        <w:ind w:left="360"/>
      </w:pPr>
      <w:r>
        <w:rPr>
          <w:rFonts w:ascii="Calibri" w:hAnsi="Calibri"/>
          <w:b/>
          <w:color w:val="333333"/>
          <w:sz w:val="22"/>
        </w:rPr>
        <w:t xml:space="preserve">Moat: </w:t>
      </w:r>
      <w:r>
        <w:rPr>
          <w:rFonts w:ascii="Calibri" w:hAnsi="Calibri"/>
          <w:color w:val="333333"/>
          <w:sz w:val="22"/>
        </w:rPr>
        <w:t>MOAT: Strongest consumer brand in AI (ChatGPT), massive API install base, enterprise integrations, OpenAI's models power thousands of other products.</w:t>
      </w:r>
    </w:p>
    <w:p>
      <w:pPr>
        <w:pStyle w:val="ListBullet"/>
        <w:spacing w:after="60"/>
        <w:ind w:left="360"/>
      </w:pPr>
      <w:r>
        <w:rPr>
          <w:rFonts w:ascii="Calibri" w:hAnsi="Calibri"/>
          <w:b/>
          <w:color w:val="333333"/>
          <w:sz w:val="22"/>
        </w:rPr>
        <w:t xml:space="preserve">Management Risk: </w:t>
      </w:r>
      <w:r>
        <w:rPr>
          <w:rFonts w:ascii="Calibri" w:hAnsi="Calibri"/>
          <w:color w:val="333333"/>
          <w:sz w:val="22"/>
        </w:rPr>
        <w:t>Microsoft's 27% profit claim + Azure dependency creates structural tension. Governance risk from nonprofit board.</w:t>
      </w:r>
    </w:p>
    <w:p>
      <w:pPr>
        <w:pStyle w:val="ListBullet"/>
        <w:spacing w:after="60"/>
        <w:ind w:left="360"/>
      </w:pPr>
      <w:r>
        <w:rPr>
          <w:rFonts w:ascii="Calibri" w:hAnsi="Calibri"/>
          <w:b/>
          <w:color w:val="333333"/>
          <w:sz w:val="22"/>
        </w:rPr>
        <w:t xml:space="preserve">Margin of Safety: </w:t>
      </w:r>
      <w:r>
        <w:rPr>
          <w:rFonts w:ascii="Calibri" w:hAnsi="Calibri"/>
          <w:color w:val="333333"/>
          <w:sz w:val="22"/>
        </w:rPr>
        <w:t>At $500B valuation with -$9B net income, you're paying for the future, not the present. Revenue of $13.1B growing at 100%+ supports optimism, but the margin of safety is thin.</w:t>
      </w:r>
    </w:p>
    <w:p>
      <w:pPr>
        <w:pStyle w:val="ListBullet"/>
        <w:spacing w:after="60"/>
        <w:ind w:left="360"/>
      </w:pPr>
      <w:r>
        <w:rPr>
          <w:rFonts w:ascii="Calibri" w:hAnsi="Calibri"/>
          <w:b/>
          <w:color w:val="333333"/>
          <w:sz w:val="22"/>
        </w:rPr>
        <w:t xml:space="preserve">Investment Vehicle: </w:t>
      </w:r>
      <w:r>
        <w:rPr>
          <w:rFonts w:ascii="Calibri" w:hAnsi="Calibri"/>
          <w:color w:val="333333"/>
          <w:sz w:val="22"/>
        </w:rPr>
        <w:t>EquityZen, Forge Global, Linqto (minimums: $10K-$50K, 30%+ illiquidity discount applies). For $1.9M portfolio, limit to $20K max.</w:t>
      </w:r>
    </w:p>
    <w:tbl>
      <w:tblPr>
        <w:tblStyle w:val="TableGrid"/>
        <w:tblW w:type="auto" w:w="0"/>
        <w:tblLook w:firstColumn="1" w:firstRow="1" w:lastColumn="0" w:lastRow="0" w:noHBand="0" w:noVBand="1" w:val="04A0"/>
      </w:tblPr>
      <w:tblGrid>
        <w:gridCol w:w="8640"/>
      </w:tblGrid>
      <w:tr>
        <w:tc>
          <w:tcPr>
            <w:tcW w:type="dxa" w:w="8640"/>
            <w:shd w:fill="E8F4FF" w:val="clear"/>
          </w:tcPr>
          <w:p>
            <w:r>
              <w:rPr>
                <w:rFonts w:ascii="Calibri" w:hAnsi="Calibri"/>
                <w:b/>
                <w:color w:val="1B3A5C"/>
                <w:sz w:val="22"/>
              </w:rPr>
              <w:t xml:space="preserve">ROB'S TAKE:  </w:t>
            </w:r>
            <w:r>
              <w:rPr>
                <w:rFonts w:ascii="Calibri" w:hAnsi="Calibri"/>
                <w:color w:val="333333"/>
                <w:sz w:val="20"/>
              </w:rPr>
              <w:t>OpenAI is the most famous AI company and probably the worst current value. You're being asked to pay $500B for a company losing $9B/year. The MSFT proxy is better — you get 27% of OpenAI's profits PLUS Azure AI PLUS Copilot enterprise AND you can sell tomorrow if you're wrong.</w:t>
            </w:r>
          </w:p>
        </w:tc>
      </w:tr>
    </w:tbl>
    <w:p/>
    <w:p/>
    <w:tbl>
      <w:tblPr>
        <w:tblStyle w:val="TableGrid"/>
        <w:tblW w:type="auto" w:w="0"/>
        <w:tblLook w:firstColumn="1" w:firstRow="1" w:lastColumn="0" w:lastRow="0" w:noHBand="0" w:noVBand="1" w:val="04A0"/>
      </w:tblPr>
      <w:tblGrid>
        <w:gridCol w:w="864"/>
        <w:gridCol w:w="2880"/>
        <w:gridCol w:w="2160"/>
      </w:tblGrid>
      <w:tr>
        <w:tc>
          <w:tcPr>
            <w:tcW w:type="dxa" w:w="2880"/>
            <w:shd w:fill="1B3A5C" w:val="clear"/>
          </w:tcPr>
          <w:p>
            <w:pPr>
              <w:jc w:val="center"/>
            </w:pPr>
            <w:r>
              <w:rPr>
                <w:rFonts w:ascii="Calibri" w:hAnsi="Calibri"/>
                <w:b/>
                <w:color w:val="E89A1A"/>
                <w:sz w:val="36"/>
              </w:rPr>
              <w:t>02</w:t>
            </w:r>
          </w:p>
        </w:tc>
        <w:tc>
          <w:tcPr>
            <w:tcW w:type="dxa" w:w="2880"/>
            <w:shd w:fill="1B3A5C" w:val="clear"/>
          </w:tcPr>
          <w:p>
            <w:r>
              <w:rPr>
                <w:rFonts w:ascii="Calibri" w:hAnsi="Calibri"/>
                <w:b/>
                <w:color w:val="FFFFFF"/>
                <w:sz w:val="28"/>
              </w:rPr>
              <w:t>Anthropic  |  Pre-IPO | AMZN/GOOGL proxy</w:t>
            </w:r>
          </w:p>
        </w:tc>
        <w:tc>
          <w:tcPr>
            <w:tcW w:type="dxa" w:w="2880"/>
            <w:shd w:fill="CC2222" w:val="clear"/>
          </w:tcPr>
          <w:p>
            <w:pPr>
              <w:jc w:val="center"/>
            </w:pPr>
            <w:r>
              <w:rPr>
                <w:rFonts w:ascii="Calibri" w:hAnsi="Calibri"/>
                <w:b/>
                <w:color w:val="FFFFFF"/>
                <w:sz w:val="22"/>
              </w:rPr>
              <w:t>⭐ STRONG — Best Private Bet</w:t>
            </w:r>
          </w:p>
        </w:tc>
      </w:tr>
    </w:tbl>
    <w:p/>
    <w:p>
      <w:pPr>
        <w:spacing w:before="240" w:after="120"/>
      </w:pPr>
      <w:r>
        <w:rPr>
          <w:rFonts w:ascii="Calibri" w:hAnsi="Calibri"/>
          <w:b/>
          <w:color w:val="1B3A5C"/>
          <w:sz w:val="32"/>
        </w:rPr>
        <w:t>CEO &amp; Vision: Dario Amodei</w:t>
      </w:r>
    </w:p>
    <w:p>
      <w:pPr>
        <w:spacing w:after="120" w:before="40"/>
      </w:pPr>
      <w:r>
        <w:rPr>
          <w:rFonts w:ascii="Calibri" w:hAnsi="Calibri"/>
          <w:color w:val="333333"/>
          <w:sz w:val="22"/>
        </w:rPr>
        <w:t>Dario Amodei is the most intellectually serious CEO in this cohort. Former VP of Research at OpenAI, PhD-level physicist, co-author of major AI safety research. He left OpenAI with six colleagues in 2021 citing safety concerns about the pace of commercialization. His essay 'Machines of Loving Grace' (2024) is the most ambitious articulation of AI-driven human flourishing: compressing 50-100 years of medical progress into 5-10 years, eradicating poverty, enabling scientific discovery at speeds humans cannot achieve alone.</w:t>
      </w:r>
    </w:p>
    <w:p>
      <w:pPr>
        <w:spacing w:after="120" w:before="40"/>
      </w:pPr>
      <w:r>
        <w:rPr>
          <w:rFonts w:ascii="Calibri" w:hAnsi="Calibri"/>
          <w:color w:val="333333"/>
          <w:sz w:val="22"/>
        </w:rPr>
        <w:t>Anthropic's MTP (Massive Transformative Purpose): 'The responsible development and maintenance of advanced AI for the long-term benefit of humanity.' Unlike competitors, they've operationalized this in their Responsible Scaling Policy — a commitment to not deploy models above certain capability thresholds without corresponding safety measures.</w:t>
      </w:r>
    </w:p>
    <w:p>
      <w:pPr>
        <w:spacing w:before="240" w:after="120"/>
      </w:pPr>
      <w:r>
        <w:rPr>
          <w:rFonts w:ascii="Calibri" w:hAnsi="Calibri"/>
          <w:b/>
          <w:color w:val="1B3A5C"/>
          <w:sz w:val="32"/>
        </w:rPr>
        <w:t>Models &amp; The Mythos Revelation</w:t>
      </w:r>
    </w:p>
    <w:p>
      <w:pPr>
        <w:pStyle w:val="ListBullet"/>
        <w:spacing w:after="60"/>
        <w:ind w:left="360"/>
      </w:pPr>
      <w:r>
        <w:rPr>
          <w:rFonts w:ascii="Calibri" w:hAnsi="Calibri"/>
          <w:color w:val="333333"/>
          <w:sz w:val="22"/>
        </w:rPr>
        <w:t>Claude Opus 4: Current frontier public model. State-of-the-art on coding, reasoning, and safety benchmarks.</w:t>
      </w:r>
    </w:p>
    <w:p>
      <w:pPr>
        <w:pStyle w:val="ListBullet"/>
        <w:spacing w:after="60"/>
        <w:ind w:left="360"/>
      </w:pPr>
      <w:r>
        <w:rPr>
          <w:rFonts w:ascii="Calibri" w:hAnsi="Calibri"/>
          <w:color w:val="333333"/>
          <w:sz w:val="22"/>
        </w:rPr>
        <w:t>Claude Sonnet 4 / Haiku 4: Mid-tier and fast models for enterprise deployment and API access.</w:t>
      </w:r>
    </w:p>
    <w:p>
      <w:pPr>
        <w:pStyle w:val="ListBullet"/>
        <w:spacing w:after="60"/>
        <w:ind w:left="360"/>
      </w:pPr>
      <w:r>
        <w:rPr>
          <w:rFonts w:ascii="Calibri" w:hAnsi="Calibri"/>
          <w:color w:val="333333"/>
          <w:sz w:val="22"/>
        </w:rPr>
        <w:t>Model Context Protocol (MCP): Anthropic's open standard for connecting AI to tools and data — now widely adopted across the industry, creating an ecosystem lock-in similar to how HTTP standardized the web.</w:t>
      </w:r>
    </w:p>
    <w:p>
      <w:pPr>
        <w:pStyle w:val="ListBullet"/>
        <w:spacing w:after="60"/>
        <w:ind w:left="360"/>
      </w:pPr>
      <w:r>
        <w:rPr>
          <w:rFonts w:ascii="Calibri" w:hAnsi="Calibri"/>
          <w:color w:val="333333"/>
          <w:sz w:val="22"/>
        </w:rPr>
        <w:t>Mythos (unreleased): The internally designated name for Anthropic's most powerful model that has not been publicly deployed. Per industry reporting, Mythos demonstrates capabilities in specific scientific domains that exceed publicly available models but has not cleared Anthropic's safety thresholds for release. This is EXACTLY the kind of responsible restraint that makes Anthropic both the most trusted and potentially most valuable long-term bet.</w:t>
      </w:r>
    </w:p>
    <w:p>
      <w:pPr>
        <w:spacing w:before="240" w:after="120"/>
      </w:pPr>
      <w:r>
        <w:rPr>
          <w:rFonts w:ascii="Calibri" w:hAnsi="Calibri"/>
          <w:b/>
          <w:color w:val="1B3A5C"/>
          <w:sz w:val="32"/>
        </w:rPr>
        <w:t>Financials &amp; Funding</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pPr>
              <w:jc w:val="center"/>
            </w:pPr>
            <w:r>
              <w:rPr>
                <w:rFonts w:ascii="Calibri" w:hAnsi="Calibri"/>
                <w:b/>
                <w:color w:val="FFFFFF"/>
                <w:sz w:val="20"/>
              </w:rPr>
              <w:t>Metric</w:t>
            </w:r>
          </w:p>
        </w:tc>
        <w:tc>
          <w:tcPr>
            <w:tcW w:type="dxa" w:w="2880"/>
            <w:shd w:fill="1B3A5C" w:val="clear"/>
          </w:tcPr>
          <w:p>
            <w:pPr>
              <w:jc w:val="center"/>
            </w:pPr>
            <w:r>
              <w:rPr>
                <w:rFonts w:ascii="Calibri" w:hAnsi="Calibri"/>
                <w:b/>
                <w:color w:val="FFFFFF"/>
                <w:sz w:val="20"/>
              </w:rPr>
              <w:t>Value</w:t>
            </w:r>
          </w:p>
        </w:tc>
        <w:tc>
          <w:tcPr>
            <w:tcW w:type="dxa" w:w="2880"/>
            <w:shd w:fill="1B3A5C" w:val="clear"/>
          </w:tcPr>
          <w:p>
            <w:pPr>
              <w:jc w:val="center"/>
            </w:pPr>
            <w:r>
              <w:rPr>
                <w:rFonts w:ascii="Calibri" w:hAnsi="Calibri"/>
                <w:b/>
                <w:color w:val="FFFFFF"/>
                <w:sz w:val="20"/>
              </w:rPr>
              <w:t>Notes</w:t>
            </w:r>
          </w:p>
        </w:tc>
      </w:tr>
      <w:tr>
        <w:tc>
          <w:tcPr>
            <w:tcW w:type="dxa" w:w="2880"/>
            <w:shd w:fill="E8EFF8" w:val="clear"/>
          </w:tcPr>
          <w:p>
            <w:pPr>
              <w:jc w:val="left"/>
            </w:pPr>
            <w:r>
              <w:rPr>
                <w:rFonts w:ascii="Calibri" w:hAnsi="Calibri"/>
                <w:b/>
                <w:color w:val="1B3A5C"/>
                <w:sz w:val="20"/>
              </w:rPr>
              <w:t>Valuation (Feb 2026)</w:t>
            </w:r>
          </w:p>
        </w:tc>
        <w:tc>
          <w:tcPr>
            <w:tcW w:type="dxa" w:w="2880"/>
            <w:shd w:fill="F5F5F5" w:val="clear"/>
          </w:tcPr>
          <w:p>
            <w:pPr>
              <w:jc w:val="center"/>
            </w:pPr>
            <w:r>
              <w:rPr>
                <w:rFonts w:ascii="Calibri" w:hAnsi="Calibri"/>
                <w:color w:val="333333"/>
                <w:sz w:val="20"/>
              </w:rPr>
              <w:t>~$380 Billion</w:t>
            </w:r>
          </w:p>
        </w:tc>
        <w:tc>
          <w:tcPr>
            <w:tcW w:type="dxa" w:w="2880"/>
            <w:shd w:fill="F5F5F5" w:val="clear"/>
          </w:tcPr>
          <w:p>
            <w:pPr>
              <w:jc w:val="center"/>
            </w:pPr>
            <w:r>
              <w:rPr>
                <w:rFonts w:ascii="Calibri" w:hAnsi="Calibri"/>
                <w:color w:val="333333"/>
                <w:sz w:val="20"/>
              </w:rPr>
              <w:t>Estimated per Wikipedia; March 2025 Series E at $61.5B was prior round</w:t>
            </w:r>
          </w:p>
        </w:tc>
      </w:tr>
      <w:tr>
        <w:tc>
          <w:tcPr>
            <w:tcW w:type="dxa" w:w="2880"/>
            <w:shd w:fill="E8EFF8" w:val="clear"/>
          </w:tcPr>
          <w:p>
            <w:pPr>
              <w:jc w:val="left"/>
            </w:pPr>
            <w:r>
              <w:rPr>
                <w:rFonts w:ascii="Calibri" w:hAnsi="Calibri"/>
                <w:b/>
                <w:color w:val="1B3A5C"/>
                <w:sz w:val="20"/>
              </w:rPr>
              <w:t>Total Funding Raised</w:t>
            </w:r>
          </w:p>
        </w:tc>
        <w:tc>
          <w:tcPr>
            <w:tcW w:type="dxa" w:w="2880"/>
            <w:shd w:fill="FFFFFF" w:val="clear"/>
          </w:tcPr>
          <w:p>
            <w:pPr>
              <w:jc w:val="center"/>
            </w:pPr>
            <w:r>
              <w:rPr>
                <w:rFonts w:ascii="Calibri" w:hAnsi="Calibri"/>
                <w:color w:val="333333"/>
                <w:sz w:val="20"/>
              </w:rPr>
              <w:t>~$30.9 Billion</w:t>
            </w:r>
          </w:p>
        </w:tc>
        <w:tc>
          <w:tcPr>
            <w:tcW w:type="dxa" w:w="2880"/>
            <w:shd w:fill="FFFFFF" w:val="clear"/>
          </w:tcPr>
          <w:p>
            <w:pPr>
              <w:jc w:val="center"/>
            </w:pPr>
            <w:r>
              <w:rPr>
                <w:rFonts w:ascii="Calibri" w:hAnsi="Calibri"/>
                <w:color w:val="333333"/>
                <w:sz w:val="20"/>
              </w:rPr>
              <w:t>Multiple rounds including Amazon, Google</w:t>
            </w:r>
          </w:p>
        </w:tc>
      </w:tr>
      <w:tr>
        <w:tc>
          <w:tcPr>
            <w:tcW w:type="dxa" w:w="2880"/>
            <w:shd w:fill="E8EFF8" w:val="clear"/>
          </w:tcPr>
          <w:p>
            <w:pPr>
              <w:jc w:val="left"/>
            </w:pPr>
            <w:r>
              <w:rPr>
                <w:rFonts w:ascii="Calibri" w:hAnsi="Calibri"/>
                <w:b/>
                <w:color w:val="1B3A5C"/>
                <w:sz w:val="20"/>
              </w:rPr>
              <w:t>Amazon Investment</w:t>
            </w:r>
          </w:p>
        </w:tc>
        <w:tc>
          <w:tcPr>
            <w:tcW w:type="dxa" w:w="2880"/>
            <w:shd w:fill="F5F5F5" w:val="clear"/>
          </w:tcPr>
          <w:p>
            <w:pPr>
              <w:jc w:val="center"/>
            </w:pPr>
            <w:r>
              <w:rPr>
                <w:rFonts w:ascii="Calibri" w:hAnsi="Calibri"/>
                <w:color w:val="333333"/>
                <w:sz w:val="20"/>
              </w:rPr>
              <w:t>$8 Billion</w:t>
            </w:r>
          </w:p>
        </w:tc>
        <w:tc>
          <w:tcPr>
            <w:tcW w:type="dxa" w:w="2880"/>
            <w:shd w:fill="F5F5F5" w:val="clear"/>
          </w:tcPr>
          <w:p>
            <w:pPr>
              <w:jc w:val="center"/>
            </w:pPr>
            <w:r>
              <w:rPr>
                <w:rFonts w:ascii="Calibri" w:hAnsi="Calibri"/>
                <w:color w:val="333333"/>
                <w:sz w:val="20"/>
              </w:rPr>
              <w:t>Strategic partnership + AWS integration</w:t>
            </w:r>
          </w:p>
        </w:tc>
      </w:tr>
      <w:tr>
        <w:tc>
          <w:tcPr>
            <w:tcW w:type="dxa" w:w="2880"/>
            <w:shd w:fill="E8EFF8" w:val="clear"/>
          </w:tcPr>
          <w:p>
            <w:pPr>
              <w:jc w:val="left"/>
            </w:pPr>
            <w:r>
              <w:rPr>
                <w:rFonts w:ascii="Calibri" w:hAnsi="Calibri"/>
                <w:b/>
                <w:color w:val="1B3A5C"/>
                <w:sz w:val="20"/>
              </w:rPr>
              <w:t>Google Investment</w:t>
            </w:r>
          </w:p>
        </w:tc>
        <w:tc>
          <w:tcPr>
            <w:tcW w:type="dxa" w:w="2880"/>
            <w:shd w:fill="FFFFFF" w:val="clear"/>
          </w:tcPr>
          <w:p>
            <w:pPr>
              <w:jc w:val="center"/>
            </w:pPr>
            <w:r>
              <w:rPr>
                <w:rFonts w:ascii="Calibri" w:hAnsi="Calibri"/>
                <w:color w:val="333333"/>
                <w:sz w:val="20"/>
              </w:rPr>
              <w:t>$2+ Billion</w:t>
            </w:r>
          </w:p>
        </w:tc>
        <w:tc>
          <w:tcPr>
            <w:tcW w:type="dxa" w:w="2880"/>
            <w:shd w:fill="FFFFFF" w:val="clear"/>
          </w:tcPr>
          <w:p>
            <w:pPr>
              <w:jc w:val="center"/>
            </w:pPr>
            <w:r>
              <w:rPr>
                <w:rFonts w:ascii="Calibri" w:hAnsi="Calibri"/>
                <w:color w:val="333333"/>
                <w:sz w:val="20"/>
              </w:rPr>
              <w:t>Also provides TPU compute access</w:t>
            </w:r>
          </w:p>
        </w:tc>
      </w:tr>
      <w:tr>
        <w:tc>
          <w:tcPr>
            <w:tcW w:type="dxa" w:w="2880"/>
            <w:shd w:fill="E8EFF8" w:val="clear"/>
          </w:tcPr>
          <w:p>
            <w:pPr>
              <w:jc w:val="left"/>
            </w:pPr>
            <w:r>
              <w:rPr>
                <w:rFonts w:ascii="Calibri" w:hAnsi="Calibri"/>
                <w:b/>
                <w:color w:val="1B3A5C"/>
                <w:sz w:val="20"/>
              </w:rPr>
              <w:t>Employees</w:t>
            </w:r>
          </w:p>
        </w:tc>
        <w:tc>
          <w:tcPr>
            <w:tcW w:type="dxa" w:w="2880"/>
            <w:shd w:fill="F5F5F5" w:val="clear"/>
          </w:tcPr>
          <w:p>
            <w:pPr>
              <w:jc w:val="center"/>
            </w:pPr>
            <w:r>
              <w:rPr>
                <w:rFonts w:ascii="Calibri" w:hAnsi="Calibri"/>
                <w:color w:val="333333"/>
                <w:sz w:val="20"/>
              </w:rPr>
              <w:t>~2,500</w:t>
            </w:r>
          </w:p>
        </w:tc>
        <w:tc>
          <w:tcPr>
            <w:tcW w:type="dxa" w:w="2880"/>
            <w:shd w:fill="F5F5F5" w:val="clear"/>
          </w:tcPr>
          <w:p>
            <w:pPr>
              <w:jc w:val="center"/>
            </w:pPr>
            <w:r>
              <w:rPr>
                <w:rFonts w:ascii="Calibri" w:hAnsi="Calibri"/>
                <w:color w:val="333333"/>
                <w:sz w:val="20"/>
              </w:rPr>
              <w:t>2026 estimate</w:t>
            </w:r>
          </w:p>
        </w:tc>
      </w:tr>
      <w:tr>
        <w:tc>
          <w:tcPr>
            <w:tcW w:type="dxa" w:w="2880"/>
            <w:shd w:fill="E8EFF8" w:val="clear"/>
          </w:tcPr>
          <w:p>
            <w:pPr>
              <w:jc w:val="left"/>
            </w:pPr>
            <w:r>
              <w:rPr>
                <w:rFonts w:ascii="Calibri" w:hAnsi="Calibri"/>
                <w:b/>
                <w:color w:val="1B3A5C"/>
                <w:sz w:val="20"/>
              </w:rPr>
              <w:t>DeepMind Revenue (proxy)</w:t>
            </w:r>
          </w:p>
        </w:tc>
        <w:tc>
          <w:tcPr>
            <w:tcW w:type="dxa" w:w="2880"/>
            <w:shd w:fill="FFFFFF" w:val="clear"/>
          </w:tcPr>
          <w:p>
            <w:pPr>
              <w:jc w:val="center"/>
            </w:pPr>
            <w:r>
              <w:rPr>
                <w:rFonts w:ascii="Calibri" w:hAnsi="Calibri"/>
                <w:color w:val="333333"/>
                <w:sz w:val="20"/>
              </w:rPr>
              <w:t>£1.33B / $1.7B</w:t>
            </w:r>
          </w:p>
        </w:tc>
        <w:tc>
          <w:tcPr>
            <w:tcW w:type="dxa" w:w="2880"/>
            <w:shd w:fill="FFFFFF" w:val="clear"/>
          </w:tcPr>
          <w:p>
            <w:pPr>
              <w:jc w:val="center"/>
            </w:pPr>
            <w:r>
              <w:rPr>
                <w:rFonts w:ascii="Calibri" w:hAnsi="Calibri"/>
                <w:color w:val="333333"/>
                <w:sz w:val="20"/>
              </w:rPr>
              <w:t>Different company — for scale comparison</w:t>
            </w:r>
          </w:p>
        </w:tc>
      </w:tr>
    </w:tbl>
    <w:p/>
    <w:p>
      <w:pPr>
        <w:spacing w:after="120" w:before="40"/>
      </w:pPr>
      <w:r>
        <w:rPr>
          <w:rFonts w:ascii="Calibri" w:hAnsi="Calibri"/>
          <w:color w:val="333333"/>
          <w:sz w:val="22"/>
        </w:rPr>
        <w:t>Note on the $380B figure: Anthropic's private valuation has increased dramatically as AI capabilities advanced. The March 2025 Series E priced the company at $61.5B. Post-series E secondary transactions and new investor interest pushed implied values higher throughout 2025-2026.</w:t>
      </w:r>
    </w:p>
    <w:p>
      <w:pPr>
        <w:spacing w:before="240" w:after="120"/>
      </w:pPr>
      <w:r>
        <w:rPr>
          <w:rFonts w:ascii="Calibri" w:hAnsi="Calibri"/>
          <w:b/>
          <w:color w:val="1B3A5C"/>
          <w:sz w:val="32"/>
        </w:rPr>
        <w:t>Corporate Structure — Who Benefits?</w:t>
      </w:r>
    </w:p>
    <w:p>
      <w:pPr>
        <w:spacing w:after="120" w:before="40"/>
      </w:pPr>
      <w:r>
        <w:rPr>
          <w:rFonts w:ascii="Calibri" w:hAnsi="Calibri"/>
          <w:color w:val="333333"/>
          <w:sz w:val="22"/>
        </w:rPr>
        <w:t>Key question: If Anthropic succeeds at its AGI mission, where does the value go?</w:t>
      </w:r>
    </w:p>
    <w:p>
      <w:pPr>
        <w:pStyle w:val="ListBullet"/>
        <w:spacing w:after="60"/>
        <w:ind w:left="360"/>
      </w:pPr>
      <w:r>
        <w:rPr>
          <w:rFonts w:ascii="Calibri" w:hAnsi="Calibri"/>
          <w:color w:val="333333"/>
          <w:sz w:val="22"/>
        </w:rPr>
        <w:t>Anthropic is a Public Benefit Corporation. The PBC structure allows it to pursue mission alongside profits — no nonprofit overhang like OpenAI.</w:t>
      </w:r>
    </w:p>
    <w:p>
      <w:pPr>
        <w:pStyle w:val="ListBullet"/>
        <w:spacing w:after="60"/>
        <w:ind w:left="360"/>
      </w:pPr>
      <w:r>
        <w:rPr>
          <w:rFonts w:ascii="Calibri" w:hAnsi="Calibri"/>
          <w:color w:val="333333"/>
          <w:sz w:val="22"/>
        </w:rPr>
        <w:t>Amazon benefits most indirectly: AWS gets exclusive/preferred cloud partner status, meaning Anthropic's success drives Amazon GPU/compute revenue. Buying AMZN gives partial Anthropic exposure.</w:t>
      </w:r>
    </w:p>
    <w:p>
      <w:pPr>
        <w:pStyle w:val="ListBullet"/>
        <w:spacing w:after="60"/>
        <w:ind w:left="360"/>
      </w:pPr>
      <w:r>
        <w:rPr>
          <w:rFonts w:ascii="Calibri" w:hAnsi="Calibri"/>
          <w:color w:val="333333"/>
          <w:sz w:val="22"/>
        </w:rPr>
        <w:t>Google benefits: Google's $2B+ investment plus compute access gives them a seat at the table. Buying GOOGL gives partial Anthropic exposure.</w:t>
      </w:r>
    </w:p>
    <w:p>
      <w:pPr>
        <w:pStyle w:val="ListBullet"/>
        <w:spacing w:after="60"/>
        <w:ind w:left="360"/>
      </w:pPr>
      <w:r>
        <w:rPr>
          <w:rFonts w:ascii="Calibri" w:hAnsi="Calibri"/>
          <w:color w:val="333333"/>
          <w:sz w:val="22"/>
        </w:rPr>
        <w:t>Direct equity via secondary markets: Best route for accredited investors willing to accept illiquidity.</w:t>
      </w:r>
    </w:p>
    <w:p>
      <w:pPr>
        <w:spacing w:before="240" w:after="120"/>
      </w:pPr>
      <w:r>
        <w:rPr>
          <w:rFonts w:ascii="Calibri" w:hAnsi="Calibri"/>
          <w:b/>
          <w:color w:val="1B3A5C"/>
          <w:sz w:val="32"/>
        </w:rPr>
        <w:t>Buffett Assessment</w:t>
      </w:r>
    </w:p>
    <w:p>
      <w:pPr>
        <w:pStyle w:val="ListBullet"/>
        <w:spacing w:after="60"/>
        <w:ind w:left="360"/>
      </w:pPr>
      <w:r>
        <w:rPr>
          <w:rFonts w:ascii="Calibri" w:hAnsi="Calibri"/>
          <w:b/>
          <w:color w:val="333333"/>
          <w:sz w:val="22"/>
        </w:rPr>
        <w:t xml:space="preserve">Moat: </w:t>
      </w:r>
      <w:r>
        <w:rPr>
          <w:rFonts w:ascii="Calibri" w:hAnsi="Calibri"/>
          <w:color w:val="333333"/>
          <w:sz w:val="22"/>
        </w:rPr>
        <w:t>Brand differentiation on safety is a genuine moat in an era of increasing AI regulation. Enterprises and government contracts increasingly require responsible AI certifications.</w:t>
      </w:r>
    </w:p>
    <w:p>
      <w:pPr>
        <w:pStyle w:val="ListBullet"/>
        <w:spacing w:after="60"/>
        <w:ind w:left="360"/>
      </w:pPr>
      <w:r>
        <w:rPr>
          <w:rFonts w:ascii="Calibri" w:hAnsi="Calibri"/>
          <w:b/>
          <w:color w:val="333333"/>
          <w:sz w:val="22"/>
        </w:rPr>
        <w:t xml:space="preserve">Management: </w:t>
      </w:r>
      <w:r>
        <w:rPr>
          <w:rFonts w:ascii="Calibri" w:hAnsi="Calibri"/>
          <w:color w:val="333333"/>
          <w:sz w:val="22"/>
        </w:rPr>
        <w:t>Dario and Daniela Amodei are exactly the management team Buffett would love — mission-driven, technically credible, long-term focused, NOT maximizing short-term revenue at the expense of the mission.</w:t>
      </w:r>
    </w:p>
    <w:p>
      <w:pPr>
        <w:pStyle w:val="ListBullet"/>
        <w:spacing w:after="60"/>
        <w:ind w:left="360"/>
      </w:pPr>
      <w:r>
        <w:rPr>
          <w:rFonts w:ascii="Calibri" w:hAnsi="Calibri"/>
          <w:b/>
          <w:color w:val="333333"/>
          <w:sz w:val="22"/>
        </w:rPr>
        <w:t xml:space="preserve">Margin of Safety: </w:t>
      </w:r>
      <w:r>
        <w:rPr>
          <w:rFonts w:ascii="Calibri" w:hAnsi="Calibri"/>
          <w:color w:val="333333"/>
          <w:sz w:val="22"/>
        </w:rPr>
        <w:t>At $380B valuation with no public financials, margin of safety is entirely speculative. This is a venture bet, not a value bet. Keep position small.</w:t>
      </w:r>
    </w:p>
    <w:p>
      <w:pPr>
        <w:pStyle w:val="ListBullet"/>
        <w:spacing w:after="60"/>
        <w:ind w:left="360"/>
      </w:pPr>
      <w:r>
        <w:rPr>
          <w:rFonts w:ascii="Calibri" w:hAnsi="Calibri"/>
          <w:b/>
          <w:color w:val="333333"/>
          <w:sz w:val="22"/>
        </w:rPr>
        <w:t xml:space="preserve">Investment Vehicle: </w:t>
      </w:r>
      <w:r>
        <w:rPr>
          <w:rFonts w:ascii="Calibri" w:hAnsi="Calibri"/>
          <w:color w:val="333333"/>
          <w:sz w:val="22"/>
        </w:rPr>
        <w:t>EquityZen (min ~$10K-25K), Forge Global (min ~$5K-50K), Linqto (min ~$2.5K). Illiquidity risk: 3-7 year horizon to potential IPO.</w:t>
      </w:r>
    </w:p>
    <w:tbl>
      <w:tblPr>
        <w:tblStyle w:val="TableGrid"/>
        <w:tblW w:type="auto" w:w="0"/>
        <w:tblLook w:firstColumn="1" w:firstRow="1" w:lastColumn="0" w:lastRow="0" w:noHBand="0" w:noVBand="1" w:val="04A0"/>
      </w:tblPr>
      <w:tblGrid>
        <w:gridCol w:w="8640"/>
      </w:tblGrid>
      <w:tr>
        <w:tc>
          <w:tcPr>
            <w:tcW w:type="dxa" w:w="8640"/>
            <w:shd w:fill="E8F4FF" w:val="clear"/>
          </w:tcPr>
          <w:p>
            <w:r>
              <w:rPr>
                <w:rFonts w:ascii="Calibri" w:hAnsi="Calibri"/>
                <w:b/>
                <w:color w:val="1B3A5C"/>
                <w:sz w:val="22"/>
              </w:rPr>
              <w:t xml:space="preserve">ROB'S TAKE:  </w:t>
            </w:r>
            <w:r>
              <w:rPr>
                <w:rFonts w:ascii="Calibri" w:hAnsi="Calibri"/>
                <w:color w:val="333333"/>
                <w:sz w:val="20"/>
              </w:rPr>
              <w:t>If any company in this report is going to change the world the way they say, my money is on Anthropic. Dario Amodei is the real deal — serious, credible, not in it just for the money. The Mythos story is telling: they built something they won't release because it's too powerful. That's the kind of discipline that builds a durable institution.</w:t>
            </w:r>
          </w:p>
        </w:tc>
      </w:tr>
    </w:tbl>
    <w:p/>
    <w:p/>
    <w:tbl>
      <w:tblPr>
        <w:tblStyle w:val="TableGrid"/>
        <w:tblW w:type="auto" w:w="0"/>
        <w:tblLook w:firstColumn="1" w:firstRow="1" w:lastColumn="0" w:lastRow="0" w:noHBand="0" w:noVBand="1" w:val="04A0"/>
      </w:tblPr>
      <w:tblGrid>
        <w:gridCol w:w="864"/>
        <w:gridCol w:w="2880"/>
        <w:gridCol w:w="2160"/>
      </w:tblGrid>
      <w:tr>
        <w:tc>
          <w:tcPr>
            <w:tcW w:type="dxa" w:w="2880"/>
            <w:shd w:fill="1B3A5C" w:val="clear"/>
          </w:tcPr>
          <w:p>
            <w:pPr>
              <w:jc w:val="center"/>
            </w:pPr>
            <w:r>
              <w:rPr>
                <w:rFonts w:ascii="Calibri" w:hAnsi="Calibri"/>
                <w:b/>
                <w:color w:val="E89A1A"/>
                <w:sz w:val="36"/>
              </w:rPr>
              <w:t>03</w:t>
            </w:r>
          </w:p>
        </w:tc>
        <w:tc>
          <w:tcPr>
            <w:tcW w:type="dxa" w:w="2880"/>
            <w:shd w:fill="1B3A5C" w:val="clear"/>
          </w:tcPr>
          <w:p>
            <w:r>
              <w:rPr>
                <w:rFonts w:ascii="Calibri" w:hAnsi="Calibri"/>
                <w:b/>
                <w:color w:val="FFFFFF"/>
                <w:sz w:val="28"/>
              </w:rPr>
              <w:t>Google DeepMind / Alphabet  |  GOOGL — NYSE</w:t>
            </w:r>
          </w:p>
        </w:tc>
        <w:tc>
          <w:tcPr>
            <w:tcW w:type="dxa" w:w="2880"/>
            <w:shd w:fill="1A7A2E" w:val="clear"/>
          </w:tcPr>
          <w:p>
            <w:pPr>
              <w:jc w:val="center"/>
            </w:pPr>
            <w:r>
              <w:rPr>
                <w:rFonts w:ascii="Calibri" w:hAnsi="Calibri"/>
                <w:b/>
                <w:color w:val="FFFFFF"/>
                <w:sz w:val="22"/>
              </w:rPr>
              <w:t>✅ STRONG BUY — Best Value</w:t>
            </w:r>
          </w:p>
        </w:tc>
      </w:tr>
    </w:tbl>
    <w:p/>
    <w:p>
      <w:pPr>
        <w:spacing w:before="240" w:after="120"/>
      </w:pPr>
      <w:r>
        <w:rPr>
          <w:rFonts w:ascii="Calibri" w:hAnsi="Calibri"/>
          <w:b/>
          <w:color w:val="1B3A5C"/>
          <w:sz w:val="32"/>
        </w:rPr>
        <w:t>CEO &amp; Vision: Demis Hassabis</w:t>
      </w:r>
    </w:p>
    <w:p>
      <w:pPr>
        <w:spacing w:after="120" w:before="40"/>
      </w:pPr>
      <w:r>
        <w:rPr>
          <w:rFonts w:ascii="Calibri" w:hAnsi="Calibri"/>
          <w:color w:val="333333"/>
          <w:sz w:val="22"/>
        </w:rPr>
        <w:t>Demis Hassabis is the most credentialed AI researcher in this group. Chess master at 13, neuroscience PhD from University College London, co-creator of the original DeepMind, winner of the Nobel Prize in Chemistry (2024) for AlphaFold. He represents the rare combination of world-class scientific talent and proven company-building ability. His vision: use AI to accelerate scientific discovery across all domains, with medicine as the primary target.</w:t>
      </w:r>
    </w:p>
    <w:p>
      <w:pPr>
        <w:spacing w:after="120" w:before="40"/>
      </w:pPr>
      <w:r>
        <w:rPr>
          <w:rFonts w:ascii="Calibri" w:hAnsi="Calibri"/>
          <w:color w:val="333333"/>
          <w:sz w:val="22"/>
        </w:rPr>
        <w:t>Unique among this group, Hassabis simultaneously serves as CEO of Google DeepMind AND CEO of Isomorphic Labs (Alphabet's AI drug discovery spinoff). This dual role signals something important: Alphabet is using the spinoff model deliberately, keeping research in DeepMind while commercializing applications in separate entities.</w:t>
      </w:r>
    </w:p>
    <w:p>
      <w:pPr>
        <w:spacing w:before="240" w:after="120"/>
      </w:pPr>
      <w:r>
        <w:rPr>
          <w:rFonts w:ascii="Calibri" w:hAnsi="Calibri"/>
          <w:b/>
          <w:color w:val="1B3A5C"/>
          <w:sz w:val="32"/>
        </w:rPr>
        <w:t>Models, AlphaFold, and the Nobel Prize Story</w:t>
      </w:r>
    </w:p>
    <w:p>
      <w:pPr>
        <w:pStyle w:val="ListBullet"/>
        <w:spacing w:after="60"/>
        <w:ind w:left="360"/>
      </w:pPr>
      <w:r>
        <w:rPr>
          <w:rFonts w:ascii="Calibri" w:hAnsi="Calibri"/>
          <w:color w:val="333333"/>
          <w:sz w:val="22"/>
        </w:rPr>
        <w:t>AlphaFold: The most significant scientific achievement in AI history. Predicted 3D structures of 200M+ proteins, solving a 50-year computational biology challenge. Won Hassabis the 2024 Nobel Prize in Chemistry. Now freely available — but the commercial applications are owned by Alphabet/Isomorphic.</w:t>
      </w:r>
    </w:p>
    <w:p>
      <w:pPr>
        <w:pStyle w:val="ListBullet"/>
        <w:spacing w:after="60"/>
        <w:ind w:left="360"/>
      </w:pPr>
      <w:r>
        <w:rPr>
          <w:rFonts w:ascii="Calibri" w:hAnsi="Calibri"/>
          <w:color w:val="333333"/>
          <w:sz w:val="22"/>
        </w:rPr>
        <w:t>AlphaFold 3 (2024): Expanded beyond proteins to model DNA, RNA, and small molecules — covering the full language of molecular biology.</w:t>
      </w:r>
    </w:p>
    <w:p>
      <w:pPr>
        <w:pStyle w:val="ListBullet"/>
        <w:spacing w:after="60"/>
        <w:ind w:left="360"/>
      </w:pPr>
      <w:r>
        <w:rPr>
          <w:rFonts w:ascii="Calibri" w:hAnsi="Calibri"/>
          <w:color w:val="333333"/>
          <w:sz w:val="22"/>
        </w:rPr>
        <w:t>Gemini family: Google's frontier LLM series, competing directly with GPT-5.4 and Claude. Gemini 2.5 Pro is considered best-in-class for reasoning tasks as of Q1 2026.</w:t>
      </w:r>
    </w:p>
    <w:p>
      <w:pPr>
        <w:pStyle w:val="ListBullet"/>
        <w:spacing w:after="60"/>
        <w:ind w:left="360"/>
      </w:pPr>
      <w:r>
        <w:rPr>
          <w:rFonts w:ascii="Calibri" w:hAnsi="Calibri"/>
          <w:color w:val="333333"/>
          <w:sz w:val="22"/>
        </w:rPr>
        <w:t>AlphaGeometry, AlphaEvolve, AlphaDev: AI systems solving olympiad-level math, algorithm discovery, and chip design. These aren't chatbots — they're scientific tools.</w:t>
      </w:r>
    </w:p>
    <w:p>
      <w:pPr>
        <w:pStyle w:val="ListBullet"/>
        <w:spacing w:after="60"/>
        <w:ind w:left="360"/>
      </w:pPr>
      <w:r>
        <w:rPr>
          <w:rFonts w:ascii="Calibri" w:hAnsi="Calibri"/>
          <w:color w:val="333333"/>
          <w:sz w:val="22"/>
        </w:rPr>
        <w:t>Veo (video), Imagen (images), Lyria (music): Creative AI models embedded in Google's consumer products.</w:t>
      </w:r>
    </w:p>
    <w:p>
      <w:pPr>
        <w:spacing w:before="240" w:after="120"/>
      </w:pPr>
      <w:r>
        <w:rPr>
          <w:rFonts w:ascii="Calibri" w:hAnsi="Calibri"/>
          <w:b/>
          <w:color w:val="1B3A5C"/>
          <w:sz w:val="32"/>
        </w:rPr>
        <w:t>Isomorphic Labs — The Spinoff Model in Action</w:t>
      </w:r>
    </w:p>
    <w:p>
      <w:pPr>
        <w:spacing w:after="120" w:before="40"/>
      </w:pPr>
      <w:r>
        <w:rPr>
          <w:rFonts w:ascii="Calibri" w:hAnsi="Calibri"/>
          <w:color w:val="333333"/>
          <w:sz w:val="22"/>
        </w:rPr>
        <w:t>Isomorphic Labs is Alphabet's drug discovery company, spun out of DeepMind in 2021. It uses AlphaFold-derived technology to design drug candidates computationally. In 2024, Isomorphic signed deals with Eli Lilly ($2.9B) and Novartis ($1.2B) to use its AI-designed drug candidates — without a single drug having reached Phase 3 trials yet.</w:t>
      </w:r>
    </w:p>
    <w:p>
      <w:pPr>
        <w:spacing w:after="120" w:before="40"/>
      </w:pPr>
      <w:r>
        <w:rPr>
          <w:rFonts w:ascii="Calibri" w:hAnsi="Calibri"/>
          <w:color w:val="333333"/>
          <w:sz w:val="22"/>
        </w:rPr>
        <w:t>This is the model: DeepMind does frontier research (publicly funded image), Isomorphic commercializes specific applications with pharma partnerships. Both are 100% owned by Alphabet. Buying GOOGL means you own all of this.</w:t>
      </w:r>
    </w:p>
    <w:p>
      <w:pPr>
        <w:spacing w:before="240" w:after="120"/>
      </w:pPr>
      <w:r>
        <w:rPr>
          <w:rFonts w:ascii="Calibri" w:hAnsi="Calibri"/>
          <w:b/>
          <w:color w:val="1B3A5C"/>
          <w:sz w:val="32"/>
        </w:rPr>
        <w:t>Financials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pPr>
              <w:jc w:val="center"/>
            </w:pPr>
            <w:r>
              <w:rPr>
                <w:rFonts w:ascii="Calibri" w:hAnsi="Calibri"/>
                <w:b/>
                <w:color w:val="FFFFFF"/>
                <w:sz w:val="20"/>
              </w:rPr>
              <w:t>Metric</w:t>
            </w:r>
          </w:p>
        </w:tc>
        <w:tc>
          <w:tcPr>
            <w:tcW w:type="dxa" w:w="2880"/>
            <w:shd w:fill="1B3A5C" w:val="clear"/>
          </w:tcPr>
          <w:p>
            <w:pPr>
              <w:jc w:val="center"/>
            </w:pPr>
            <w:r>
              <w:rPr>
                <w:rFonts w:ascii="Calibri" w:hAnsi="Calibri"/>
                <w:b/>
                <w:color w:val="FFFFFF"/>
                <w:sz w:val="20"/>
              </w:rPr>
              <w:t>Value</w:t>
            </w:r>
          </w:p>
        </w:tc>
        <w:tc>
          <w:tcPr>
            <w:tcW w:type="dxa" w:w="2880"/>
            <w:shd w:fill="1B3A5C" w:val="clear"/>
          </w:tcPr>
          <w:p>
            <w:pPr>
              <w:jc w:val="center"/>
            </w:pPr>
            <w:r>
              <w:rPr>
                <w:rFonts w:ascii="Calibri" w:hAnsi="Calibri"/>
                <w:b/>
                <w:color w:val="FFFFFF"/>
                <w:sz w:val="20"/>
              </w:rPr>
              <w:t>Notes</w:t>
            </w:r>
          </w:p>
        </w:tc>
      </w:tr>
      <w:tr>
        <w:tc>
          <w:tcPr>
            <w:tcW w:type="dxa" w:w="2880"/>
            <w:shd w:fill="E8EFF8" w:val="clear"/>
          </w:tcPr>
          <w:p>
            <w:pPr>
              <w:jc w:val="left"/>
            </w:pPr>
            <w:r>
              <w:rPr>
                <w:rFonts w:ascii="Calibri" w:hAnsi="Calibri"/>
                <w:b/>
                <w:color w:val="1B3A5C"/>
                <w:sz w:val="20"/>
              </w:rPr>
              <w:t>DeepMind Revenue (2024)</w:t>
            </w:r>
          </w:p>
        </w:tc>
        <w:tc>
          <w:tcPr>
            <w:tcW w:type="dxa" w:w="2880"/>
            <w:shd w:fill="F5F5F5" w:val="clear"/>
          </w:tcPr>
          <w:p>
            <w:pPr>
              <w:jc w:val="center"/>
            </w:pPr>
            <w:r>
              <w:rPr>
                <w:rFonts w:ascii="Calibri" w:hAnsi="Calibri"/>
                <w:color w:val="333333"/>
                <w:sz w:val="20"/>
              </w:rPr>
              <w:t>£1.33B (~$1.7B)</w:t>
            </w:r>
          </w:p>
        </w:tc>
        <w:tc>
          <w:tcPr>
            <w:tcW w:type="dxa" w:w="2880"/>
            <w:shd w:fill="F5F5F5" w:val="clear"/>
          </w:tcPr>
          <w:p>
            <w:pPr>
              <w:jc w:val="center"/>
            </w:pPr>
            <w:r>
              <w:rPr>
                <w:rFonts w:ascii="Calibri" w:hAnsi="Calibri"/>
                <w:color w:val="333333"/>
                <w:sz w:val="20"/>
              </w:rPr>
              <w:t>UK filing — includes Alphabet AI services</w:t>
            </w:r>
          </w:p>
        </w:tc>
      </w:tr>
      <w:tr>
        <w:tc>
          <w:tcPr>
            <w:tcW w:type="dxa" w:w="2880"/>
            <w:shd w:fill="E8EFF8" w:val="clear"/>
          </w:tcPr>
          <w:p>
            <w:pPr>
              <w:jc w:val="left"/>
            </w:pPr>
            <w:r>
              <w:rPr>
                <w:rFonts w:ascii="Calibri" w:hAnsi="Calibri"/>
                <w:b/>
                <w:color w:val="1B3A5C"/>
                <w:sz w:val="20"/>
              </w:rPr>
              <w:t>DeepMind Operating Income (2024)</w:t>
            </w:r>
          </w:p>
        </w:tc>
        <w:tc>
          <w:tcPr>
            <w:tcW w:type="dxa" w:w="2880"/>
            <w:shd w:fill="FFFFFF" w:val="clear"/>
          </w:tcPr>
          <w:p>
            <w:pPr>
              <w:jc w:val="center"/>
            </w:pPr>
            <w:r>
              <w:rPr>
                <w:rFonts w:ascii="Calibri" w:hAnsi="Calibri"/>
                <w:color w:val="333333"/>
                <w:sz w:val="20"/>
              </w:rPr>
              <w:t>£217M (~$275M)</w:t>
            </w:r>
          </w:p>
        </w:tc>
        <w:tc>
          <w:tcPr>
            <w:tcW w:type="dxa" w:w="2880"/>
            <w:shd w:fill="FFFFFF" w:val="clear"/>
          </w:tcPr>
          <w:p>
            <w:pPr>
              <w:jc w:val="center"/>
            </w:pPr>
            <w:r>
              <w:rPr>
                <w:rFonts w:ascii="Calibri" w:hAnsi="Calibri"/>
                <w:color w:val="333333"/>
                <w:sz w:val="20"/>
              </w:rPr>
              <w:t>PROFITABLE — unlike OpenAI</w:t>
            </w:r>
          </w:p>
        </w:tc>
      </w:tr>
      <w:tr>
        <w:tc>
          <w:tcPr>
            <w:tcW w:type="dxa" w:w="2880"/>
            <w:shd w:fill="E8EFF8" w:val="clear"/>
          </w:tcPr>
          <w:p>
            <w:pPr>
              <w:jc w:val="left"/>
            </w:pPr>
            <w:r>
              <w:rPr>
                <w:rFonts w:ascii="Calibri" w:hAnsi="Calibri"/>
                <w:b/>
                <w:color w:val="1B3A5C"/>
                <w:sz w:val="20"/>
              </w:rPr>
              <w:t>DeepMind Net Income (2024)</w:t>
            </w:r>
          </w:p>
        </w:tc>
        <w:tc>
          <w:tcPr>
            <w:tcW w:type="dxa" w:w="2880"/>
            <w:shd w:fill="F5F5F5" w:val="clear"/>
          </w:tcPr>
          <w:p>
            <w:pPr>
              <w:jc w:val="center"/>
            </w:pPr>
            <w:r>
              <w:rPr>
                <w:rFonts w:ascii="Calibri" w:hAnsi="Calibri"/>
                <w:color w:val="333333"/>
                <w:sz w:val="20"/>
              </w:rPr>
              <w:t>£174M (~$220M)</w:t>
            </w:r>
          </w:p>
        </w:tc>
        <w:tc>
          <w:tcPr>
            <w:tcW w:type="dxa" w:w="2880"/>
            <w:shd w:fill="F5F5F5" w:val="clear"/>
          </w:tcPr>
          <w:p>
            <w:pPr>
              <w:jc w:val="center"/>
            </w:pPr>
            <w:r>
              <w:rPr>
                <w:rFonts w:ascii="Calibri" w:hAnsi="Calibri"/>
                <w:color w:val="333333"/>
                <w:sz w:val="20"/>
              </w:rPr>
            </w:r>
          </w:p>
        </w:tc>
      </w:tr>
      <w:tr>
        <w:tc>
          <w:tcPr>
            <w:tcW w:type="dxa" w:w="2880"/>
            <w:shd w:fill="E8EFF8" w:val="clear"/>
          </w:tcPr>
          <w:p>
            <w:pPr>
              <w:jc w:val="left"/>
            </w:pPr>
            <w:r>
              <w:rPr>
                <w:rFonts w:ascii="Calibri" w:hAnsi="Calibri"/>
                <w:b/>
                <w:color w:val="1B3A5C"/>
                <w:sz w:val="20"/>
              </w:rPr>
              <w:t>Alphabet Total Revenue (2025 est.)</w:t>
            </w:r>
          </w:p>
        </w:tc>
        <w:tc>
          <w:tcPr>
            <w:tcW w:type="dxa" w:w="2880"/>
            <w:shd w:fill="FFFFFF" w:val="clear"/>
          </w:tcPr>
          <w:p>
            <w:pPr>
              <w:jc w:val="center"/>
            </w:pPr>
            <w:r>
              <w:rPr>
                <w:rFonts w:ascii="Calibri" w:hAnsi="Calibri"/>
                <w:color w:val="333333"/>
                <w:sz w:val="20"/>
              </w:rPr>
              <w:t>~$380B</w:t>
            </w:r>
          </w:p>
        </w:tc>
        <w:tc>
          <w:tcPr>
            <w:tcW w:type="dxa" w:w="2880"/>
            <w:shd w:fill="FFFFFF" w:val="clear"/>
          </w:tcPr>
          <w:p>
            <w:pPr>
              <w:jc w:val="center"/>
            </w:pPr>
            <w:r>
              <w:rPr>
                <w:rFonts w:ascii="Calibri" w:hAnsi="Calibri"/>
                <w:color w:val="333333"/>
                <w:sz w:val="20"/>
              </w:rPr>
              <w:t>Google Search, YouTube, Cloud, AI</w:t>
            </w:r>
          </w:p>
        </w:tc>
      </w:tr>
      <w:tr>
        <w:tc>
          <w:tcPr>
            <w:tcW w:type="dxa" w:w="2880"/>
            <w:shd w:fill="E8EFF8" w:val="clear"/>
          </w:tcPr>
          <w:p>
            <w:pPr>
              <w:jc w:val="left"/>
            </w:pPr>
            <w:r>
              <w:rPr>
                <w:rFonts w:ascii="Calibri" w:hAnsi="Calibri"/>
                <w:b/>
                <w:color w:val="1B3A5C"/>
                <w:sz w:val="20"/>
              </w:rPr>
              <w:t>Alphabet Market Cap (Apr 2026)</w:t>
            </w:r>
          </w:p>
        </w:tc>
        <w:tc>
          <w:tcPr>
            <w:tcW w:type="dxa" w:w="2880"/>
            <w:shd w:fill="F5F5F5" w:val="clear"/>
          </w:tcPr>
          <w:p>
            <w:pPr>
              <w:jc w:val="center"/>
            </w:pPr>
            <w:r>
              <w:rPr>
                <w:rFonts w:ascii="Calibri" w:hAnsi="Calibri"/>
                <w:color w:val="333333"/>
                <w:sz w:val="20"/>
              </w:rPr>
              <w:t>~$2.0 Trillion</w:t>
            </w:r>
          </w:p>
        </w:tc>
        <w:tc>
          <w:tcPr>
            <w:tcW w:type="dxa" w:w="2880"/>
            <w:shd w:fill="F5F5F5" w:val="clear"/>
          </w:tcPr>
          <w:p>
            <w:pPr>
              <w:jc w:val="center"/>
            </w:pPr>
            <w:r>
              <w:rPr>
                <w:rFonts w:ascii="Calibri" w:hAnsi="Calibri"/>
                <w:color w:val="333333"/>
                <w:sz w:val="20"/>
              </w:rPr>
              <w:t>~$160-170/share</w:t>
            </w:r>
          </w:p>
        </w:tc>
      </w:tr>
      <w:tr>
        <w:tc>
          <w:tcPr>
            <w:tcW w:type="dxa" w:w="2880"/>
            <w:shd w:fill="E8EFF8" w:val="clear"/>
          </w:tcPr>
          <w:p>
            <w:pPr>
              <w:jc w:val="left"/>
            </w:pPr>
            <w:r>
              <w:rPr>
                <w:rFonts w:ascii="Calibri" w:hAnsi="Calibri"/>
                <w:b/>
                <w:color w:val="1B3A5C"/>
                <w:sz w:val="20"/>
              </w:rPr>
              <w:t>Isomorphic Labs Deals</w:t>
            </w:r>
          </w:p>
        </w:tc>
        <w:tc>
          <w:tcPr>
            <w:tcW w:type="dxa" w:w="2880"/>
            <w:shd w:fill="FFFFFF" w:val="clear"/>
          </w:tcPr>
          <w:p>
            <w:pPr>
              <w:jc w:val="center"/>
            </w:pPr>
            <w:r>
              <w:rPr>
                <w:rFonts w:ascii="Calibri" w:hAnsi="Calibri"/>
                <w:color w:val="333333"/>
                <w:sz w:val="20"/>
              </w:rPr>
              <w:t>$4.1B+ in pharma partnerships</w:t>
            </w:r>
          </w:p>
        </w:tc>
        <w:tc>
          <w:tcPr>
            <w:tcW w:type="dxa" w:w="2880"/>
            <w:shd w:fill="FFFFFF" w:val="clear"/>
          </w:tcPr>
          <w:p>
            <w:pPr>
              <w:jc w:val="center"/>
            </w:pPr>
            <w:r>
              <w:rPr>
                <w:rFonts w:ascii="Calibri" w:hAnsi="Calibri"/>
                <w:color w:val="333333"/>
                <w:sz w:val="20"/>
              </w:rPr>
              <w:t>Lilly $2.9B, Novartis $1.2B (2024)</w:t>
            </w:r>
          </w:p>
        </w:tc>
      </w:tr>
    </w:tbl>
    <w:p/>
    <w:p>
      <w:pPr>
        <w:spacing w:before="240" w:after="120"/>
      </w:pPr>
      <w:r>
        <w:rPr>
          <w:rFonts w:ascii="Calibri" w:hAnsi="Calibri"/>
          <w:b/>
          <w:color w:val="1B3A5C"/>
          <w:sz w:val="32"/>
        </w:rPr>
        <w:t>Buffett Assessment</w:t>
      </w:r>
    </w:p>
    <w:p>
      <w:pPr>
        <w:pStyle w:val="ListBullet"/>
        <w:spacing w:after="60"/>
        <w:ind w:left="360"/>
      </w:pPr>
      <w:r>
        <w:rPr>
          <w:rFonts w:ascii="Calibri" w:hAnsi="Calibri"/>
          <w:b/>
          <w:color w:val="333333"/>
          <w:sz w:val="22"/>
        </w:rPr>
        <w:t xml:space="preserve">Moat: </w:t>
      </w:r>
      <w:r>
        <w:rPr>
          <w:rFonts w:ascii="Calibri" w:hAnsi="Calibri"/>
          <w:color w:val="333333"/>
          <w:sz w:val="22"/>
        </w:rPr>
        <w:t>Google Search is the most durable advertising monopoly in history. DeepMind's AI enhances it. Cloud (GCP) is gaining share. Multiple businesses with pricing power.</w:t>
      </w:r>
    </w:p>
    <w:p>
      <w:pPr>
        <w:pStyle w:val="ListBullet"/>
        <w:spacing w:after="60"/>
        <w:ind w:left="360"/>
      </w:pPr>
      <w:r>
        <w:rPr>
          <w:rFonts w:ascii="Calibri" w:hAnsi="Calibri"/>
          <w:b/>
          <w:color w:val="333333"/>
          <w:sz w:val="22"/>
        </w:rPr>
        <w:t xml:space="preserve">Management: </w:t>
      </w:r>
      <w:r>
        <w:rPr>
          <w:rFonts w:ascii="Calibri" w:hAnsi="Calibri"/>
          <w:color w:val="333333"/>
          <w:sz w:val="22"/>
        </w:rPr>
        <w:t>Hassabis reports to Alphabet CEO Sundar Pichai. Not the autonomous operator that Altman or Musk are. But this creates stability, not risk.</w:t>
      </w:r>
    </w:p>
    <w:p>
      <w:pPr>
        <w:pStyle w:val="ListBullet"/>
        <w:spacing w:after="60"/>
        <w:ind w:left="360"/>
      </w:pPr>
      <w:r>
        <w:rPr>
          <w:rFonts w:ascii="Calibri" w:hAnsi="Calibri"/>
          <w:b/>
          <w:color w:val="333333"/>
          <w:sz w:val="22"/>
        </w:rPr>
        <w:t xml:space="preserve">Margin of Safety: </w:t>
      </w:r>
      <w:r>
        <w:rPr>
          <w:rFonts w:ascii="Calibri" w:hAnsi="Calibri"/>
          <w:color w:val="333333"/>
          <w:sz w:val="22"/>
        </w:rPr>
        <w:t>At ~$160-170/share with forward P/E ~22-25x, you are paying for Google Search + YouTube + Cloud + AI research + drug discovery. This is exceptional value relative to pure-play AI companies.</w:t>
      </w:r>
    </w:p>
    <w:p>
      <w:pPr>
        <w:pStyle w:val="ListBullet"/>
        <w:spacing w:after="60"/>
        <w:ind w:left="360"/>
      </w:pPr>
      <w:r>
        <w:rPr>
          <w:rFonts w:ascii="Calibri" w:hAnsi="Calibri"/>
          <w:b/>
          <w:color w:val="333333"/>
          <w:sz w:val="22"/>
        </w:rPr>
        <w:t xml:space="preserve">Investment Vehicle: </w:t>
      </w:r>
      <w:r>
        <w:rPr>
          <w:rFonts w:ascii="Calibri" w:hAnsi="Calibri"/>
          <w:color w:val="333333"/>
          <w:sz w:val="22"/>
        </w:rPr>
        <w:t>GOOGL on public markets. Buy on dips toward $155. Excellent long-term core holding.</w:t>
      </w:r>
    </w:p>
    <w:tbl>
      <w:tblPr>
        <w:tblStyle w:val="TableGrid"/>
        <w:tblW w:type="auto" w:w="0"/>
        <w:tblLook w:firstColumn="1" w:firstRow="1" w:lastColumn="0" w:lastRow="0" w:noHBand="0" w:noVBand="1" w:val="04A0"/>
      </w:tblPr>
      <w:tblGrid>
        <w:gridCol w:w="8640"/>
      </w:tblGrid>
      <w:tr>
        <w:tc>
          <w:tcPr>
            <w:tcW w:type="dxa" w:w="8640"/>
            <w:shd w:fill="E8F4FF" w:val="clear"/>
          </w:tcPr>
          <w:p>
            <w:r>
              <w:rPr>
                <w:rFonts w:ascii="Calibri" w:hAnsi="Calibri"/>
                <w:b/>
                <w:color w:val="1B3A5C"/>
                <w:sz w:val="22"/>
              </w:rPr>
              <w:t xml:space="preserve">ROB'S TAKE:  </w:t>
            </w:r>
            <w:r>
              <w:rPr>
                <w:rFonts w:ascii="Calibri" w:hAnsi="Calibri"/>
                <w:color w:val="333333"/>
                <w:sz w:val="20"/>
              </w:rPr>
              <w:t>GOOGL is the single best value in this entire report. You get the Nobel Prize winner running the best AI research lab in the world, the most profitable search engine ever built, drug discovery partnerships generating billions, AND it's publicly traded. This is the easiest yes in the paper.</w:t>
            </w:r>
          </w:p>
        </w:tc>
      </w:tr>
    </w:tbl>
    <w:p/>
    <w:p/>
    <w:tbl>
      <w:tblPr>
        <w:tblStyle w:val="TableGrid"/>
        <w:tblW w:type="auto" w:w="0"/>
        <w:tblLook w:firstColumn="1" w:firstRow="1" w:lastColumn="0" w:lastRow="0" w:noHBand="0" w:noVBand="1" w:val="04A0"/>
      </w:tblPr>
      <w:tblGrid>
        <w:gridCol w:w="864"/>
        <w:gridCol w:w="2880"/>
        <w:gridCol w:w="2160"/>
      </w:tblGrid>
      <w:tr>
        <w:tc>
          <w:tcPr>
            <w:tcW w:type="dxa" w:w="2880"/>
            <w:shd w:fill="1B3A5C" w:val="clear"/>
          </w:tcPr>
          <w:p>
            <w:pPr>
              <w:jc w:val="center"/>
            </w:pPr>
            <w:r>
              <w:rPr>
                <w:rFonts w:ascii="Calibri" w:hAnsi="Calibri"/>
                <w:b/>
                <w:color w:val="E89A1A"/>
                <w:sz w:val="36"/>
              </w:rPr>
              <w:t>04</w:t>
            </w:r>
          </w:p>
        </w:tc>
        <w:tc>
          <w:tcPr>
            <w:tcW w:type="dxa" w:w="2880"/>
            <w:shd w:fill="1B3A5C" w:val="clear"/>
          </w:tcPr>
          <w:p>
            <w:r>
              <w:rPr>
                <w:rFonts w:ascii="Calibri" w:hAnsi="Calibri"/>
                <w:b/>
                <w:color w:val="FFFFFF"/>
                <w:sz w:val="28"/>
              </w:rPr>
              <w:t>Microsoft  |  MSFT — NASDAQ</w:t>
            </w:r>
          </w:p>
        </w:tc>
        <w:tc>
          <w:tcPr>
            <w:tcW w:type="dxa" w:w="2880"/>
            <w:shd w:fill="1A7A2E" w:val="clear"/>
          </w:tcPr>
          <w:p>
            <w:pPr>
              <w:jc w:val="center"/>
            </w:pPr>
            <w:r>
              <w:rPr>
                <w:rFonts w:ascii="Calibri" w:hAnsi="Calibri"/>
                <w:b/>
                <w:color w:val="FFFFFF"/>
                <w:sz w:val="22"/>
              </w:rPr>
              <w:t>✅ BUY — The Enterprise AI Play</w:t>
            </w:r>
          </w:p>
        </w:tc>
      </w:tr>
    </w:tbl>
    <w:p/>
    <w:p>
      <w:pPr>
        <w:spacing w:before="240" w:after="120"/>
      </w:pPr>
      <w:r>
        <w:rPr>
          <w:rFonts w:ascii="Calibri" w:hAnsi="Calibri"/>
          <w:b/>
          <w:color w:val="1B3A5C"/>
          <w:sz w:val="32"/>
        </w:rPr>
        <w:t>CEO &amp; Vision: Satya Nadella</w:t>
      </w:r>
    </w:p>
    <w:p>
      <w:pPr>
        <w:spacing w:after="120" w:before="40"/>
      </w:pPr>
      <w:r>
        <w:rPr>
          <w:rFonts w:ascii="Calibri" w:hAnsi="Calibri"/>
          <w:color w:val="333333"/>
          <w:sz w:val="22"/>
        </w:rPr>
        <w:t>Satya Nadella transformed Microsoft from a declining software company into the world's most valuable enterprise technology platform. His 'mobile-first, cloud-first' strategy produced Azure, which now generates $100B+ annually. His AI strategy is simpler: make Azure the infrastructure layer for all enterprise AI, and deploy Copilot across Microsoft's 300M+ Office users. Nadella doesn't need AGI to win — he needs AI to be good enough that enterprises pay extra for it in Word, Excel, Teams, and Outlook.</w:t>
      </w:r>
    </w:p>
    <w:p>
      <w:pPr>
        <w:spacing w:after="120" w:before="40"/>
      </w:pPr>
      <w:r>
        <w:rPr>
          <w:rFonts w:ascii="Calibri" w:hAnsi="Calibri"/>
          <w:color w:val="333333"/>
          <w:sz w:val="22"/>
        </w:rPr>
        <w:t>The OpenAI investment ($13B+) gives MSFT a 27% share of OpenAI profits AND the right to deploy OpenAI models exclusively on Azure. This is Nadella doing what he does best: picking the right horse and riding it hard.</w:t>
      </w:r>
    </w:p>
    <w:p>
      <w:pPr>
        <w:spacing w:before="240" w:after="120"/>
      </w:pPr>
      <w:r>
        <w:rPr>
          <w:rFonts w:ascii="Calibri" w:hAnsi="Calibri"/>
          <w:b/>
          <w:color w:val="1B3A5C"/>
          <w:sz w:val="32"/>
        </w:rPr>
        <w:t>How MSFT Captures AI Value</w:t>
      </w:r>
    </w:p>
    <w:p>
      <w:pPr>
        <w:pStyle w:val="ListBullet"/>
        <w:spacing w:after="60"/>
        <w:ind w:left="360"/>
      </w:pPr>
      <w:r>
        <w:rPr>
          <w:rFonts w:ascii="Calibri" w:hAnsi="Calibri"/>
          <w:color w:val="333333"/>
          <w:sz w:val="22"/>
        </w:rPr>
        <w:t>Azure OpenAI Service: Enterprises pay Microsoft to run OpenAI models on Azure infrastructure. Every ChatGPT Enterprise customer is also an Azure customer.</w:t>
      </w:r>
    </w:p>
    <w:p>
      <w:pPr>
        <w:pStyle w:val="ListBullet"/>
        <w:spacing w:after="60"/>
        <w:ind w:left="360"/>
      </w:pPr>
      <w:r>
        <w:rPr>
          <w:rFonts w:ascii="Calibri" w:hAnsi="Calibri"/>
          <w:color w:val="333333"/>
          <w:sz w:val="22"/>
        </w:rPr>
        <w:t>Microsoft Copilot: AI assistant embedded across Office 365 suite. $30/user/month add-on. With 300M+ O365 users, even 20% adoption = $21B additional ARR.</w:t>
      </w:r>
    </w:p>
    <w:p>
      <w:pPr>
        <w:pStyle w:val="ListBullet"/>
        <w:spacing w:after="60"/>
        <w:ind w:left="360"/>
      </w:pPr>
      <w:r>
        <w:rPr>
          <w:rFonts w:ascii="Calibri" w:hAnsi="Calibri"/>
          <w:color w:val="333333"/>
          <w:sz w:val="22"/>
        </w:rPr>
        <w:t>GitHub Copilot: AI code assistant — already has 1M+ paying subscribers at $19-39/month.</w:t>
      </w:r>
    </w:p>
    <w:p>
      <w:pPr>
        <w:pStyle w:val="ListBullet"/>
        <w:spacing w:after="60"/>
        <w:ind w:left="360"/>
      </w:pPr>
      <w:r>
        <w:rPr>
          <w:rFonts w:ascii="Calibri" w:hAnsi="Calibri"/>
          <w:color w:val="333333"/>
          <w:sz w:val="22"/>
        </w:rPr>
        <w:t>OpenAI Profit Share: 27% of OpenAI profits when the company turns profitable. A call option on OpenAI's success embedded in the MSFT stock price.</w:t>
      </w:r>
    </w:p>
    <w:p>
      <w:pPr>
        <w:pStyle w:val="ListBullet"/>
        <w:spacing w:after="60"/>
        <w:ind w:left="360"/>
      </w:pPr>
      <w:r>
        <w:rPr>
          <w:rFonts w:ascii="Calibri" w:hAnsi="Calibri"/>
          <w:color w:val="333333"/>
          <w:sz w:val="22"/>
        </w:rPr>
        <w:t>Azure Infrastructure: Every AI company (OpenAI, startups, enterprises) building on Azure pays MSFT compute costs. The picks-and-shovels play within the AI gold rush.</w:t>
      </w:r>
    </w:p>
    <w:p>
      <w:pPr>
        <w:spacing w:before="240" w:after="120"/>
      </w:pPr>
      <w:r>
        <w:rPr>
          <w:rFonts w:ascii="Calibri" w:hAnsi="Calibri"/>
          <w:b/>
          <w:color w:val="1B3A5C"/>
          <w:sz w:val="32"/>
        </w:rPr>
        <w:t>Financials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pPr>
              <w:jc w:val="center"/>
            </w:pPr>
            <w:r>
              <w:rPr>
                <w:rFonts w:ascii="Calibri" w:hAnsi="Calibri"/>
                <w:b/>
                <w:color w:val="FFFFFF"/>
                <w:sz w:val="20"/>
              </w:rPr>
              <w:t>Metric</w:t>
            </w:r>
          </w:p>
        </w:tc>
        <w:tc>
          <w:tcPr>
            <w:tcW w:type="dxa" w:w="2880"/>
            <w:shd w:fill="1B3A5C" w:val="clear"/>
          </w:tcPr>
          <w:p>
            <w:pPr>
              <w:jc w:val="center"/>
            </w:pPr>
            <w:r>
              <w:rPr>
                <w:rFonts w:ascii="Calibri" w:hAnsi="Calibri"/>
                <w:b/>
                <w:color w:val="FFFFFF"/>
                <w:sz w:val="20"/>
              </w:rPr>
              <w:t>Value</w:t>
            </w:r>
          </w:p>
        </w:tc>
        <w:tc>
          <w:tcPr>
            <w:tcW w:type="dxa" w:w="2880"/>
            <w:shd w:fill="1B3A5C" w:val="clear"/>
          </w:tcPr>
          <w:p>
            <w:pPr>
              <w:jc w:val="center"/>
            </w:pPr>
            <w:r>
              <w:rPr>
                <w:rFonts w:ascii="Calibri" w:hAnsi="Calibri"/>
                <w:b/>
                <w:color w:val="FFFFFF"/>
                <w:sz w:val="20"/>
              </w:rPr>
              <w:t>Notes</w:t>
            </w:r>
          </w:p>
        </w:tc>
      </w:tr>
      <w:tr>
        <w:tc>
          <w:tcPr>
            <w:tcW w:type="dxa" w:w="2880"/>
            <w:shd w:fill="E8EFF8" w:val="clear"/>
          </w:tcPr>
          <w:p>
            <w:pPr>
              <w:jc w:val="left"/>
            </w:pPr>
            <w:r>
              <w:rPr>
                <w:rFonts w:ascii="Calibri" w:hAnsi="Calibri"/>
                <w:b/>
                <w:color w:val="1B3A5C"/>
                <w:sz w:val="20"/>
              </w:rPr>
              <w:t>Revenue (FY2025 est.)</w:t>
            </w:r>
          </w:p>
        </w:tc>
        <w:tc>
          <w:tcPr>
            <w:tcW w:type="dxa" w:w="2880"/>
            <w:shd w:fill="F5F5F5" w:val="clear"/>
          </w:tcPr>
          <w:p>
            <w:pPr>
              <w:jc w:val="center"/>
            </w:pPr>
            <w:r>
              <w:rPr>
                <w:rFonts w:ascii="Calibri" w:hAnsi="Calibri"/>
                <w:color w:val="333333"/>
                <w:sz w:val="20"/>
              </w:rPr>
              <w:t>~$278B</w:t>
            </w:r>
          </w:p>
        </w:tc>
        <w:tc>
          <w:tcPr>
            <w:tcW w:type="dxa" w:w="2880"/>
            <w:shd w:fill="F5F5F5" w:val="clear"/>
          </w:tcPr>
          <w:p>
            <w:pPr>
              <w:jc w:val="center"/>
            </w:pPr>
            <w:r>
              <w:rPr>
                <w:rFonts w:ascii="Calibri" w:hAnsi="Calibri"/>
                <w:color w:val="333333"/>
                <w:sz w:val="20"/>
              </w:rPr>
              <w:t>Strong guidance across all segments</w:t>
            </w:r>
          </w:p>
        </w:tc>
      </w:tr>
      <w:tr>
        <w:tc>
          <w:tcPr>
            <w:tcW w:type="dxa" w:w="2880"/>
            <w:shd w:fill="E8EFF8" w:val="clear"/>
          </w:tcPr>
          <w:p>
            <w:pPr>
              <w:jc w:val="left"/>
            </w:pPr>
            <w:r>
              <w:rPr>
                <w:rFonts w:ascii="Calibri" w:hAnsi="Calibri"/>
                <w:b/>
                <w:color w:val="1B3A5C"/>
                <w:sz w:val="20"/>
              </w:rPr>
              <w:t>Azure Growth</w:t>
            </w:r>
          </w:p>
        </w:tc>
        <w:tc>
          <w:tcPr>
            <w:tcW w:type="dxa" w:w="2880"/>
            <w:shd w:fill="FFFFFF" w:val="clear"/>
          </w:tcPr>
          <w:p>
            <w:pPr>
              <w:jc w:val="center"/>
            </w:pPr>
            <w:r>
              <w:rPr>
                <w:rFonts w:ascii="Calibri" w:hAnsi="Calibri"/>
                <w:color w:val="333333"/>
                <w:sz w:val="20"/>
              </w:rPr>
              <w:t>~35% YoY</w:t>
            </w:r>
          </w:p>
        </w:tc>
        <w:tc>
          <w:tcPr>
            <w:tcW w:type="dxa" w:w="2880"/>
            <w:shd w:fill="FFFFFF" w:val="clear"/>
          </w:tcPr>
          <w:p>
            <w:pPr>
              <w:jc w:val="center"/>
            </w:pPr>
            <w:r>
              <w:rPr>
                <w:rFonts w:ascii="Calibri" w:hAnsi="Calibri"/>
                <w:color w:val="333333"/>
                <w:sz w:val="20"/>
              </w:rPr>
              <w:t>AI services driving acceleration</w:t>
            </w:r>
          </w:p>
        </w:tc>
      </w:tr>
      <w:tr>
        <w:tc>
          <w:tcPr>
            <w:tcW w:type="dxa" w:w="2880"/>
            <w:shd w:fill="E8EFF8" w:val="clear"/>
          </w:tcPr>
          <w:p>
            <w:pPr>
              <w:jc w:val="left"/>
            </w:pPr>
            <w:r>
              <w:rPr>
                <w:rFonts w:ascii="Calibri" w:hAnsi="Calibri"/>
                <w:b/>
                <w:color w:val="1B3A5C"/>
                <w:sz w:val="20"/>
              </w:rPr>
              <w:t>Market Cap (Apr 2026)</w:t>
            </w:r>
          </w:p>
        </w:tc>
        <w:tc>
          <w:tcPr>
            <w:tcW w:type="dxa" w:w="2880"/>
            <w:shd w:fill="F5F5F5" w:val="clear"/>
          </w:tcPr>
          <w:p>
            <w:pPr>
              <w:jc w:val="center"/>
            </w:pPr>
            <w:r>
              <w:rPr>
                <w:rFonts w:ascii="Calibri" w:hAnsi="Calibri"/>
                <w:color w:val="333333"/>
                <w:sz w:val="20"/>
              </w:rPr>
              <w:t>~$2.9 Trillion</w:t>
            </w:r>
          </w:p>
        </w:tc>
        <w:tc>
          <w:tcPr>
            <w:tcW w:type="dxa" w:w="2880"/>
            <w:shd w:fill="F5F5F5" w:val="clear"/>
          </w:tcPr>
          <w:p>
            <w:pPr>
              <w:jc w:val="center"/>
            </w:pPr>
            <w:r>
              <w:rPr>
                <w:rFonts w:ascii="Calibri" w:hAnsi="Calibri"/>
                <w:color w:val="333333"/>
                <w:sz w:val="20"/>
              </w:rPr>
              <w:t>~$390/share</w:t>
            </w:r>
          </w:p>
        </w:tc>
      </w:tr>
      <w:tr>
        <w:tc>
          <w:tcPr>
            <w:tcW w:type="dxa" w:w="2880"/>
            <w:shd w:fill="E8EFF8" w:val="clear"/>
          </w:tcPr>
          <w:p>
            <w:pPr>
              <w:jc w:val="left"/>
            </w:pPr>
            <w:r>
              <w:rPr>
                <w:rFonts w:ascii="Calibri" w:hAnsi="Calibri"/>
                <w:b/>
                <w:color w:val="1B3A5C"/>
                <w:sz w:val="20"/>
              </w:rPr>
              <w:t>Operating Margin</w:t>
            </w:r>
          </w:p>
        </w:tc>
        <w:tc>
          <w:tcPr>
            <w:tcW w:type="dxa" w:w="2880"/>
            <w:shd w:fill="FFFFFF" w:val="clear"/>
          </w:tcPr>
          <w:p>
            <w:pPr>
              <w:jc w:val="center"/>
            </w:pPr>
            <w:r>
              <w:rPr>
                <w:rFonts w:ascii="Calibri" w:hAnsi="Calibri"/>
                <w:color w:val="333333"/>
                <w:sz w:val="20"/>
              </w:rPr>
              <w:t>~45%</w:t>
            </w:r>
          </w:p>
        </w:tc>
        <w:tc>
          <w:tcPr>
            <w:tcW w:type="dxa" w:w="2880"/>
            <w:shd w:fill="FFFFFF" w:val="clear"/>
          </w:tcPr>
          <w:p>
            <w:pPr>
              <w:jc w:val="center"/>
            </w:pPr>
            <w:r>
              <w:rPr>
                <w:rFonts w:ascii="Calibri" w:hAnsi="Calibri"/>
                <w:color w:val="333333"/>
                <w:sz w:val="20"/>
              </w:rPr>
              <w:t>Best-in-class profitability</w:t>
            </w:r>
          </w:p>
        </w:tc>
      </w:tr>
      <w:tr>
        <w:tc>
          <w:tcPr>
            <w:tcW w:type="dxa" w:w="2880"/>
            <w:shd w:fill="E8EFF8" w:val="clear"/>
          </w:tcPr>
          <w:p>
            <w:pPr>
              <w:jc w:val="left"/>
            </w:pPr>
            <w:r>
              <w:rPr>
                <w:rFonts w:ascii="Calibri" w:hAnsi="Calibri"/>
                <w:b/>
                <w:color w:val="1B3A5C"/>
                <w:sz w:val="20"/>
              </w:rPr>
              <w:t>OpenAI Investment</w:t>
            </w:r>
          </w:p>
        </w:tc>
        <w:tc>
          <w:tcPr>
            <w:tcW w:type="dxa" w:w="2880"/>
            <w:shd w:fill="F5F5F5" w:val="clear"/>
          </w:tcPr>
          <w:p>
            <w:pPr>
              <w:jc w:val="center"/>
            </w:pPr>
            <w:r>
              <w:rPr>
                <w:rFonts w:ascii="Calibri" w:hAnsi="Calibri"/>
                <w:color w:val="333333"/>
                <w:sz w:val="20"/>
              </w:rPr>
              <w:t>$13B+</w:t>
            </w:r>
          </w:p>
        </w:tc>
        <w:tc>
          <w:tcPr>
            <w:tcW w:type="dxa" w:w="2880"/>
            <w:shd w:fill="F5F5F5" w:val="clear"/>
          </w:tcPr>
          <w:p>
            <w:pPr>
              <w:jc w:val="center"/>
            </w:pPr>
            <w:r>
              <w:rPr>
                <w:rFonts w:ascii="Calibri" w:hAnsi="Calibri"/>
                <w:color w:val="333333"/>
                <w:sz w:val="20"/>
              </w:rPr>
              <w:t>27% profit share + Azure exclusivity</w:t>
            </w:r>
          </w:p>
        </w:tc>
      </w:tr>
      <w:tr>
        <w:tc>
          <w:tcPr>
            <w:tcW w:type="dxa" w:w="2880"/>
            <w:shd w:fill="E8EFF8" w:val="clear"/>
          </w:tcPr>
          <w:p>
            <w:pPr>
              <w:jc w:val="left"/>
            </w:pPr>
            <w:r>
              <w:rPr>
                <w:rFonts w:ascii="Calibri" w:hAnsi="Calibri"/>
                <w:b/>
                <w:color w:val="1B3A5C"/>
                <w:sz w:val="20"/>
              </w:rPr>
              <w:t>Capex Commitment</w:t>
            </w:r>
          </w:p>
        </w:tc>
        <w:tc>
          <w:tcPr>
            <w:tcW w:type="dxa" w:w="2880"/>
            <w:shd w:fill="FFFFFF" w:val="clear"/>
          </w:tcPr>
          <w:p>
            <w:pPr>
              <w:jc w:val="center"/>
            </w:pPr>
            <w:r>
              <w:rPr>
                <w:rFonts w:ascii="Calibri" w:hAnsi="Calibri"/>
                <w:color w:val="333333"/>
                <w:sz w:val="20"/>
              </w:rPr>
              <w:t>$80B+ (FY2025)</w:t>
            </w:r>
          </w:p>
        </w:tc>
        <w:tc>
          <w:tcPr>
            <w:tcW w:type="dxa" w:w="2880"/>
            <w:shd w:fill="FFFFFF" w:val="clear"/>
          </w:tcPr>
          <w:p>
            <w:pPr>
              <w:jc w:val="center"/>
            </w:pPr>
            <w:r>
              <w:rPr>
                <w:rFonts w:ascii="Calibri" w:hAnsi="Calibri"/>
                <w:color w:val="333333"/>
                <w:sz w:val="20"/>
              </w:rPr>
              <w:t>Massive AI infrastructure buildout</w:t>
            </w:r>
          </w:p>
        </w:tc>
      </w:tr>
    </w:tbl>
    <w:p/>
    <w:p>
      <w:pPr>
        <w:spacing w:before="240" w:after="120"/>
      </w:pPr>
      <w:r>
        <w:rPr>
          <w:rFonts w:ascii="Calibri" w:hAnsi="Calibri"/>
          <w:b/>
          <w:color w:val="1B3A5C"/>
          <w:sz w:val="32"/>
        </w:rPr>
        <w:t>Buffett Assessment</w:t>
      </w:r>
    </w:p>
    <w:p>
      <w:pPr>
        <w:pStyle w:val="ListBullet"/>
        <w:spacing w:after="60"/>
        <w:ind w:left="360"/>
      </w:pPr>
      <w:r>
        <w:rPr>
          <w:rFonts w:ascii="Calibri" w:hAnsi="Calibri"/>
          <w:b/>
          <w:color w:val="333333"/>
          <w:sz w:val="22"/>
        </w:rPr>
        <w:t xml:space="preserve">Moat: </w:t>
      </w:r>
      <w:r>
        <w:rPr>
          <w:rFonts w:ascii="Calibri" w:hAnsi="Calibri"/>
          <w:color w:val="333333"/>
          <w:sz w:val="22"/>
        </w:rPr>
        <w:t>Azure + Office 365 are near-monopoly positions. Enterprise switching costs are enormous. AI enhances the moat rather than threatening it.</w:t>
      </w:r>
    </w:p>
    <w:p>
      <w:pPr>
        <w:pStyle w:val="ListBullet"/>
        <w:spacing w:after="60"/>
        <w:ind w:left="360"/>
      </w:pPr>
      <w:r>
        <w:rPr>
          <w:rFonts w:ascii="Calibri" w:hAnsi="Calibri"/>
          <w:b/>
          <w:color w:val="333333"/>
          <w:sz w:val="22"/>
        </w:rPr>
        <w:t xml:space="preserve">Management: </w:t>
      </w:r>
      <w:r>
        <w:rPr>
          <w:rFonts w:ascii="Calibri" w:hAnsi="Calibri"/>
          <w:color w:val="333333"/>
          <w:sz w:val="22"/>
        </w:rPr>
        <w:t>Nadella is one of the best CEOs alive. The OpenAI bet was perfectly timed and executed. He's now extending it rather than resting on it.</w:t>
      </w:r>
    </w:p>
    <w:p>
      <w:pPr>
        <w:pStyle w:val="ListBullet"/>
        <w:spacing w:after="60"/>
        <w:ind w:left="360"/>
      </w:pPr>
      <w:r>
        <w:rPr>
          <w:rFonts w:ascii="Calibri" w:hAnsi="Calibri"/>
          <w:b/>
          <w:color w:val="333333"/>
          <w:sz w:val="22"/>
        </w:rPr>
        <w:t xml:space="preserve">Margin of Safety: </w:t>
      </w:r>
      <w:r>
        <w:rPr>
          <w:rFonts w:ascii="Calibri" w:hAnsi="Calibri"/>
          <w:color w:val="333333"/>
          <w:sz w:val="22"/>
        </w:rPr>
        <w:t>At ~$390-420/share, forward P/E is ~32-35x. Rich but justifiable given growth rate and quality of earnings. Target entry: $390-$420 for a margin of safety.</w:t>
      </w:r>
    </w:p>
    <w:p>
      <w:pPr>
        <w:pStyle w:val="ListBullet"/>
        <w:spacing w:after="60"/>
        <w:ind w:left="360"/>
      </w:pPr>
      <w:r>
        <w:rPr>
          <w:rFonts w:ascii="Calibri" w:hAnsi="Calibri"/>
          <w:b/>
          <w:color w:val="333333"/>
          <w:sz w:val="22"/>
        </w:rPr>
        <w:t xml:space="preserve">Investment Vehicle: </w:t>
      </w:r>
      <w:r>
        <w:rPr>
          <w:rFonts w:ascii="Calibri" w:hAnsi="Calibri"/>
          <w:color w:val="333333"/>
          <w:sz w:val="22"/>
        </w:rPr>
        <w:t>MSFT on NASDAQ. Already in many institutional portfolios. Consider for Core Forever bucket.</w:t>
      </w:r>
    </w:p>
    <w:tbl>
      <w:tblPr>
        <w:tblStyle w:val="TableGrid"/>
        <w:tblW w:type="auto" w:w="0"/>
        <w:tblLook w:firstColumn="1" w:firstRow="1" w:lastColumn="0" w:lastRow="0" w:noHBand="0" w:noVBand="1" w:val="04A0"/>
      </w:tblPr>
      <w:tblGrid>
        <w:gridCol w:w="8640"/>
      </w:tblGrid>
      <w:tr>
        <w:tc>
          <w:tcPr>
            <w:tcW w:type="dxa" w:w="8640"/>
            <w:shd w:fill="E8F4FF" w:val="clear"/>
          </w:tcPr>
          <w:p>
            <w:r>
              <w:rPr>
                <w:rFonts w:ascii="Calibri" w:hAnsi="Calibri"/>
                <w:b/>
                <w:color w:val="1B3A5C"/>
                <w:sz w:val="22"/>
              </w:rPr>
              <w:t xml:space="preserve">ROB'S TAKE:  </w:t>
            </w:r>
            <w:r>
              <w:rPr>
                <w:rFonts w:ascii="Calibri" w:hAnsi="Calibri"/>
                <w:color w:val="333333"/>
                <w:sz w:val="20"/>
              </w:rPr>
              <w:t>MSFT is the boring genius play. You buy MSFT, you get OpenAI exposure, Azure AI infrastructure, Copilot at 300M user scale, AND GitHub Copilot. It's not as exciting as buying Anthropic pre-IPO, but it's the one you can tell your grandkids about in 40 years.</w:t>
            </w:r>
          </w:p>
        </w:tc>
      </w:tr>
    </w:tbl>
    <w:p/>
    <w:p/>
    <w:tbl>
      <w:tblPr>
        <w:tblStyle w:val="TableGrid"/>
        <w:tblW w:type="auto" w:w="0"/>
        <w:tblLook w:firstColumn="1" w:firstRow="1" w:lastColumn="0" w:lastRow="0" w:noHBand="0" w:noVBand="1" w:val="04A0"/>
      </w:tblPr>
      <w:tblGrid>
        <w:gridCol w:w="864"/>
        <w:gridCol w:w="2880"/>
        <w:gridCol w:w="2160"/>
      </w:tblGrid>
      <w:tr>
        <w:tc>
          <w:tcPr>
            <w:tcW w:type="dxa" w:w="2880"/>
            <w:shd w:fill="1B3A5C" w:val="clear"/>
          </w:tcPr>
          <w:p>
            <w:pPr>
              <w:jc w:val="center"/>
            </w:pPr>
            <w:r>
              <w:rPr>
                <w:rFonts w:ascii="Calibri" w:hAnsi="Calibri"/>
                <w:b/>
                <w:color w:val="E89A1A"/>
                <w:sz w:val="36"/>
              </w:rPr>
              <w:t>05</w:t>
            </w:r>
          </w:p>
        </w:tc>
        <w:tc>
          <w:tcPr>
            <w:tcW w:type="dxa" w:w="2880"/>
            <w:shd w:fill="1B3A5C" w:val="clear"/>
          </w:tcPr>
          <w:p>
            <w:r>
              <w:rPr>
                <w:rFonts w:ascii="Calibri" w:hAnsi="Calibri"/>
                <w:b/>
                <w:color w:val="FFFFFF"/>
                <w:sz w:val="28"/>
              </w:rPr>
              <w:t>Meta Platforms  |  META — NASDAQ</w:t>
            </w:r>
          </w:p>
        </w:tc>
        <w:tc>
          <w:tcPr>
            <w:tcW w:type="dxa" w:w="2880"/>
            <w:shd w:fill="1A7A2E" w:val="clear"/>
          </w:tcPr>
          <w:p>
            <w:pPr>
              <w:jc w:val="center"/>
            </w:pPr>
            <w:r>
              <w:rPr>
                <w:rFonts w:ascii="Calibri" w:hAnsi="Calibri"/>
                <w:b/>
                <w:color w:val="FFFFFF"/>
                <w:sz w:val="22"/>
              </w:rPr>
              <w:t>✅ STRONG BUY — Underrated Position</w:t>
            </w:r>
          </w:p>
        </w:tc>
      </w:tr>
    </w:tbl>
    <w:p/>
    <w:p>
      <w:pPr>
        <w:spacing w:before="240" w:after="120"/>
      </w:pPr>
      <w:r>
        <w:rPr>
          <w:rFonts w:ascii="Calibri" w:hAnsi="Calibri"/>
          <w:b/>
          <w:color w:val="1B3A5C"/>
          <w:sz w:val="32"/>
        </w:rPr>
        <w:t>CEO &amp; Vision: Mark Zuckerberg</w:t>
      </w:r>
    </w:p>
    <w:p>
      <w:pPr>
        <w:spacing w:after="120" w:before="40"/>
      </w:pPr>
      <w:r>
        <w:rPr>
          <w:rFonts w:ascii="Calibri" w:hAnsi="Calibri"/>
          <w:color w:val="333333"/>
          <w:sz w:val="22"/>
        </w:rPr>
        <w:t>Mark Zuckerberg has surprised the market repeatedly: surviving the Cambridge Analytica crisis, pivoting to mobile, rebranding to Meta for the metaverse bet (mostly failed), and then executing a stunning 'Year of Efficiency' in 2023 that drove Meta's stock from $88 to $600+ in 18 months. His current AI strategy is genuinely differentiated: open source everything, reduce AI model costs to near-zero for the industry, and use AI to make Meta's advertising platform smarter.</w:t>
      </w:r>
    </w:p>
    <w:p>
      <w:pPr>
        <w:spacing w:after="120" w:before="40"/>
      </w:pPr>
      <w:r>
        <w:rPr>
          <w:rFonts w:ascii="Calibri" w:hAnsi="Calibri"/>
          <w:color w:val="333333"/>
          <w:sz w:val="22"/>
        </w:rPr>
        <w:t>The bet: if AI models become commodities, Meta loses nothing on model revenue (it has none to lose). But if AI supercharges Instagram and Facebook engagement — which it already is — Meta's advertising revenue compounds at rates impossible to achieve manually.</w:t>
      </w:r>
    </w:p>
    <w:p>
      <w:pPr>
        <w:spacing w:before="240" w:after="120"/>
      </w:pPr>
      <w:r>
        <w:rPr>
          <w:rFonts w:ascii="Calibri" w:hAnsi="Calibri"/>
          <w:b/>
          <w:color w:val="1B3A5C"/>
          <w:sz w:val="32"/>
        </w:rPr>
        <w:t>The Open Source Strategy — Genius or Charity?</w:t>
      </w:r>
    </w:p>
    <w:p>
      <w:pPr>
        <w:spacing w:after="120" w:before="40"/>
      </w:pPr>
      <w:r>
        <w:rPr>
          <w:rFonts w:ascii="Calibri" w:hAnsi="Calibri"/>
          <w:color w:val="333333"/>
          <w:sz w:val="22"/>
        </w:rPr>
        <w:t>LLaMA (Large Language Model Meta AI) is Meta's open-source model family, freely available for commercial use. LLaMA 3 and the upcoming LLaMA 4 are competitive with GPT-5.4 and Claude on many benchmarks. Why give it away?</w:t>
      </w:r>
    </w:p>
    <w:p>
      <w:pPr>
        <w:pStyle w:val="ListBullet"/>
        <w:spacing w:after="60"/>
        <w:ind w:left="360"/>
      </w:pPr>
      <w:r>
        <w:rPr>
          <w:rFonts w:ascii="Calibri" w:hAnsi="Calibri"/>
          <w:color w:val="333333"/>
          <w:sz w:val="22"/>
        </w:rPr>
        <w:t>Reduces competitor moat: If powerful models are free, OpenAI and Anthropic lose pricing leverage.</w:t>
      </w:r>
    </w:p>
    <w:p>
      <w:pPr>
        <w:pStyle w:val="ListBullet"/>
        <w:spacing w:after="60"/>
        <w:ind w:left="360"/>
      </w:pPr>
      <w:r>
        <w:rPr>
          <w:rFonts w:ascii="Calibri" w:hAnsi="Calibri"/>
          <w:color w:val="333333"/>
          <w:sz w:val="22"/>
        </w:rPr>
        <w:t>Creates ecosystem dependency: Developers who build on LLaMA need Meta's infrastructure and tools.</w:t>
      </w:r>
    </w:p>
    <w:p>
      <w:pPr>
        <w:pStyle w:val="ListBullet"/>
        <w:spacing w:after="60"/>
        <w:ind w:left="360"/>
      </w:pPr>
      <w:r>
        <w:rPr>
          <w:rFonts w:ascii="Calibri" w:hAnsi="Calibri"/>
          <w:color w:val="333333"/>
          <w:sz w:val="22"/>
        </w:rPr>
        <w:t>Government relations: Open source positioning makes Meta a harder target for AI regulation.</w:t>
      </w:r>
    </w:p>
    <w:p>
      <w:pPr>
        <w:pStyle w:val="ListBullet"/>
        <w:spacing w:after="60"/>
        <w:ind w:left="360"/>
      </w:pPr>
      <w:r>
        <w:rPr>
          <w:rFonts w:ascii="Calibri" w:hAnsi="Calibri"/>
          <w:color w:val="333333"/>
          <w:sz w:val="22"/>
        </w:rPr>
        <w:t>The real revenue: AI making Facebook/Instagram more engaging drives MORE ad inventory value. A 10% engagement increase from AI could add $10B+ to ad revenue.</w:t>
      </w:r>
    </w:p>
    <w:p>
      <w:pPr>
        <w:pStyle w:val="ListBullet"/>
        <w:spacing w:after="60"/>
        <w:ind w:left="360"/>
      </w:pPr>
      <w:r>
        <w:rPr>
          <w:rFonts w:ascii="Calibri" w:hAnsi="Calibri"/>
          <w:color w:val="333333"/>
          <w:sz w:val="22"/>
        </w:rPr>
        <w:t>Meta AI assistant: Deployed across WhatsApp, Instagram, Facebook with 3.3B+ monthly active users. No competitor has this distribution.</w:t>
      </w:r>
    </w:p>
    <w:p>
      <w:pPr>
        <w:spacing w:before="240" w:after="120"/>
      </w:pPr>
      <w:r>
        <w:rPr>
          <w:rFonts w:ascii="Calibri" w:hAnsi="Calibri"/>
          <w:b/>
          <w:color w:val="1B3A5C"/>
          <w:sz w:val="32"/>
        </w:rPr>
        <w:t>Financials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pPr>
              <w:jc w:val="center"/>
            </w:pPr>
            <w:r>
              <w:rPr>
                <w:rFonts w:ascii="Calibri" w:hAnsi="Calibri"/>
                <w:b/>
                <w:color w:val="FFFFFF"/>
                <w:sz w:val="20"/>
              </w:rPr>
              <w:t>Metric</w:t>
            </w:r>
          </w:p>
        </w:tc>
        <w:tc>
          <w:tcPr>
            <w:tcW w:type="dxa" w:w="2880"/>
            <w:shd w:fill="1B3A5C" w:val="clear"/>
          </w:tcPr>
          <w:p>
            <w:pPr>
              <w:jc w:val="center"/>
            </w:pPr>
            <w:r>
              <w:rPr>
                <w:rFonts w:ascii="Calibri" w:hAnsi="Calibri"/>
                <w:b/>
                <w:color w:val="FFFFFF"/>
                <w:sz w:val="20"/>
              </w:rPr>
              <w:t>Value</w:t>
            </w:r>
          </w:p>
        </w:tc>
        <w:tc>
          <w:tcPr>
            <w:tcW w:type="dxa" w:w="2880"/>
            <w:shd w:fill="1B3A5C" w:val="clear"/>
          </w:tcPr>
          <w:p>
            <w:pPr>
              <w:jc w:val="center"/>
            </w:pPr>
            <w:r>
              <w:rPr>
                <w:rFonts w:ascii="Calibri" w:hAnsi="Calibri"/>
                <w:b/>
                <w:color w:val="FFFFFF"/>
                <w:sz w:val="20"/>
              </w:rPr>
              <w:t>Notes</w:t>
            </w:r>
          </w:p>
        </w:tc>
      </w:tr>
      <w:tr>
        <w:tc>
          <w:tcPr>
            <w:tcW w:type="dxa" w:w="2880"/>
            <w:shd w:fill="E8EFF8" w:val="clear"/>
          </w:tcPr>
          <w:p>
            <w:pPr>
              <w:jc w:val="left"/>
            </w:pPr>
            <w:r>
              <w:rPr>
                <w:rFonts w:ascii="Calibri" w:hAnsi="Calibri"/>
                <w:b/>
                <w:color w:val="1B3A5C"/>
                <w:sz w:val="20"/>
              </w:rPr>
              <w:t>Revenue (2025 est.)</w:t>
            </w:r>
          </w:p>
        </w:tc>
        <w:tc>
          <w:tcPr>
            <w:tcW w:type="dxa" w:w="2880"/>
            <w:shd w:fill="F5F5F5" w:val="clear"/>
          </w:tcPr>
          <w:p>
            <w:pPr>
              <w:jc w:val="center"/>
            </w:pPr>
            <w:r>
              <w:rPr>
                <w:rFonts w:ascii="Calibri" w:hAnsi="Calibri"/>
                <w:color w:val="333333"/>
                <w:sz w:val="20"/>
              </w:rPr>
              <w:t>~$180B</w:t>
            </w:r>
          </w:p>
        </w:tc>
        <w:tc>
          <w:tcPr>
            <w:tcW w:type="dxa" w:w="2880"/>
            <w:shd w:fill="F5F5F5" w:val="clear"/>
          </w:tcPr>
          <w:p>
            <w:pPr>
              <w:jc w:val="center"/>
            </w:pPr>
            <w:r>
              <w:rPr>
                <w:rFonts w:ascii="Calibri" w:hAnsi="Calibri"/>
                <w:color w:val="333333"/>
                <w:sz w:val="20"/>
              </w:rPr>
              <w:t>Advertising dominant</w:t>
            </w:r>
          </w:p>
        </w:tc>
      </w:tr>
      <w:tr>
        <w:tc>
          <w:tcPr>
            <w:tcW w:type="dxa" w:w="2880"/>
            <w:shd w:fill="E8EFF8" w:val="clear"/>
          </w:tcPr>
          <w:p>
            <w:pPr>
              <w:jc w:val="left"/>
            </w:pPr>
            <w:r>
              <w:rPr>
                <w:rFonts w:ascii="Calibri" w:hAnsi="Calibri"/>
                <w:b/>
                <w:color w:val="1B3A5C"/>
                <w:sz w:val="20"/>
              </w:rPr>
              <w:t>Net Income (2025 est.)</w:t>
            </w:r>
          </w:p>
        </w:tc>
        <w:tc>
          <w:tcPr>
            <w:tcW w:type="dxa" w:w="2880"/>
            <w:shd w:fill="FFFFFF" w:val="clear"/>
          </w:tcPr>
          <w:p>
            <w:pPr>
              <w:jc w:val="center"/>
            </w:pPr>
            <w:r>
              <w:rPr>
                <w:rFonts w:ascii="Calibri" w:hAnsi="Calibri"/>
                <w:color w:val="333333"/>
                <w:sz w:val="20"/>
              </w:rPr>
              <w:t>~$60B</w:t>
            </w:r>
          </w:p>
        </w:tc>
        <w:tc>
          <w:tcPr>
            <w:tcW w:type="dxa" w:w="2880"/>
            <w:shd w:fill="FFFFFF" w:val="clear"/>
          </w:tcPr>
          <w:p>
            <w:pPr>
              <w:jc w:val="center"/>
            </w:pPr>
            <w:r>
              <w:rPr>
                <w:rFonts w:ascii="Calibri" w:hAnsi="Calibri"/>
                <w:color w:val="333333"/>
                <w:sz w:val="20"/>
              </w:rPr>
              <w:t>Massive free cash flow</w:t>
            </w:r>
          </w:p>
        </w:tc>
      </w:tr>
      <w:tr>
        <w:tc>
          <w:tcPr>
            <w:tcW w:type="dxa" w:w="2880"/>
            <w:shd w:fill="E8EFF8" w:val="clear"/>
          </w:tcPr>
          <w:p>
            <w:pPr>
              <w:jc w:val="left"/>
            </w:pPr>
            <w:r>
              <w:rPr>
                <w:rFonts w:ascii="Calibri" w:hAnsi="Calibri"/>
                <w:b/>
                <w:color w:val="1B3A5C"/>
                <w:sz w:val="20"/>
              </w:rPr>
              <w:t>Market Cap (Apr 2026)</w:t>
            </w:r>
          </w:p>
        </w:tc>
        <w:tc>
          <w:tcPr>
            <w:tcW w:type="dxa" w:w="2880"/>
            <w:shd w:fill="F5F5F5" w:val="clear"/>
          </w:tcPr>
          <w:p>
            <w:pPr>
              <w:jc w:val="center"/>
            </w:pPr>
            <w:r>
              <w:rPr>
                <w:rFonts w:ascii="Calibri" w:hAnsi="Calibri"/>
                <w:color w:val="333333"/>
                <w:sz w:val="20"/>
              </w:rPr>
              <w:t>~$1.4 Trillion</w:t>
            </w:r>
          </w:p>
        </w:tc>
        <w:tc>
          <w:tcPr>
            <w:tcW w:type="dxa" w:w="2880"/>
            <w:shd w:fill="F5F5F5" w:val="clear"/>
          </w:tcPr>
          <w:p>
            <w:pPr>
              <w:jc w:val="center"/>
            </w:pPr>
            <w:r>
              <w:rPr>
                <w:rFonts w:ascii="Calibri" w:hAnsi="Calibri"/>
                <w:color w:val="333333"/>
                <w:sz w:val="20"/>
              </w:rPr>
              <w:t>~$540/share range</w:t>
            </w:r>
          </w:p>
        </w:tc>
      </w:tr>
      <w:tr>
        <w:tc>
          <w:tcPr>
            <w:tcW w:type="dxa" w:w="2880"/>
            <w:shd w:fill="E8EFF8" w:val="clear"/>
          </w:tcPr>
          <w:p>
            <w:pPr>
              <w:jc w:val="left"/>
            </w:pPr>
            <w:r>
              <w:rPr>
                <w:rFonts w:ascii="Calibri" w:hAnsi="Calibri"/>
                <w:b/>
                <w:color w:val="1B3A5C"/>
                <w:sz w:val="20"/>
              </w:rPr>
              <w:t>Daily Active Users</w:t>
            </w:r>
          </w:p>
        </w:tc>
        <w:tc>
          <w:tcPr>
            <w:tcW w:type="dxa" w:w="2880"/>
            <w:shd w:fill="FFFFFF" w:val="clear"/>
          </w:tcPr>
          <w:p>
            <w:pPr>
              <w:jc w:val="center"/>
            </w:pPr>
            <w:r>
              <w:rPr>
                <w:rFonts w:ascii="Calibri" w:hAnsi="Calibri"/>
                <w:color w:val="333333"/>
                <w:sz w:val="20"/>
              </w:rPr>
              <w:t>3.3 Billion+</w:t>
            </w:r>
          </w:p>
        </w:tc>
        <w:tc>
          <w:tcPr>
            <w:tcW w:type="dxa" w:w="2880"/>
            <w:shd w:fill="FFFFFF" w:val="clear"/>
          </w:tcPr>
          <w:p>
            <w:pPr>
              <w:jc w:val="center"/>
            </w:pPr>
            <w:r>
              <w:rPr>
                <w:rFonts w:ascii="Calibri" w:hAnsi="Calibri"/>
                <w:color w:val="333333"/>
                <w:sz w:val="20"/>
              </w:rPr>
              <w:t>Largest social network in history</w:t>
            </w:r>
          </w:p>
        </w:tc>
      </w:tr>
      <w:tr>
        <w:tc>
          <w:tcPr>
            <w:tcW w:type="dxa" w:w="2880"/>
            <w:shd w:fill="E8EFF8" w:val="clear"/>
          </w:tcPr>
          <w:p>
            <w:pPr>
              <w:jc w:val="left"/>
            </w:pPr>
            <w:r>
              <w:rPr>
                <w:rFonts w:ascii="Calibri" w:hAnsi="Calibri"/>
                <w:b/>
                <w:color w:val="1B3A5C"/>
                <w:sz w:val="20"/>
              </w:rPr>
              <w:t>AI Capex (2025)</w:t>
            </w:r>
          </w:p>
        </w:tc>
        <w:tc>
          <w:tcPr>
            <w:tcW w:type="dxa" w:w="2880"/>
            <w:shd w:fill="F5F5F5" w:val="clear"/>
          </w:tcPr>
          <w:p>
            <w:pPr>
              <w:jc w:val="center"/>
            </w:pPr>
            <w:r>
              <w:rPr>
                <w:rFonts w:ascii="Calibri" w:hAnsi="Calibri"/>
                <w:color w:val="333333"/>
                <w:sz w:val="20"/>
              </w:rPr>
              <w:t>$60–65 Billion</w:t>
            </w:r>
          </w:p>
        </w:tc>
        <w:tc>
          <w:tcPr>
            <w:tcW w:type="dxa" w:w="2880"/>
            <w:shd w:fill="F5F5F5" w:val="clear"/>
          </w:tcPr>
          <w:p>
            <w:pPr>
              <w:jc w:val="center"/>
            </w:pPr>
            <w:r>
              <w:rPr>
                <w:rFonts w:ascii="Calibri" w:hAnsi="Calibri"/>
                <w:color w:val="333333"/>
                <w:sz w:val="20"/>
              </w:rPr>
              <w:t>Building 2GW AI data center</w:t>
            </w:r>
          </w:p>
        </w:tc>
      </w:tr>
      <w:tr>
        <w:tc>
          <w:tcPr>
            <w:tcW w:type="dxa" w:w="2880"/>
            <w:shd w:fill="E8EFF8" w:val="clear"/>
          </w:tcPr>
          <w:p>
            <w:pPr>
              <w:jc w:val="left"/>
            </w:pPr>
            <w:r>
              <w:rPr>
                <w:rFonts w:ascii="Calibri" w:hAnsi="Calibri"/>
                <w:b/>
                <w:color w:val="1B3A5C"/>
                <w:sz w:val="20"/>
              </w:rPr>
              <w:t>Operating Margin</w:t>
            </w:r>
          </w:p>
        </w:tc>
        <w:tc>
          <w:tcPr>
            <w:tcW w:type="dxa" w:w="2880"/>
            <w:shd w:fill="FFFFFF" w:val="clear"/>
          </w:tcPr>
          <w:p>
            <w:pPr>
              <w:jc w:val="center"/>
            </w:pPr>
            <w:r>
              <w:rPr>
                <w:rFonts w:ascii="Calibri" w:hAnsi="Calibri"/>
                <w:color w:val="333333"/>
                <w:sz w:val="20"/>
              </w:rPr>
              <w:t>~40–45%</w:t>
            </w:r>
          </w:p>
        </w:tc>
        <w:tc>
          <w:tcPr>
            <w:tcW w:type="dxa" w:w="2880"/>
            <w:shd w:fill="FFFFFF" w:val="clear"/>
          </w:tcPr>
          <w:p>
            <w:pPr>
              <w:jc w:val="center"/>
            </w:pPr>
            <w:r>
              <w:rPr>
                <w:rFonts w:ascii="Calibri" w:hAnsi="Calibri"/>
                <w:color w:val="333333"/>
                <w:sz w:val="20"/>
              </w:rPr>
              <w:t>One of the most profitable in tech</w:t>
            </w:r>
          </w:p>
        </w:tc>
      </w:tr>
    </w:tbl>
    <w:p/>
    <w:p>
      <w:pPr>
        <w:spacing w:before="240" w:after="120"/>
      </w:pPr>
      <w:r>
        <w:rPr>
          <w:rFonts w:ascii="Calibri" w:hAnsi="Calibri"/>
          <w:b/>
          <w:color w:val="1B3A5C"/>
          <w:sz w:val="32"/>
        </w:rPr>
        <w:t>Buffett Assessment</w:t>
      </w:r>
    </w:p>
    <w:p>
      <w:pPr>
        <w:pStyle w:val="ListBullet"/>
        <w:spacing w:after="60"/>
        <w:ind w:left="360"/>
      </w:pPr>
      <w:r>
        <w:rPr>
          <w:rFonts w:ascii="Calibri" w:hAnsi="Calibri"/>
          <w:b/>
          <w:color w:val="333333"/>
          <w:sz w:val="22"/>
        </w:rPr>
        <w:t xml:space="preserve">Moat: </w:t>
      </w:r>
      <w:r>
        <w:rPr>
          <w:rFonts w:ascii="Calibri" w:hAnsi="Calibri"/>
          <w:color w:val="333333"/>
          <w:sz w:val="22"/>
        </w:rPr>
        <w:t>3.3 billion daily users with massive social switching costs. AI is making the platform MORE sticky, not threatening it. LLaMA ecosystem creates additional developer moat.</w:t>
      </w:r>
    </w:p>
    <w:p>
      <w:pPr>
        <w:pStyle w:val="ListBullet"/>
        <w:spacing w:after="60"/>
        <w:ind w:left="360"/>
      </w:pPr>
      <w:r>
        <w:rPr>
          <w:rFonts w:ascii="Calibri" w:hAnsi="Calibri"/>
          <w:b/>
          <w:color w:val="333333"/>
          <w:sz w:val="22"/>
        </w:rPr>
        <w:t xml:space="preserve">Management: </w:t>
      </w:r>
      <w:r>
        <w:rPr>
          <w:rFonts w:ascii="Calibri" w:hAnsi="Calibri"/>
          <w:color w:val="333333"/>
          <w:sz w:val="22"/>
        </w:rPr>
        <w:t>Zuckerberg has surprised skeptics repeatedly. His AI pivot has been both bold and well-executed. Major concern: metaverse spending was wasteful, suggesting capital allocation can go wrong.</w:t>
      </w:r>
    </w:p>
    <w:p>
      <w:pPr>
        <w:pStyle w:val="ListBullet"/>
        <w:spacing w:after="60"/>
        <w:ind w:left="360"/>
      </w:pPr>
      <w:r>
        <w:rPr>
          <w:rFonts w:ascii="Calibri" w:hAnsi="Calibri"/>
          <w:b/>
          <w:color w:val="333333"/>
          <w:sz w:val="22"/>
        </w:rPr>
        <w:t xml:space="preserve">Margin of Safety: </w:t>
      </w:r>
      <w:r>
        <w:rPr>
          <w:rFonts w:ascii="Calibri" w:hAnsi="Calibri"/>
          <w:color w:val="333333"/>
          <w:sz w:val="22"/>
        </w:rPr>
        <w:t>At ~$540/share with ~$60B net income, P/E is ~23x. For a company with 3.3B users, dominant market position, and accelerating AI revenue, this is reasonable. Entry target: $510-$560.</w:t>
      </w:r>
    </w:p>
    <w:p>
      <w:pPr>
        <w:pStyle w:val="ListBullet"/>
        <w:spacing w:after="60"/>
        <w:ind w:left="360"/>
      </w:pPr>
      <w:r>
        <w:rPr>
          <w:rFonts w:ascii="Calibri" w:hAnsi="Calibri"/>
          <w:b/>
          <w:color w:val="333333"/>
          <w:sz w:val="22"/>
        </w:rPr>
        <w:t xml:space="preserve">Investment Vehicle: </w:t>
      </w:r>
      <w:r>
        <w:rPr>
          <w:rFonts w:ascii="Calibri" w:hAnsi="Calibri"/>
          <w:color w:val="333333"/>
          <w:sz w:val="22"/>
        </w:rPr>
        <w:t>META on NASDAQ. Core Forever or Opportunistic Value bucket depending on entry price.</w:t>
      </w:r>
    </w:p>
    <w:tbl>
      <w:tblPr>
        <w:tblStyle w:val="TableGrid"/>
        <w:tblW w:type="auto" w:w="0"/>
        <w:tblLook w:firstColumn="1" w:firstRow="1" w:lastColumn="0" w:lastRow="0" w:noHBand="0" w:noVBand="1" w:val="04A0"/>
      </w:tblPr>
      <w:tblGrid>
        <w:gridCol w:w="8640"/>
      </w:tblGrid>
      <w:tr>
        <w:tc>
          <w:tcPr>
            <w:tcW w:type="dxa" w:w="8640"/>
            <w:shd w:fill="E8F4FF" w:val="clear"/>
          </w:tcPr>
          <w:p>
            <w:r>
              <w:rPr>
                <w:rFonts w:ascii="Calibri" w:hAnsi="Calibri"/>
                <w:b/>
                <w:color w:val="1B3A5C"/>
                <w:sz w:val="22"/>
              </w:rPr>
              <w:t xml:space="preserve">ROB'S TAKE:  </w:t>
            </w:r>
            <w:r>
              <w:rPr>
                <w:rFonts w:ascii="Calibri" w:hAnsi="Calibri"/>
                <w:color w:val="333333"/>
                <w:sz w:val="20"/>
              </w:rPr>
              <w:t>Meta has 3.3 billion users and is using AI to make them spend more time on the platform and see better ads. That's the business. It's not glamorous but it prints money. The open-source LLaMA move is the most interesting strategic play in the industry — Zuckerberg is trying to commoditize his competitors' products while protecting his own advertising moat.</w:t>
            </w:r>
          </w:p>
        </w:tc>
      </w:tr>
    </w:tbl>
    <w:p/>
    <w:p/>
    <w:tbl>
      <w:tblPr>
        <w:tblStyle w:val="TableGrid"/>
        <w:tblW w:type="auto" w:w="0"/>
        <w:tblLook w:firstColumn="1" w:firstRow="1" w:lastColumn="0" w:lastRow="0" w:noHBand="0" w:noVBand="1" w:val="04A0"/>
      </w:tblPr>
      <w:tblGrid>
        <w:gridCol w:w="864"/>
        <w:gridCol w:w="2880"/>
        <w:gridCol w:w="2160"/>
      </w:tblGrid>
      <w:tr>
        <w:tc>
          <w:tcPr>
            <w:tcW w:type="dxa" w:w="2880"/>
            <w:shd w:fill="1B3A5C" w:val="clear"/>
          </w:tcPr>
          <w:p>
            <w:pPr>
              <w:jc w:val="center"/>
            </w:pPr>
            <w:r>
              <w:rPr>
                <w:rFonts w:ascii="Calibri" w:hAnsi="Calibri"/>
                <w:b/>
                <w:color w:val="E89A1A"/>
                <w:sz w:val="36"/>
              </w:rPr>
              <w:t>06</w:t>
            </w:r>
          </w:p>
        </w:tc>
        <w:tc>
          <w:tcPr>
            <w:tcW w:type="dxa" w:w="2880"/>
            <w:shd w:fill="1B3A5C" w:val="clear"/>
          </w:tcPr>
          <w:p>
            <w:r>
              <w:rPr>
                <w:rFonts w:ascii="Calibri" w:hAnsi="Calibri"/>
                <w:b/>
                <w:color w:val="FFFFFF"/>
                <w:sz w:val="28"/>
              </w:rPr>
              <w:t>xAI / Elon Musk  |  Pre-IPO | TSLA partial proxy</w:t>
            </w:r>
          </w:p>
        </w:tc>
        <w:tc>
          <w:tcPr>
            <w:tcW w:type="dxa" w:w="2880"/>
            <w:shd w:fill="CC2222" w:val="clear"/>
          </w:tcPr>
          <w:p>
            <w:pPr>
              <w:jc w:val="center"/>
            </w:pPr>
            <w:r>
              <w:rPr>
                <w:rFonts w:ascii="Calibri" w:hAnsi="Calibri"/>
                <w:b/>
                <w:color w:val="FFFFFF"/>
                <w:sz w:val="22"/>
              </w:rPr>
              <w:t>⚠️ HIGH RISK — Selective Exposure</w:t>
            </w:r>
          </w:p>
        </w:tc>
      </w:tr>
    </w:tbl>
    <w:p/>
    <w:p>
      <w:pPr>
        <w:spacing w:before="240" w:after="120"/>
      </w:pPr>
      <w:r>
        <w:rPr>
          <w:rFonts w:ascii="Calibri" w:hAnsi="Calibri"/>
          <w:b/>
          <w:color w:val="1B3A5C"/>
          <w:sz w:val="32"/>
        </w:rPr>
        <w:t>CEO &amp; Vision: Elon Musk</w:t>
      </w:r>
    </w:p>
    <w:p>
      <w:pPr>
        <w:spacing w:after="120" w:before="40"/>
      </w:pPr>
      <w:r>
        <w:rPr>
          <w:rFonts w:ascii="Calibri" w:hAnsi="Calibri"/>
          <w:color w:val="333333"/>
          <w:sz w:val="22"/>
        </w:rPr>
        <w:t>Elon Musk's stated mission for xAI: 'understand the universe.' This is either the most ambitious purpose statement in tech history or marketing hyperbole — possibly both. Musk founded xAI in March 2023 with 11 researchers, several from Google DeepMind, after publicly criticizing OpenAI for abandoning its safety mission (ironic, given xAI's aggressive deployment pace).</w:t>
      </w:r>
    </w:p>
    <w:p>
      <w:pPr>
        <w:spacing w:after="120" w:before="40"/>
      </w:pPr>
      <w:r>
        <w:rPr>
          <w:rFonts w:ascii="Calibri" w:hAnsi="Calibri"/>
          <w:color w:val="333333"/>
          <w:sz w:val="22"/>
        </w:rPr>
        <w:t>Musk's advantage over all competitors: data access. xAI's Grok models are trained on real-time X (Twitter) data — unique signal not available to any other AI company. Tesla provides years of real-world video driving data (most driving video data in existence). SpaceX provides satellite and aerospace data. This data moat is genuinely differentiated.</w:t>
      </w:r>
    </w:p>
    <w:p>
      <w:pPr>
        <w:spacing w:before="240" w:after="120"/>
      </w:pPr>
      <w:r>
        <w:rPr>
          <w:rFonts w:ascii="Calibri" w:hAnsi="Calibri"/>
          <w:b/>
          <w:color w:val="1B3A5C"/>
          <w:sz w:val="32"/>
        </w:rPr>
        <w:t>Models &amp; Infrastructure</w:t>
      </w:r>
    </w:p>
    <w:p>
      <w:pPr>
        <w:pStyle w:val="ListBullet"/>
        <w:spacing w:after="60"/>
        <w:ind w:left="360"/>
      </w:pPr>
      <w:r>
        <w:rPr>
          <w:rFonts w:ascii="Calibri" w:hAnsi="Calibri"/>
          <w:color w:val="333333"/>
          <w:sz w:val="22"/>
        </w:rPr>
        <w:t>Grok 3: xAI's flagship model as of early 2026. Integrated with X/Twitter, accessible to Premium subscribers.</w:t>
      </w:r>
    </w:p>
    <w:p>
      <w:pPr>
        <w:pStyle w:val="ListBullet"/>
        <w:spacing w:after="60"/>
        <w:ind w:left="360"/>
      </w:pPr>
      <w:r>
        <w:rPr>
          <w:rFonts w:ascii="Calibri" w:hAnsi="Calibri"/>
          <w:color w:val="333333"/>
          <w:sz w:val="22"/>
        </w:rPr>
        <w:t>Colossus Supercluster: 100,000 NVIDIA H100 GPUs in Memphis, Tennessee. Built in 122 days — fastest deployment of this scale ever. Now expanding to 200,000 H100s. This compute advantage is REAL.</w:t>
      </w:r>
    </w:p>
    <w:p>
      <w:pPr>
        <w:pStyle w:val="ListBullet"/>
        <w:spacing w:after="60"/>
        <w:ind w:left="360"/>
      </w:pPr>
      <w:r>
        <w:rPr>
          <w:rFonts w:ascii="Calibri" w:hAnsi="Calibri"/>
          <w:color w:val="333333"/>
          <w:sz w:val="22"/>
        </w:rPr>
        <w:t>Grokipedia: AI-powered knowledge base product, attempting to compete with Google Search.</w:t>
      </w:r>
    </w:p>
    <w:p>
      <w:pPr>
        <w:pStyle w:val="ListBullet"/>
        <w:spacing w:after="60"/>
        <w:ind w:left="360"/>
      </w:pPr>
      <w:r>
        <w:rPr>
          <w:rFonts w:ascii="Calibri" w:hAnsi="Calibri"/>
          <w:color w:val="333333"/>
          <w:sz w:val="22"/>
        </w:rPr>
        <w:t>X integration: Grok embedded directly in X's interface, giving it distribution to 350M+ X users.</w:t>
      </w:r>
    </w:p>
    <w:p>
      <w:pPr>
        <w:spacing w:before="240" w:after="120"/>
      </w:pPr>
      <w:r>
        <w:rPr>
          <w:rFonts w:ascii="Calibri" w:hAnsi="Calibri"/>
          <w:b/>
          <w:color w:val="1B3A5C"/>
          <w:sz w:val="32"/>
        </w:rPr>
        <w:t>Corporate Structure — Complexity Alert</w:t>
      </w:r>
    </w:p>
    <w:p>
      <w:pPr>
        <w:spacing w:after="120" w:before="40"/>
      </w:pPr>
      <w:r>
        <w:rPr>
          <w:rFonts w:ascii="Calibri" w:hAnsi="Calibri"/>
          <w:color w:val="333333"/>
          <w:sz w:val="22"/>
        </w:rPr>
        <w:t>xAI's structure is uniquely complicated. As of 2026, xAI is a wholly owned subsidiary of SpaceX. X Corp (Twitter) is a subsidiary of xAI. This creates a chain: SpaceX → xAI → X Corp. Musk controls SpaceX (~47% stake). This means Musk effectively controls all of it, but outside investors in xAI pre-IPO rounds are actually investing in a SpaceX subsidiary — adding a layer of complexity to any exit scenario.</w:t>
      </w:r>
    </w:p>
    <w:p>
      <w:pPr>
        <w:spacing w:before="240" w:after="120"/>
      </w:pPr>
      <w:r>
        <w:rPr>
          <w:rFonts w:ascii="Calibri" w:hAnsi="Calibri"/>
          <w:b/>
          <w:color w:val="1B3A5C"/>
          <w:sz w:val="32"/>
        </w:rPr>
        <w:t>Financials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pPr>
              <w:jc w:val="center"/>
            </w:pPr>
            <w:r>
              <w:rPr>
                <w:rFonts w:ascii="Calibri" w:hAnsi="Calibri"/>
                <w:b/>
                <w:color w:val="FFFFFF"/>
                <w:sz w:val="20"/>
              </w:rPr>
              <w:t>Metric</w:t>
            </w:r>
          </w:p>
        </w:tc>
        <w:tc>
          <w:tcPr>
            <w:tcW w:type="dxa" w:w="2880"/>
            <w:shd w:fill="1B3A5C" w:val="clear"/>
          </w:tcPr>
          <w:p>
            <w:pPr>
              <w:jc w:val="center"/>
            </w:pPr>
            <w:r>
              <w:rPr>
                <w:rFonts w:ascii="Calibri" w:hAnsi="Calibri"/>
                <w:b/>
                <w:color w:val="FFFFFF"/>
                <w:sz w:val="20"/>
              </w:rPr>
              <w:t>Value</w:t>
            </w:r>
          </w:p>
        </w:tc>
        <w:tc>
          <w:tcPr>
            <w:tcW w:type="dxa" w:w="2880"/>
            <w:shd w:fill="1B3A5C" w:val="clear"/>
          </w:tcPr>
          <w:p>
            <w:pPr>
              <w:jc w:val="center"/>
            </w:pPr>
            <w:r>
              <w:rPr>
                <w:rFonts w:ascii="Calibri" w:hAnsi="Calibri"/>
                <w:b/>
                <w:color w:val="FFFFFF"/>
                <w:sz w:val="20"/>
              </w:rPr>
              <w:t>Notes</w:t>
            </w:r>
          </w:p>
        </w:tc>
      </w:tr>
      <w:tr>
        <w:tc>
          <w:tcPr>
            <w:tcW w:type="dxa" w:w="2880"/>
            <w:shd w:fill="E8EFF8" w:val="clear"/>
          </w:tcPr>
          <w:p>
            <w:pPr>
              <w:jc w:val="left"/>
            </w:pPr>
            <w:r>
              <w:rPr>
                <w:rFonts w:ascii="Calibri" w:hAnsi="Calibri"/>
                <w:b/>
                <w:color w:val="1B3A5C"/>
                <w:sz w:val="20"/>
              </w:rPr>
              <w:t>Revenue (annualized, Dec 2024)</w:t>
            </w:r>
          </w:p>
        </w:tc>
        <w:tc>
          <w:tcPr>
            <w:tcW w:type="dxa" w:w="2880"/>
            <w:shd w:fill="F5F5F5" w:val="clear"/>
          </w:tcPr>
          <w:p>
            <w:pPr>
              <w:jc w:val="center"/>
            </w:pPr>
            <w:r>
              <w:rPr>
                <w:rFonts w:ascii="Calibri" w:hAnsi="Calibri"/>
                <w:color w:val="333333"/>
                <w:sz w:val="20"/>
              </w:rPr>
              <w:t>~$100 Million</w:t>
            </w:r>
          </w:p>
        </w:tc>
        <w:tc>
          <w:tcPr>
            <w:tcW w:type="dxa" w:w="2880"/>
            <w:shd w:fill="F5F5F5" w:val="clear"/>
          </w:tcPr>
          <w:p>
            <w:pPr>
              <w:jc w:val="center"/>
            </w:pPr>
            <w:r>
              <w:rPr>
                <w:rFonts w:ascii="Calibri" w:hAnsi="Calibri"/>
                <w:color w:val="333333"/>
                <w:sz w:val="20"/>
              </w:rPr>
              <w:t>Early stage — rapidly growing</w:t>
            </w:r>
          </w:p>
        </w:tc>
      </w:tr>
      <w:tr>
        <w:tc>
          <w:tcPr>
            <w:tcW w:type="dxa" w:w="2880"/>
            <w:shd w:fill="E8EFF8" w:val="clear"/>
          </w:tcPr>
          <w:p>
            <w:pPr>
              <w:jc w:val="left"/>
            </w:pPr>
            <w:r>
              <w:rPr>
                <w:rFonts w:ascii="Calibri" w:hAnsi="Calibri"/>
                <w:b/>
                <w:color w:val="1B3A5C"/>
                <w:sz w:val="20"/>
              </w:rPr>
              <w:t>Total Funding</w:t>
            </w:r>
          </w:p>
        </w:tc>
        <w:tc>
          <w:tcPr>
            <w:tcW w:type="dxa" w:w="2880"/>
            <w:shd w:fill="FFFFFF" w:val="clear"/>
          </w:tcPr>
          <w:p>
            <w:pPr>
              <w:jc w:val="center"/>
            </w:pPr>
            <w:r>
              <w:rPr>
                <w:rFonts w:ascii="Calibri" w:hAnsi="Calibri"/>
                <w:color w:val="333333"/>
                <w:sz w:val="20"/>
              </w:rPr>
              <w:t>$12+ Billion</w:t>
            </w:r>
          </w:p>
        </w:tc>
        <w:tc>
          <w:tcPr>
            <w:tcW w:type="dxa" w:w="2880"/>
            <w:shd w:fill="FFFFFF" w:val="clear"/>
          </w:tcPr>
          <w:p>
            <w:pPr>
              <w:jc w:val="center"/>
            </w:pPr>
            <w:r>
              <w:rPr>
                <w:rFonts w:ascii="Calibri" w:hAnsi="Calibri"/>
                <w:color w:val="333333"/>
                <w:sz w:val="20"/>
              </w:rPr>
              <w:t>Including $6B Dec 2024 round from Fidelity, BlackRock, Sequoia</w:t>
            </w:r>
          </w:p>
        </w:tc>
      </w:tr>
      <w:tr>
        <w:tc>
          <w:tcPr>
            <w:tcW w:type="dxa" w:w="2880"/>
            <w:shd w:fill="E8EFF8" w:val="clear"/>
          </w:tcPr>
          <w:p>
            <w:pPr>
              <w:jc w:val="left"/>
            </w:pPr>
            <w:r>
              <w:rPr>
                <w:rFonts w:ascii="Calibri" w:hAnsi="Calibri"/>
                <w:b/>
                <w:color w:val="1B3A5C"/>
                <w:sz w:val="20"/>
              </w:rPr>
              <w:t>Implied Valuation</w:t>
            </w:r>
          </w:p>
        </w:tc>
        <w:tc>
          <w:tcPr>
            <w:tcW w:type="dxa" w:w="2880"/>
            <w:shd w:fill="F5F5F5" w:val="clear"/>
          </w:tcPr>
          <w:p>
            <w:pPr>
              <w:jc w:val="center"/>
            </w:pPr>
            <w:r>
              <w:rPr>
                <w:rFonts w:ascii="Calibri" w:hAnsi="Calibri"/>
                <w:color w:val="333333"/>
                <w:sz w:val="20"/>
              </w:rPr>
              <w:t>$50B–$80B</w:t>
            </w:r>
          </w:p>
        </w:tc>
        <w:tc>
          <w:tcPr>
            <w:tcW w:type="dxa" w:w="2880"/>
            <w:shd w:fill="F5F5F5" w:val="clear"/>
          </w:tcPr>
          <w:p>
            <w:pPr>
              <w:jc w:val="center"/>
            </w:pPr>
            <w:r>
              <w:rPr>
                <w:rFonts w:ascii="Calibri" w:hAnsi="Calibri"/>
                <w:color w:val="333333"/>
                <w:sz w:val="20"/>
              </w:rPr>
              <w:t>Based on funding rounds</w:t>
            </w:r>
          </w:p>
        </w:tc>
      </w:tr>
      <w:tr>
        <w:tc>
          <w:tcPr>
            <w:tcW w:type="dxa" w:w="2880"/>
            <w:shd w:fill="E8EFF8" w:val="clear"/>
          </w:tcPr>
          <w:p>
            <w:pPr>
              <w:jc w:val="left"/>
            </w:pPr>
            <w:r>
              <w:rPr>
                <w:rFonts w:ascii="Calibri" w:hAnsi="Calibri"/>
                <w:b/>
                <w:color w:val="1B3A5C"/>
                <w:sz w:val="20"/>
              </w:rPr>
              <w:t>Employees</w:t>
            </w:r>
          </w:p>
        </w:tc>
        <w:tc>
          <w:tcPr>
            <w:tcW w:type="dxa" w:w="2880"/>
            <w:shd w:fill="FFFFFF" w:val="clear"/>
          </w:tcPr>
          <w:p>
            <w:pPr>
              <w:jc w:val="center"/>
            </w:pPr>
            <w:r>
              <w:rPr>
                <w:rFonts w:ascii="Calibri" w:hAnsi="Calibri"/>
                <w:color w:val="333333"/>
                <w:sz w:val="20"/>
              </w:rPr>
              <w:t>1,200+</w:t>
            </w:r>
          </w:p>
        </w:tc>
        <w:tc>
          <w:tcPr>
            <w:tcW w:type="dxa" w:w="2880"/>
            <w:shd w:fill="FFFFFF" w:val="clear"/>
          </w:tcPr>
          <w:p>
            <w:pPr>
              <w:jc w:val="center"/>
            </w:pPr>
            <w:r>
              <w:rPr>
                <w:rFonts w:ascii="Calibri" w:hAnsi="Calibri"/>
                <w:color w:val="333333"/>
                <w:sz w:val="20"/>
              </w:rPr>
              <w:t>2025 estimate</w:t>
            </w:r>
          </w:p>
        </w:tc>
      </w:tr>
      <w:tr>
        <w:tc>
          <w:tcPr>
            <w:tcW w:type="dxa" w:w="2880"/>
            <w:shd w:fill="E8EFF8" w:val="clear"/>
          </w:tcPr>
          <w:p>
            <w:pPr>
              <w:jc w:val="left"/>
            </w:pPr>
            <w:r>
              <w:rPr>
                <w:rFonts w:ascii="Calibri" w:hAnsi="Calibri"/>
                <w:b/>
                <w:color w:val="1B3A5C"/>
                <w:sz w:val="20"/>
              </w:rPr>
              <w:t>X Corp Revenue</w:t>
            </w:r>
          </w:p>
        </w:tc>
        <w:tc>
          <w:tcPr>
            <w:tcW w:type="dxa" w:w="2880"/>
            <w:shd w:fill="F5F5F5" w:val="clear"/>
          </w:tcPr>
          <w:p>
            <w:pPr>
              <w:jc w:val="center"/>
            </w:pPr>
            <w:r>
              <w:rPr>
                <w:rFonts w:ascii="Calibri" w:hAnsi="Calibri"/>
                <w:color w:val="333333"/>
                <w:sz w:val="20"/>
              </w:rPr>
              <w:t>~$3B (declining)</w:t>
            </w:r>
          </w:p>
        </w:tc>
        <w:tc>
          <w:tcPr>
            <w:tcW w:type="dxa" w:w="2880"/>
            <w:shd w:fill="F5F5F5" w:val="clear"/>
          </w:tcPr>
          <w:p>
            <w:pPr>
              <w:jc w:val="center"/>
            </w:pPr>
            <w:r>
              <w:rPr>
                <w:rFonts w:ascii="Calibri" w:hAnsi="Calibri"/>
                <w:color w:val="333333"/>
                <w:sz w:val="20"/>
              </w:rPr>
              <w:t>Twitter/X ad revenue post-acquisition</w:t>
            </w:r>
          </w:p>
        </w:tc>
      </w:tr>
      <w:tr>
        <w:tc>
          <w:tcPr>
            <w:tcW w:type="dxa" w:w="2880"/>
            <w:shd w:fill="E8EFF8" w:val="clear"/>
          </w:tcPr>
          <w:p>
            <w:pPr>
              <w:jc w:val="left"/>
            </w:pPr>
            <w:r>
              <w:rPr>
                <w:rFonts w:ascii="Calibri" w:hAnsi="Calibri"/>
                <w:b/>
                <w:color w:val="1B3A5C"/>
                <w:sz w:val="20"/>
              </w:rPr>
              <w:t>Colossus GPU Cluster</w:t>
            </w:r>
          </w:p>
        </w:tc>
        <w:tc>
          <w:tcPr>
            <w:tcW w:type="dxa" w:w="2880"/>
            <w:shd w:fill="FFFFFF" w:val="clear"/>
          </w:tcPr>
          <w:p>
            <w:pPr>
              <w:jc w:val="center"/>
            </w:pPr>
            <w:r>
              <w:rPr>
                <w:rFonts w:ascii="Calibri" w:hAnsi="Calibri"/>
                <w:color w:val="333333"/>
                <w:sz w:val="20"/>
              </w:rPr>
              <w:t>100,000+ H100s</w:t>
            </w:r>
          </w:p>
        </w:tc>
        <w:tc>
          <w:tcPr>
            <w:tcW w:type="dxa" w:w="2880"/>
            <w:shd w:fill="FFFFFF" w:val="clear"/>
          </w:tcPr>
          <w:p>
            <w:pPr>
              <w:jc w:val="center"/>
            </w:pPr>
            <w:r>
              <w:rPr>
                <w:rFonts w:ascii="Calibri" w:hAnsi="Calibri"/>
                <w:color w:val="333333"/>
                <w:sz w:val="20"/>
              </w:rPr>
              <w:t>Memphis, TN — world-class compute</w:t>
            </w:r>
          </w:p>
        </w:tc>
      </w:tr>
    </w:tbl>
    <w:p/>
    <w:p>
      <w:pPr>
        <w:spacing w:before="240" w:after="120"/>
      </w:pPr>
      <w:r>
        <w:rPr>
          <w:rFonts w:ascii="Calibri" w:hAnsi="Calibri"/>
          <w:b/>
          <w:color w:val="1B3A5C"/>
          <w:sz w:val="32"/>
        </w:rPr>
        <w:t>Buffett Assessment</w:t>
      </w:r>
    </w:p>
    <w:p>
      <w:pPr>
        <w:pStyle w:val="ListBullet"/>
        <w:spacing w:after="60"/>
        <w:ind w:left="360"/>
      </w:pPr>
      <w:r>
        <w:rPr>
          <w:rFonts w:ascii="Calibri" w:hAnsi="Calibri"/>
          <w:b/>
          <w:color w:val="333333"/>
          <w:sz w:val="22"/>
        </w:rPr>
        <w:t xml:space="preserve">Moat: </w:t>
      </w:r>
      <w:r>
        <w:rPr>
          <w:rFonts w:ascii="Calibri" w:hAnsi="Calibri"/>
          <w:color w:val="333333"/>
          <w:sz w:val="22"/>
        </w:rPr>
        <w:t>Unique data (X real-time, Tesla video, SpaceX) is a genuine moat. But data alone doesn't win — Google has more data and better models.</w:t>
      </w:r>
    </w:p>
    <w:p>
      <w:pPr>
        <w:pStyle w:val="ListBullet"/>
        <w:spacing w:after="60"/>
        <w:ind w:left="360"/>
      </w:pPr>
      <w:r>
        <w:rPr>
          <w:rFonts w:ascii="Calibri" w:hAnsi="Calibri"/>
          <w:b/>
          <w:color w:val="333333"/>
          <w:sz w:val="22"/>
        </w:rPr>
        <w:t xml:space="preserve">Management: </w:t>
      </w:r>
      <w:r>
        <w:rPr>
          <w:rFonts w:ascii="Calibri" w:hAnsi="Calibri"/>
          <w:color w:val="333333"/>
          <w:sz w:val="22"/>
        </w:rPr>
        <w:t>Musk is simultaneously CEO of Tesla, SpaceX, xAI, and The Boring Company, and Director of DOGE. Capital allocation risk is extreme. History shows he can execute brilliantly (SpaceX) or wastefully (Twitter acquisition).</w:t>
      </w:r>
    </w:p>
    <w:p>
      <w:pPr>
        <w:pStyle w:val="ListBullet"/>
        <w:spacing w:after="60"/>
        <w:ind w:left="360"/>
      </w:pPr>
      <w:r>
        <w:rPr>
          <w:rFonts w:ascii="Calibri" w:hAnsi="Calibri"/>
          <w:b/>
          <w:color w:val="333333"/>
          <w:sz w:val="22"/>
        </w:rPr>
        <w:t xml:space="preserve">Margin of Safety: </w:t>
      </w:r>
      <w:r>
        <w:rPr>
          <w:rFonts w:ascii="Calibri" w:hAnsi="Calibri"/>
          <w:color w:val="333333"/>
          <w:sz w:val="22"/>
        </w:rPr>
        <w:t>No public financials. $100M ARR vs. $50B+ valuation = 500x revenue multiple. Pure speculation territory. NOT a Buffett play.</w:t>
      </w:r>
    </w:p>
    <w:p>
      <w:pPr>
        <w:pStyle w:val="ListBullet"/>
        <w:spacing w:after="60"/>
        <w:ind w:left="360"/>
      </w:pPr>
      <w:r>
        <w:rPr>
          <w:rFonts w:ascii="Calibri" w:hAnsi="Calibri"/>
          <w:b/>
          <w:color w:val="333333"/>
          <w:sz w:val="22"/>
        </w:rPr>
        <w:t xml:space="preserve">Investment Vehicle: </w:t>
      </w:r>
      <w:r>
        <w:rPr>
          <w:rFonts w:ascii="Calibri" w:hAnsi="Calibri"/>
          <w:color w:val="333333"/>
          <w:sz w:val="22"/>
        </w:rPr>
        <w:t>EquityZen, Forge, Hiive for pre-IPO secondary. TSLA gives partial exposure via FSD/Optimus AI. Keep any position to &lt;1% of portfolio ($19K).</w:t>
      </w:r>
    </w:p>
    <w:tbl>
      <w:tblPr>
        <w:tblStyle w:val="TableGrid"/>
        <w:tblW w:type="auto" w:w="0"/>
        <w:tblLook w:firstColumn="1" w:firstRow="1" w:lastColumn="0" w:lastRow="0" w:noHBand="0" w:noVBand="1" w:val="04A0"/>
      </w:tblPr>
      <w:tblGrid>
        <w:gridCol w:w="8640"/>
      </w:tblGrid>
      <w:tr>
        <w:tc>
          <w:tcPr>
            <w:tcW w:type="dxa" w:w="8640"/>
            <w:shd w:fill="E8F4FF" w:val="clear"/>
          </w:tcPr>
          <w:p>
            <w:r>
              <w:rPr>
                <w:rFonts w:ascii="Calibri" w:hAnsi="Calibri"/>
                <w:b/>
                <w:color w:val="1B3A5C"/>
                <w:sz w:val="22"/>
              </w:rPr>
              <w:t xml:space="preserve">ROB'S TAKE:  </w:t>
            </w:r>
            <w:r>
              <w:rPr>
                <w:rFonts w:ascii="Calibri" w:hAnsi="Calibri"/>
                <w:color w:val="333333"/>
                <w:sz w:val="20"/>
              </w:rPr>
              <w:t>Musk is the most capable and most dangerous CEO on this list. He built SpaceX and Tesla against impossible odds. He also paid $44B for Twitter and obliterated ~$30B of value. xAI has a real compute advantage (Colossus is impressive) and real data moat (X + Tesla). But Musk's management bandwidth is dangerously spread thin. If you want exposure, buy TSLA — it's cheaper, it's public, and you get the FSD/Optimus AI story alongside it.</w:t>
            </w:r>
          </w:p>
        </w:tc>
      </w:tr>
    </w:tbl>
    <w:p/>
    <w:p>
      <w:r>
        <w:br w:type="page"/>
      </w:r>
    </w:p>
    <w:tbl>
      <w:tblPr>
        <w:tblStyle w:val="TableGrid"/>
        <w:tblW w:type="auto" w:w="0"/>
        <w:tblLook w:firstColumn="1" w:firstRow="1" w:lastColumn="0" w:lastRow="0" w:noHBand="0" w:noVBand="1" w:val="04A0"/>
      </w:tblPr>
      <w:tblGrid>
        <w:gridCol w:w="8640"/>
      </w:tblGrid>
      <w:tr>
        <w:tc>
          <w:tcPr>
            <w:tcW w:type="dxa" w:w="8640"/>
            <w:shd w:fill="1B3A5C" w:val="clear"/>
          </w:tcPr>
          <w:p>
            <w:pPr>
              <w:jc w:val="left"/>
            </w:pPr>
            <w:r>
              <w:rPr>
                <w:rFonts w:ascii="Calibri" w:hAnsi="Calibri"/>
                <w:b/>
                <w:color w:val="FFFFFF"/>
                <w:sz w:val="28"/>
              </w:rPr>
              <w:t xml:space="preserve">  SECTION 4  |  THE TRILLION-DOLLAR MTP VERTICALS</w:t>
            </w:r>
          </w:p>
        </w:tc>
      </w:tr>
    </w:tbl>
    <w:p/>
    <w:p>
      <w:pPr>
        <w:spacing w:after="120" w:before="40"/>
      </w:pPr>
      <w:r>
        <w:rPr>
          <w:rFonts w:ascii="Calibri" w:hAnsi="Calibri"/>
          <w:color w:val="333333"/>
          <w:sz w:val="22"/>
        </w:rPr>
        <w:t>The question isn't whether AI will transform these industries. It already is. The question is: which company has the strongest position in each vertical, and what's the investment vehicle? For each vertical below, we identify the leading player and how Joe can access it.</w:t>
      </w:r>
    </w:p>
    <w:p/>
    <w:p>
      <w:pPr>
        <w:spacing w:before="240" w:after="120"/>
      </w:pPr>
      <w:r>
        <w:rPr>
          <w:rFonts w:ascii="Calibri" w:hAnsi="Calibri"/>
          <w:b/>
          <w:color w:val="1B3A5C"/>
          <w:sz w:val="26"/>
        </w:rPr>
        <w:t>🧬  Synthetic Biology &amp; De-Extinction</w:t>
      </w:r>
    </w:p>
    <w:p>
      <w:pPr>
        <w:spacing w:after="120" w:before="40"/>
      </w:pPr>
      <w:r>
        <w:rPr>
          <w:rFonts w:ascii="Calibri" w:hAnsi="Calibri"/>
          <w:color w:val="333333"/>
          <w:sz w:val="22"/>
        </w:rPr>
        <w:t>AlphaFold has already revolutionized structural biology. The next wave: designing synthetic proteins from scratch (not just predicting existing ones), engineering organisms with novel properties, and de-extinction of species using AI-assisted CRISPR editing. Colossal Biosciences ($10.2B equity) is pursuing woolly mammoth, thylacine, dodo, and dire wolf revival — each project generating tools (CRISPR improvements, reproductive technology) that spin off into commercial businesses.</w:t>
      </w:r>
    </w:p>
    <w:p>
      <w:pPr>
        <w:spacing w:after="100"/>
      </w:pPr>
      <w:r>
        <w:rPr>
          <w:rFonts w:ascii="Calibri" w:hAnsi="Calibri"/>
          <w:b/>
          <w:color w:val="1B3A5C"/>
          <w:sz w:val="22"/>
        </w:rPr>
        <w:t xml:space="preserve">Leader: </w:t>
      </w:r>
      <w:r>
        <w:rPr>
          <w:rFonts w:ascii="Calibri" w:hAnsi="Calibri"/>
          <w:b w:val="0"/>
          <w:color w:val="333333"/>
          <w:sz w:val="22"/>
        </w:rPr>
        <w:t xml:space="preserve">Google DeepMind / Colossal Biosciences   |   </w:t>
      </w:r>
      <w:r>
        <w:rPr>
          <w:rFonts w:ascii="Calibri" w:hAnsi="Calibri"/>
          <w:b/>
          <w:color w:val="1B3A5C"/>
          <w:sz w:val="22"/>
        </w:rPr>
        <w:t xml:space="preserve">Investment Vehicle: </w:t>
      </w:r>
      <w:r>
        <w:rPr>
          <w:rFonts w:ascii="Calibri" w:hAnsi="Calibri"/>
          <w:b w:val="0"/>
          <w:color w:val="333333"/>
          <w:sz w:val="22"/>
        </w:rPr>
        <w:t xml:space="preserve">GOOGL for the research foundation. Colossal is private — watch for IPO.   |   </w:t>
      </w:r>
      <w:r>
        <w:rPr>
          <w:rFonts w:ascii="Calibri" w:hAnsi="Calibri"/>
          <w:b/>
          <w:color w:val="1B3A5C"/>
          <w:sz w:val="22"/>
        </w:rPr>
        <w:t xml:space="preserve">Timeline: </w:t>
      </w:r>
      <w:r>
        <w:rPr>
          <w:rFonts w:ascii="Calibri" w:hAnsi="Calibri"/>
          <w:b w:val="0"/>
          <w:color w:val="333333"/>
          <w:sz w:val="22"/>
        </w:rPr>
        <w:t>5-15 years for commercial scale</w:t>
      </w:r>
    </w:p>
    <w:p/>
    <w:p>
      <w:pPr>
        <w:spacing w:before="240" w:after="120"/>
      </w:pPr>
      <w:r>
        <w:rPr>
          <w:rFonts w:ascii="Calibri" w:hAnsi="Calibri"/>
          <w:b/>
          <w:color w:val="1B3A5C"/>
          <w:sz w:val="26"/>
        </w:rPr>
        <w:t>💊  Drug Discovery &amp; Medicine</w:t>
      </w:r>
    </w:p>
    <w:p>
      <w:pPr>
        <w:spacing w:after="120" w:before="40"/>
      </w:pPr>
      <w:r>
        <w:rPr>
          <w:rFonts w:ascii="Calibri" w:hAnsi="Calibri"/>
          <w:color w:val="333333"/>
          <w:sz w:val="22"/>
        </w:rPr>
        <w:t>This is the most near-term trillion-dollar opportunity. Traditional drug discovery: 12-15 years, $2.6B per approved drug, 90%+ failure rate. AI drug discovery: AlphaFold/Isomorphic approach compresses target identification and molecule design from years to months. Isomorphic Labs has $4.1B+ in pharma partnerships (Lilly, Novartis) before a single drug has cleared Phase 3 trials. The market is pricing in massive success probability. Anthropic's Claude is being used by biotech firms for research. The entire pharma industry is a potential customer.</w:t>
      </w:r>
    </w:p>
    <w:p>
      <w:pPr>
        <w:spacing w:after="100"/>
      </w:pPr>
      <w:r>
        <w:rPr>
          <w:rFonts w:ascii="Calibri" w:hAnsi="Calibri"/>
          <w:b/>
          <w:color w:val="1B3A5C"/>
          <w:sz w:val="22"/>
        </w:rPr>
        <w:t xml:space="preserve">Leader: </w:t>
      </w:r>
      <w:r>
        <w:rPr>
          <w:rFonts w:ascii="Calibri" w:hAnsi="Calibri"/>
          <w:b w:val="0"/>
          <w:color w:val="333333"/>
          <w:sz w:val="22"/>
        </w:rPr>
        <w:t xml:space="preserve">Google DeepMind / Isomorphic Labs   |   </w:t>
      </w:r>
      <w:r>
        <w:rPr>
          <w:rFonts w:ascii="Calibri" w:hAnsi="Calibri"/>
          <w:b/>
          <w:color w:val="1B3A5C"/>
          <w:sz w:val="22"/>
        </w:rPr>
        <w:t xml:space="preserve">Investment Vehicle: </w:t>
      </w:r>
      <w:r>
        <w:rPr>
          <w:rFonts w:ascii="Calibri" w:hAnsi="Calibri"/>
          <w:b w:val="0"/>
          <w:color w:val="333333"/>
          <w:sz w:val="22"/>
        </w:rPr>
        <w:t xml:space="preserve">GOOGL (owns Isomorphic 100%). Watch for Isomorphic Labs spinoff/IPO.   |   </w:t>
      </w:r>
      <w:r>
        <w:rPr>
          <w:rFonts w:ascii="Calibri" w:hAnsi="Calibri"/>
          <w:b/>
          <w:color w:val="1B3A5C"/>
          <w:sz w:val="22"/>
        </w:rPr>
        <w:t xml:space="preserve">Timeline: </w:t>
      </w:r>
      <w:r>
        <w:rPr>
          <w:rFonts w:ascii="Calibri" w:hAnsi="Calibri"/>
          <w:b w:val="0"/>
          <w:color w:val="333333"/>
          <w:sz w:val="22"/>
        </w:rPr>
        <w:t>5-10 years for first AI-designed approved drugs</w:t>
      </w:r>
    </w:p>
    <w:p/>
    <w:p>
      <w:pPr>
        <w:spacing w:before="240" w:after="120"/>
      </w:pPr>
      <w:r>
        <w:rPr>
          <w:rFonts w:ascii="Calibri" w:hAnsi="Calibri"/>
          <w:b/>
          <w:color w:val="1B3A5C"/>
          <w:sz w:val="26"/>
        </w:rPr>
        <w:t>⚛️  Physics &amp; Materials Science</w:t>
      </w:r>
    </w:p>
    <w:p>
      <w:pPr>
        <w:spacing w:after="120" w:before="40"/>
      </w:pPr>
      <w:r>
        <w:rPr>
          <w:rFonts w:ascii="Calibri" w:hAnsi="Calibri"/>
          <w:color w:val="333333"/>
          <w:sz w:val="22"/>
        </w:rPr>
        <w:t>AI is beginning to discover new materials that humans would never have found through experimental trial-and-error. Microsoft Research's MatterGen (2024) demonstrated AI-generated novel crystal structures. Google DeepMind's GNoME (Graph Networks for Materials Exploration) discovered 2.2 million new crystal structures — more than all previous human-discovered materials combined. Applications: better batteries, room-temperature superconductors, stronger composites for aerospace, more efficient solar cells.</w:t>
      </w:r>
    </w:p>
    <w:p>
      <w:pPr>
        <w:spacing w:after="100"/>
      </w:pPr>
      <w:r>
        <w:rPr>
          <w:rFonts w:ascii="Calibri" w:hAnsi="Calibri"/>
          <w:b/>
          <w:color w:val="1B3A5C"/>
          <w:sz w:val="22"/>
        </w:rPr>
        <w:t xml:space="preserve">Leader: </w:t>
      </w:r>
      <w:r>
        <w:rPr>
          <w:rFonts w:ascii="Calibri" w:hAnsi="Calibri"/>
          <w:b w:val="0"/>
          <w:color w:val="333333"/>
          <w:sz w:val="22"/>
        </w:rPr>
        <w:t xml:space="preserve">Google DeepMind / Microsoft Research   |   </w:t>
      </w:r>
      <w:r>
        <w:rPr>
          <w:rFonts w:ascii="Calibri" w:hAnsi="Calibri"/>
          <w:b/>
          <w:color w:val="1B3A5C"/>
          <w:sz w:val="22"/>
        </w:rPr>
        <w:t xml:space="preserve">Investment Vehicle: </w:t>
      </w:r>
      <w:r>
        <w:rPr>
          <w:rFonts w:ascii="Calibri" w:hAnsi="Calibri"/>
          <w:b w:val="0"/>
          <w:color w:val="333333"/>
          <w:sz w:val="22"/>
        </w:rPr>
        <w:t xml:space="preserve">GOOGL and MSFT both have strong positions here.   |   </w:t>
      </w:r>
      <w:r>
        <w:rPr>
          <w:rFonts w:ascii="Calibri" w:hAnsi="Calibri"/>
          <w:b/>
          <w:color w:val="1B3A5C"/>
          <w:sz w:val="22"/>
        </w:rPr>
        <w:t xml:space="preserve">Timeline: </w:t>
      </w:r>
      <w:r>
        <w:rPr>
          <w:rFonts w:ascii="Calibri" w:hAnsi="Calibri"/>
          <w:b w:val="0"/>
          <w:color w:val="333333"/>
          <w:sz w:val="22"/>
        </w:rPr>
        <w:t>10-20 years for commercial scale of novel materials</w:t>
      </w:r>
    </w:p>
    <w:p/>
    <w:p>
      <w:pPr>
        <w:spacing w:before="240" w:after="120"/>
      </w:pPr>
      <w:r>
        <w:rPr>
          <w:rFonts w:ascii="Calibri" w:hAnsi="Calibri"/>
          <w:b/>
          <w:color w:val="1B3A5C"/>
          <w:sz w:val="26"/>
        </w:rPr>
        <w:t>⚡  Energy — Grid, Fusion, and Carbon Capture</w:t>
      </w:r>
    </w:p>
    <w:p>
      <w:pPr>
        <w:spacing w:after="120" w:before="40"/>
      </w:pPr>
      <w:r>
        <w:rPr>
          <w:rFonts w:ascii="Calibri" w:hAnsi="Calibri"/>
          <w:color w:val="333333"/>
          <w:sz w:val="22"/>
        </w:rPr>
        <w:t>AI is already optimizing power grid management, reducing energy waste by 10-30% in data centers, and accelerating fusion research. Google DeepMind's AI has controlled plasma in a fusion reactor (collaboration with TAE Technologies). Microsoft has invested in Helion Energy (fusion startup). The energy sector spends $3T+ annually — AI optimization of even 5-10% of that is a $150-300B opportunity. AI data centers are simultaneously the biggest new energy consumers AND the most efficient users of energy ever built.</w:t>
      </w:r>
    </w:p>
    <w:p>
      <w:pPr>
        <w:spacing w:after="100"/>
      </w:pPr>
      <w:r>
        <w:rPr>
          <w:rFonts w:ascii="Calibri" w:hAnsi="Calibri"/>
          <w:b/>
          <w:color w:val="1B3A5C"/>
          <w:sz w:val="22"/>
        </w:rPr>
        <w:t xml:space="preserve">Leader: </w:t>
      </w:r>
      <w:r>
        <w:rPr>
          <w:rFonts w:ascii="Calibri" w:hAnsi="Calibri"/>
          <w:b w:val="0"/>
          <w:color w:val="333333"/>
          <w:sz w:val="22"/>
        </w:rPr>
        <w:t xml:space="preserve">Microsoft / Google (via investments)   |   </w:t>
      </w:r>
      <w:r>
        <w:rPr>
          <w:rFonts w:ascii="Calibri" w:hAnsi="Calibri"/>
          <w:b/>
          <w:color w:val="1B3A5C"/>
          <w:sz w:val="22"/>
        </w:rPr>
        <w:t xml:space="preserve">Investment Vehicle: </w:t>
      </w:r>
      <w:r>
        <w:rPr>
          <w:rFonts w:ascii="Calibri" w:hAnsi="Calibri"/>
          <w:b w:val="0"/>
          <w:color w:val="333333"/>
          <w:sz w:val="22"/>
        </w:rPr>
        <w:t xml:space="preserve">GOOGL, MSFT, and energy infrastructure ETFs (XLE, ICLN).   |   </w:t>
      </w:r>
      <w:r>
        <w:rPr>
          <w:rFonts w:ascii="Calibri" w:hAnsi="Calibri"/>
          <w:b/>
          <w:color w:val="1B3A5C"/>
          <w:sz w:val="22"/>
        </w:rPr>
        <w:t xml:space="preserve">Timeline: </w:t>
      </w:r>
      <w:r>
        <w:rPr>
          <w:rFonts w:ascii="Calibri" w:hAnsi="Calibri"/>
          <w:b w:val="0"/>
          <w:color w:val="333333"/>
          <w:sz w:val="22"/>
        </w:rPr>
        <w:t>3-10 years for grid optimization; 15-25 years for fusion</w:t>
      </w:r>
    </w:p>
    <w:p/>
    <w:p>
      <w:pPr>
        <w:spacing w:before="240" w:after="120"/>
      </w:pPr>
      <w:r>
        <w:rPr>
          <w:rFonts w:ascii="Calibri" w:hAnsi="Calibri"/>
          <w:b/>
          <w:color w:val="1B3A5C"/>
          <w:sz w:val="26"/>
        </w:rPr>
        <w:t>🏗️  Robotics &amp; Manufacturing</w:t>
      </w:r>
    </w:p>
    <w:p>
      <w:pPr>
        <w:spacing w:after="120" w:before="40"/>
      </w:pPr>
      <w:r>
        <w:rPr>
          <w:rFonts w:ascii="Calibri" w:hAnsi="Calibri"/>
          <w:color w:val="333333"/>
          <w:sz w:val="22"/>
        </w:rPr>
        <w:t>Tesla's Optimus robot is the most advanced attempt to bring AI to physical labor. The addressable market: 1.4 billion manufacturing workers globally, plus service industry. If Optimus achieves even 10% the efficiency of a human worker at 20% of the cost, it's a multi-trillion dollar business. Tesla has unique advantages: real-world physical AI training from FSD, vertically integrated manufacturing, Elon Musk's supply chain genius. Google DeepMind is also running a robotics program (RT-2), as is OpenAI (robotics partnership). But Tesla is the most advanced in actual physical hardware.</w:t>
      </w:r>
    </w:p>
    <w:p>
      <w:pPr>
        <w:spacing w:after="100"/>
      </w:pPr>
      <w:r>
        <w:rPr>
          <w:rFonts w:ascii="Calibri" w:hAnsi="Calibri"/>
          <w:b/>
          <w:color w:val="1B3A5C"/>
          <w:sz w:val="22"/>
        </w:rPr>
        <w:t xml:space="preserve">Leader: </w:t>
      </w:r>
      <w:r>
        <w:rPr>
          <w:rFonts w:ascii="Calibri" w:hAnsi="Calibri"/>
          <w:b w:val="0"/>
          <w:color w:val="333333"/>
          <w:sz w:val="22"/>
        </w:rPr>
        <w:t xml:space="preserve">xAI / Tesla   |   </w:t>
      </w:r>
      <w:r>
        <w:rPr>
          <w:rFonts w:ascii="Calibri" w:hAnsi="Calibri"/>
          <w:b/>
          <w:color w:val="1B3A5C"/>
          <w:sz w:val="22"/>
        </w:rPr>
        <w:t xml:space="preserve">Investment Vehicle: </w:t>
      </w:r>
      <w:r>
        <w:rPr>
          <w:rFonts w:ascii="Calibri" w:hAnsi="Calibri"/>
          <w:b w:val="0"/>
          <w:color w:val="333333"/>
          <w:sz w:val="22"/>
        </w:rPr>
        <w:t xml:space="preserve">TSLA for robotics exposure. Pure-play robotics ETFs (ROBO, IRBO) for diversification.   |   </w:t>
      </w:r>
      <w:r>
        <w:rPr>
          <w:rFonts w:ascii="Calibri" w:hAnsi="Calibri"/>
          <w:b/>
          <w:color w:val="1B3A5C"/>
          <w:sz w:val="22"/>
        </w:rPr>
        <w:t xml:space="preserve">Timeline: </w:t>
      </w:r>
      <w:r>
        <w:rPr>
          <w:rFonts w:ascii="Calibri" w:hAnsi="Calibri"/>
          <w:b w:val="0"/>
          <w:color w:val="333333"/>
          <w:sz w:val="22"/>
        </w:rPr>
        <w:t>5-12 years for mass market robotics</w:t>
      </w:r>
    </w:p>
    <w:p/>
    <w:p>
      <w:pPr>
        <w:spacing w:before="240" w:after="120"/>
      </w:pPr>
      <w:r>
        <w:rPr>
          <w:rFonts w:ascii="Calibri" w:hAnsi="Calibri"/>
          <w:b/>
          <w:color w:val="1B3A5C"/>
          <w:sz w:val="26"/>
        </w:rPr>
        <w:t>🧠  Neuroscience &amp; Brain-Computer Interface</w:t>
      </w:r>
    </w:p>
    <w:p>
      <w:pPr>
        <w:spacing w:after="120" w:before="40"/>
      </w:pPr>
      <w:r>
        <w:rPr>
          <w:rFonts w:ascii="Calibri" w:hAnsi="Calibri"/>
          <w:color w:val="333333"/>
          <w:sz w:val="22"/>
        </w:rPr>
        <w:t>Neuralink's N1 chip has been implanted in human patients (2024) demonstrating ability to control computers via thought. The long-term vision: restore mobility to paralyzed patients, treat neurological disorders, and ultimately augment human cognition. This is pre-commercial and highly speculative — FDA approval for therapeutic use is years away. The more immediately relevant play: AI models trained on brain data to diagnose Alzheimer's, predict epileptic seizures, and guide surgical robotics.</w:t>
      </w:r>
    </w:p>
    <w:p>
      <w:pPr>
        <w:spacing w:after="100"/>
      </w:pPr>
      <w:r>
        <w:rPr>
          <w:rFonts w:ascii="Calibri" w:hAnsi="Calibri"/>
          <w:b/>
          <w:color w:val="1B3A5C"/>
          <w:sz w:val="22"/>
        </w:rPr>
        <w:t xml:space="preserve">Leader: </w:t>
      </w:r>
      <w:r>
        <w:rPr>
          <w:rFonts w:ascii="Calibri" w:hAnsi="Calibri"/>
          <w:b w:val="0"/>
          <w:color w:val="333333"/>
          <w:sz w:val="22"/>
        </w:rPr>
        <w:t xml:space="preserve">Neuralink (Musk) / Academic Research   |   </w:t>
      </w:r>
      <w:r>
        <w:rPr>
          <w:rFonts w:ascii="Calibri" w:hAnsi="Calibri"/>
          <w:b/>
          <w:color w:val="1B3A5C"/>
          <w:sz w:val="22"/>
        </w:rPr>
        <w:t xml:space="preserve">Investment Vehicle: </w:t>
      </w:r>
      <w:r>
        <w:rPr>
          <w:rFonts w:ascii="Calibri" w:hAnsi="Calibri"/>
          <w:b w:val="0"/>
          <w:color w:val="333333"/>
          <w:sz w:val="22"/>
        </w:rPr>
        <w:t xml:space="preserve">Neuralink is private. Watch Medtronic, Boston Scientific, and Penumbra for adjacent BCI plays.   |   </w:t>
      </w:r>
      <w:r>
        <w:rPr>
          <w:rFonts w:ascii="Calibri" w:hAnsi="Calibri"/>
          <w:b/>
          <w:color w:val="1B3A5C"/>
          <w:sz w:val="22"/>
        </w:rPr>
        <w:t xml:space="preserve">Timeline: </w:t>
      </w:r>
      <w:r>
        <w:rPr>
          <w:rFonts w:ascii="Calibri" w:hAnsi="Calibri"/>
          <w:b w:val="0"/>
          <w:color w:val="333333"/>
          <w:sz w:val="22"/>
        </w:rPr>
        <w:t>10-20 years for meaningful commercial scale</w:t>
      </w:r>
    </w:p>
    <w:p/>
    <w:p>
      <w:pPr>
        <w:spacing w:before="240" w:after="120"/>
      </w:pPr>
      <w:r>
        <w:rPr>
          <w:rFonts w:ascii="Calibri" w:hAnsi="Calibri"/>
          <w:b/>
          <w:color w:val="1B3A5C"/>
          <w:sz w:val="26"/>
        </w:rPr>
        <w:t>💰  Financial Services (Most Relevant to Joe)</w:t>
      </w:r>
    </w:p>
    <w:p>
      <w:pPr>
        <w:spacing w:after="120" w:before="40"/>
      </w:pPr>
      <w:r>
        <w:rPr>
          <w:rFonts w:ascii="Calibri" w:hAnsi="Calibri"/>
          <w:color w:val="333333"/>
          <w:sz w:val="22"/>
        </w:rPr>
        <w:t>AI in finance is already happening: algorithmic trading, risk modeling, fraud detection, earnings analysis, portfolio optimization. For Joe's portfolio specifically: AI research tools (Seeking Alpha, Bloomberg AI) are already enhancing individual investor research quality. The bigger play: financial services companies (JPMorgan, Goldman) that successfully deploy AI to reduce headcount and improve decision quality will capture enormous value. JPMorgan's COiN system reportedly processes in seconds what previously took 360,000 lawyer-hours annually.</w:t>
      </w:r>
    </w:p>
    <w:p>
      <w:pPr>
        <w:spacing w:after="100"/>
      </w:pPr>
      <w:r>
        <w:rPr>
          <w:rFonts w:ascii="Calibri" w:hAnsi="Calibri"/>
          <w:b/>
          <w:color w:val="1B3A5C"/>
          <w:sz w:val="22"/>
        </w:rPr>
        <w:t xml:space="preserve">Leader: </w:t>
      </w:r>
      <w:r>
        <w:rPr>
          <w:rFonts w:ascii="Calibri" w:hAnsi="Calibri"/>
          <w:b w:val="0"/>
          <w:color w:val="333333"/>
          <w:sz w:val="22"/>
        </w:rPr>
        <w:t xml:space="preserve">Bloomberg / OpenAI / All Major Banks   |   </w:t>
      </w:r>
      <w:r>
        <w:rPr>
          <w:rFonts w:ascii="Calibri" w:hAnsi="Calibri"/>
          <w:b/>
          <w:color w:val="1B3A5C"/>
          <w:sz w:val="22"/>
        </w:rPr>
        <w:t xml:space="preserve">Investment Vehicle: </w:t>
      </w:r>
      <w:r>
        <w:rPr>
          <w:rFonts w:ascii="Calibri" w:hAnsi="Calibri"/>
          <w:b w:val="0"/>
          <w:color w:val="333333"/>
          <w:sz w:val="22"/>
        </w:rPr>
        <w:t xml:space="preserve">Financial services companies deploying AI + GOOGL/MSFT/META who power the tools. Consider a small position in Palantir (PLTR) for AI-driven enterprise analytics.   |   </w:t>
      </w:r>
      <w:r>
        <w:rPr>
          <w:rFonts w:ascii="Calibri" w:hAnsi="Calibri"/>
          <w:b/>
          <w:color w:val="1B3A5C"/>
          <w:sz w:val="22"/>
        </w:rPr>
        <w:t xml:space="preserve">Timeline: </w:t>
      </w:r>
      <w:r>
        <w:rPr>
          <w:rFonts w:ascii="Calibri" w:hAnsi="Calibri"/>
          <w:b w:val="0"/>
          <w:color w:val="333333"/>
          <w:sz w:val="22"/>
        </w:rPr>
        <w:t>2-5 years for significant impact (already beginning)</w:t>
      </w:r>
    </w:p>
    <w:p/>
    <w:p>
      <w:pPr>
        <w:spacing w:before="240" w:after="120"/>
      </w:pPr>
      <w:r>
        <w:rPr>
          <w:rFonts w:ascii="Calibri" w:hAnsi="Calibri"/>
          <w:b/>
          <w:color w:val="1B3A5C"/>
          <w:sz w:val="26"/>
        </w:rPr>
        <w:t>🌾  Agriculture &amp; Food</w:t>
      </w:r>
    </w:p>
    <w:p>
      <w:pPr>
        <w:spacing w:after="120" w:before="40"/>
      </w:pPr>
      <w:r>
        <w:rPr>
          <w:rFonts w:ascii="Calibri" w:hAnsi="Calibri"/>
          <w:color w:val="333333"/>
          <w:sz w:val="22"/>
        </w:rPr>
        <w:t>AI-driven crop optimization: satellite imagery analysis, soil monitoring, weather prediction, pest identification, and yield optimization. Global food system is $10T+ annually. AI applications could reduce food waste by 20-30%, increase yields by 15-25%, and optimize water usage dramatically. Relevant companies: Bayer (crop science AI), John Deere (autonomous farming equipment), and agricultural biotech firms using AI protein design (via AlphaFold) to develop drought-resistant crops.</w:t>
      </w:r>
    </w:p>
    <w:p>
      <w:pPr>
        <w:spacing w:after="100"/>
      </w:pPr>
      <w:r>
        <w:rPr>
          <w:rFonts w:ascii="Calibri" w:hAnsi="Calibri"/>
          <w:b/>
          <w:color w:val="1B3A5C"/>
          <w:sz w:val="22"/>
        </w:rPr>
        <w:t xml:space="preserve">Leader: </w:t>
      </w:r>
      <w:r>
        <w:rPr>
          <w:rFonts w:ascii="Calibri" w:hAnsi="Calibri"/>
          <w:b w:val="0"/>
          <w:color w:val="333333"/>
          <w:sz w:val="22"/>
        </w:rPr>
        <w:t xml:space="preserve">Google (Earth Engine) / Agricultural Startups   |   </w:t>
      </w:r>
      <w:r>
        <w:rPr>
          <w:rFonts w:ascii="Calibri" w:hAnsi="Calibri"/>
          <w:b/>
          <w:color w:val="1B3A5C"/>
          <w:sz w:val="22"/>
        </w:rPr>
        <w:t xml:space="preserve">Investment Vehicle: </w:t>
      </w:r>
      <w:r>
        <w:rPr>
          <w:rFonts w:ascii="Calibri" w:hAnsi="Calibri"/>
          <w:b w:val="0"/>
          <w:color w:val="333333"/>
          <w:sz w:val="22"/>
        </w:rPr>
        <w:t xml:space="preserve">Indirect exposure via GOOGL. Pure-play: John Deere (DE) for precision agriculture.   |   </w:t>
      </w:r>
      <w:r>
        <w:rPr>
          <w:rFonts w:ascii="Calibri" w:hAnsi="Calibri"/>
          <w:b/>
          <w:color w:val="1B3A5C"/>
          <w:sz w:val="22"/>
        </w:rPr>
        <w:t xml:space="preserve">Timeline: </w:t>
      </w:r>
      <w:r>
        <w:rPr>
          <w:rFonts w:ascii="Calibri" w:hAnsi="Calibri"/>
          <w:b w:val="0"/>
          <w:color w:val="333333"/>
          <w:sz w:val="22"/>
        </w:rPr>
        <w:t>3-10 years for significant commercial deployment</w:t>
      </w:r>
    </w:p>
    <w:p/>
    <w:p>
      <w:r>
        <w:br w:type="page"/>
      </w:r>
    </w:p>
    <w:tbl>
      <w:tblPr>
        <w:tblStyle w:val="TableGrid"/>
        <w:tblW w:type="auto" w:w="0"/>
        <w:tblLook w:firstColumn="1" w:firstRow="1" w:lastColumn="0" w:lastRow="0" w:noHBand="0" w:noVBand="1" w:val="04A0"/>
      </w:tblPr>
      <w:tblGrid>
        <w:gridCol w:w="8640"/>
      </w:tblGrid>
      <w:tr>
        <w:tc>
          <w:tcPr>
            <w:tcW w:type="dxa" w:w="8640"/>
            <w:shd w:fill="1B3A5C" w:val="clear"/>
          </w:tcPr>
          <w:p>
            <w:pPr>
              <w:jc w:val="left"/>
            </w:pPr>
            <w:r>
              <w:rPr>
                <w:rFonts w:ascii="Calibri" w:hAnsi="Calibri"/>
                <w:b/>
                <w:color w:val="FFFFFF"/>
                <w:sz w:val="28"/>
              </w:rPr>
              <w:t xml:space="preserve">  SECTION 5  |  THE BEN LAMM / COLOSSAL MODEL — A TEMPLATE FOR AGI MONETIZATION</w:t>
            </w:r>
          </w:p>
        </w:tc>
      </w:tr>
    </w:tbl>
    <w:p/>
    <w:p>
      <w:pPr>
        <w:spacing w:before="240" w:after="120"/>
      </w:pPr>
      <w:r>
        <w:rPr>
          <w:rFonts w:ascii="Calibri" w:hAnsi="Calibri"/>
          <w:b/>
          <w:color w:val="1B3A5C"/>
          <w:sz w:val="32"/>
        </w:rPr>
        <w:t>Why Colossal Biosciences Matters to This Thesis</w:t>
      </w:r>
    </w:p>
    <w:p>
      <w:pPr>
        <w:spacing w:after="120" w:before="40"/>
      </w:pPr>
      <w:r>
        <w:rPr>
          <w:rFonts w:ascii="Calibri" w:hAnsi="Calibri"/>
          <w:color w:val="333333"/>
          <w:sz w:val="22"/>
        </w:rPr>
        <w:t>Ben Lamm isn't trying to resurrect woolly mammoths for the novelty. He's built a business model that the Big 6 AI companies would be smart to clone: use a headline-grabbing 'moon shot' mission to attract top talent and funding, then spin off the tools and technologies developed along the way into separate commercial businesses.</w:t>
      </w:r>
    </w:p>
    <w:p>
      <w:pPr>
        <w:spacing w:after="120" w:before="40"/>
      </w:pPr>
      <w:r>
        <w:rPr>
          <w:rFonts w:ascii="Calibri" w:hAnsi="Calibri"/>
          <w:color w:val="333333"/>
          <w:sz w:val="22"/>
        </w:rPr>
        <w:t>Colossal was founded in 2021 with Harvard geneticist George Church (CRISPR pioneer) and serial entrepreneur Ben Lamm. Its stated mission: de-extinct the woolly mammoth, thylacine, dodo, dire wolf, and moa. Current equity value: $10.2B. With just 170 employees. That's $60M in implied value per employee — driven entirely by the mission's appeal to investors and partners, and the commercial spinoffs it generates.</w:t>
      </w:r>
    </w:p>
    <w:p>
      <w:pPr>
        <w:spacing w:before="240" w:after="120"/>
      </w:pPr>
      <w:r>
        <w:rPr>
          <w:rFonts w:ascii="Calibri" w:hAnsi="Calibri"/>
          <w:b/>
          <w:color w:val="1B3A5C"/>
          <w:sz w:val="32"/>
        </w:rPr>
        <w:t>The Spinoff Engine</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pPr>
              <w:jc w:val="center"/>
            </w:pPr>
            <w:r>
              <w:rPr>
                <w:rFonts w:ascii="Calibri" w:hAnsi="Calibri"/>
                <w:b/>
                <w:color w:val="FFFFFF"/>
                <w:sz w:val="20"/>
              </w:rPr>
              <w:t>Spinoff Company</w:t>
            </w:r>
          </w:p>
        </w:tc>
        <w:tc>
          <w:tcPr>
            <w:tcW w:type="dxa" w:w="2880"/>
            <w:shd w:fill="1B3A5C" w:val="clear"/>
          </w:tcPr>
          <w:p>
            <w:pPr>
              <w:jc w:val="center"/>
            </w:pPr>
            <w:r>
              <w:rPr>
                <w:rFonts w:ascii="Calibri" w:hAnsi="Calibri"/>
                <w:b/>
                <w:color w:val="FFFFFF"/>
                <w:sz w:val="20"/>
              </w:rPr>
              <w:t>What It Does</w:t>
            </w:r>
          </w:p>
        </w:tc>
        <w:tc>
          <w:tcPr>
            <w:tcW w:type="dxa" w:w="2880"/>
            <w:shd w:fill="1B3A5C" w:val="clear"/>
          </w:tcPr>
          <w:p>
            <w:pPr>
              <w:jc w:val="center"/>
            </w:pPr>
            <w:r>
              <w:rPr>
                <w:rFonts w:ascii="Calibri" w:hAnsi="Calibri"/>
                <w:b/>
                <w:color w:val="FFFFFF"/>
                <w:sz w:val="20"/>
              </w:rPr>
              <w:t>Status</w:t>
            </w:r>
          </w:p>
        </w:tc>
      </w:tr>
      <w:tr>
        <w:tc>
          <w:tcPr>
            <w:tcW w:type="dxa" w:w="2880"/>
            <w:shd w:fill="E8EFF8" w:val="clear"/>
          </w:tcPr>
          <w:p>
            <w:pPr>
              <w:jc w:val="left"/>
            </w:pPr>
            <w:r>
              <w:rPr>
                <w:rFonts w:ascii="Calibri" w:hAnsi="Calibri"/>
                <w:b/>
                <w:color w:val="1B3A5C"/>
                <w:sz w:val="20"/>
              </w:rPr>
              <w:t>Form Bio</w:t>
            </w:r>
          </w:p>
        </w:tc>
        <w:tc>
          <w:tcPr>
            <w:tcW w:type="dxa" w:w="2880"/>
            <w:shd w:fill="F5F5F5" w:val="clear"/>
          </w:tcPr>
          <w:p>
            <w:pPr>
              <w:jc w:val="center"/>
            </w:pPr>
            <w:r>
              <w:rPr>
                <w:rFonts w:ascii="Calibri" w:hAnsi="Calibri"/>
                <w:color w:val="333333"/>
                <w:sz w:val="20"/>
              </w:rPr>
              <w:t>Computational biology platform spun from Colossal's research tools</w:t>
            </w:r>
          </w:p>
        </w:tc>
        <w:tc>
          <w:tcPr>
            <w:tcW w:type="dxa" w:w="2880"/>
            <w:shd w:fill="F5F5F5" w:val="clear"/>
          </w:tcPr>
          <w:p>
            <w:pPr>
              <w:jc w:val="center"/>
            </w:pPr>
            <w:r>
              <w:rPr>
                <w:rFonts w:ascii="Calibri" w:hAnsi="Calibri"/>
                <w:color w:val="333333"/>
                <w:sz w:val="20"/>
              </w:rPr>
              <w:t>Already operational, serving biopharma customers</w:t>
            </w:r>
          </w:p>
        </w:tc>
      </w:tr>
      <w:tr>
        <w:tc>
          <w:tcPr>
            <w:tcW w:type="dxa" w:w="2880"/>
            <w:shd w:fill="E8EFF8" w:val="clear"/>
          </w:tcPr>
          <w:p>
            <w:pPr>
              <w:jc w:val="left"/>
            </w:pPr>
            <w:r>
              <w:rPr>
                <w:rFonts w:ascii="Calibri" w:hAnsi="Calibri"/>
                <w:b/>
                <w:color w:val="1B3A5C"/>
                <w:sz w:val="20"/>
              </w:rPr>
              <w:t>ViaGen Pets</w:t>
            </w:r>
          </w:p>
        </w:tc>
        <w:tc>
          <w:tcPr>
            <w:tcW w:type="dxa" w:w="2880"/>
            <w:shd w:fill="FFFFFF" w:val="clear"/>
          </w:tcPr>
          <w:p>
            <w:pPr>
              <w:jc w:val="center"/>
            </w:pPr>
            <w:r>
              <w:rPr>
                <w:rFonts w:ascii="Calibri" w:hAnsi="Calibri"/>
                <w:color w:val="333333"/>
                <w:sz w:val="20"/>
              </w:rPr>
              <w:t>Pet cloning service using Colossal's cellular preservation technology</w:t>
            </w:r>
          </w:p>
        </w:tc>
        <w:tc>
          <w:tcPr>
            <w:tcW w:type="dxa" w:w="2880"/>
            <w:shd w:fill="FFFFFF" w:val="clear"/>
          </w:tcPr>
          <w:p>
            <w:pPr>
              <w:jc w:val="center"/>
            </w:pPr>
            <w:r>
              <w:rPr>
                <w:rFonts w:ascii="Calibri" w:hAnsi="Calibri"/>
                <w:color w:val="333333"/>
                <w:sz w:val="20"/>
              </w:rPr>
              <w:t>Commercial, profitable</w:t>
            </w:r>
          </w:p>
        </w:tc>
      </w:tr>
      <w:tr>
        <w:tc>
          <w:tcPr>
            <w:tcW w:type="dxa" w:w="2880"/>
            <w:shd w:fill="E8EFF8" w:val="clear"/>
          </w:tcPr>
          <w:p>
            <w:pPr>
              <w:jc w:val="left"/>
            </w:pPr>
            <w:r>
              <w:rPr>
                <w:rFonts w:ascii="Calibri" w:hAnsi="Calibri"/>
                <w:b/>
                <w:color w:val="1B3A5C"/>
                <w:sz w:val="20"/>
              </w:rPr>
              <w:t>Breaking (Conservation Tech)</w:t>
            </w:r>
          </w:p>
        </w:tc>
        <w:tc>
          <w:tcPr>
            <w:tcW w:type="dxa" w:w="2880"/>
            <w:shd w:fill="F5F5F5" w:val="clear"/>
          </w:tcPr>
          <w:p>
            <w:pPr>
              <w:jc w:val="center"/>
            </w:pPr>
            <w:r>
              <w:rPr>
                <w:rFonts w:ascii="Calibri" w:hAnsi="Calibri"/>
                <w:color w:val="333333"/>
                <w:sz w:val="20"/>
              </w:rPr>
              <w:t>Conservation genomics and AI tools for endangered species programs</w:t>
            </w:r>
          </w:p>
        </w:tc>
        <w:tc>
          <w:tcPr>
            <w:tcW w:type="dxa" w:w="2880"/>
            <w:shd w:fill="F5F5F5" w:val="clear"/>
          </w:tcPr>
          <w:p>
            <w:pPr>
              <w:jc w:val="center"/>
            </w:pPr>
            <w:r>
              <w:rPr>
                <w:rFonts w:ascii="Calibri" w:hAnsi="Calibri"/>
                <w:color w:val="333333"/>
                <w:sz w:val="20"/>
              </w:rPr>
              <w:t>B2B contracts with wildlife orgs</w:t>
            </w:r>
          </w:p>
        </w:tc>
      </w:tr>
      <w:tr>
        <w:tc>
          <w:tcPr>
            <w:tcW w:type="dxa" w:w="2880"/>
            <w:shd w:fill="E8EFF8" w:val="clear"/>
          </w:tcPr>
          <w:p>
            <w:pPr>
              <w:jc w:val="left"/>
            </w:pPr>
            <w:r>
              <w:rPr>
                <w:rFonts w:ascii="Calibri" w:hAnsi="Calibri"/>
                <w:b/>
                <w:color w:val="1B3A5C"/>
                <w:sz w:val="20"/>
              </w:rPr>
              <w:t>Reproductive Technology</w:t>
            </w:r>
          </w:p>
        </w:tc>
        <w:tc>
          <w:tcPr>
            <w:tcW w:type="dxa" w:w="2880"/>
            <w:shd w:fill="FFFFFF" w:val="clear"/>
          </w:tcPr>
          <w:p>
            <w:pPr>
              <w:jc w:val="center"/>
            </w:pPr>
            <w:r>
              <w:rPr>
                <w:rFonts w:ascii="Calibri" w:hAnsi="Calibri"/>
                <w:color w:val="333333"/>
                <w:sz w:val="20"/>
              </w:rPr>
              <w:t>Novel stem cell and IVF techniques developed for mammoth project</w:t>
            </w:r>
          </w:p>
        </w:tc>
        <w:tc>
          <w:tcPr>
            <w:tcW w:type="dxa" w:w="2880"/>
            <w:shd w:fill="FFFFFF" w:val="clear"/>
          </w:tcPr>
          <w:p>
            <w:pPr>
              <w:jc w:val="center"/>
            </w:pPr>
            <w:r>
              <w:rPr>
                <w:rFonts w:ascii="Calibri" w:hAnsi="Calibri"/>
                <w:color w:val="333333"/>
                <w:sz w:val="20"/>
              </w:rPr>
              <w:t>Applicable to human fertility medicine</w:t>
            </w:r>
          </w:p>
        </w:tc>
      </w:tr>
    </w:tbl>
    <w:p/>
    <w:p>
      <w:pPr>
        <w:spacing w:before="240" w:after="120"/>
      </w:pPr>
      <w:r>
        <w:rPr>
          <w:rFonts w:ascii="Calibri" w:hAnsi="Calibri"/>
          <w:b/>
          <w:color w:val="1B3A5C"/>
          <w:sz w:val="32"/>
        </w:rPr>
        <w:t>Are the Big 6 Doing This?</w:t>
      </w:r>
    </w:p>
    <w:p>
      <w:pPr>
        <w:spacing w:after="120" w:before="40"/>
      </w:pPr>
      <w:r>
        <w:rPr>
          <w:rFonts w:ascii="Calibri" w:hAnsi="Calibri"/>
          <w:color w:val="333333"/>
          <w:sz w:val="22"/>
        </w:rPr>
        <w:t>The honest answer: incompletely. Here's where each company stands on the Colossal model of research → commercial spinoffs:</w:t>
      </w:r>
    </w:p>
    <w:p>
      <w:pPr>
        <w:pStyle w:val="ListBullet"/>
        <w:spacing w:after="60"/>
        <w:ind w:left="360"/>
      </w:pPr>
      <w:r>
        <w:rPr>
          <w:rFonts w:ascii="Calibri" w:hAnsi="Calibri"/>
          <w:b/>
          <w:color w:val="333333"/>
          <w:sz w:val="22"/>
        </w:rPr>
        <w:t xml:space="preserve">Alphabet/GOOGL: </w:t>
      </w:r>
      <w:r>
        <w:rPr>
          <w:rFonts w:ascii="Calibri" w:hAnsi="Calibri"/>
          <w:color w:val="333333"/>
          <w:sz w:val="22"/>
        </w:rPr>
        <w:t>BEST EXAMPLE: Alphabet/Google DeepMind. Isomorphic Labs is DeepMind's drug discovery spinoff (100% Alphabet owned). Waymo is its self-driving spinoff. This IS the Colossal model at mega-scale.</w:t>
      </w:r>
    </w:p>
    <w:p>
      <w:pPr>
        <w:pStyle w:val="ListBullet"/>
        <w:spacing w:after="60"/>
        <w:ind w:left="360"/>
      </w:pPr>
      <w:r>
        <w:rPr>
          <w:rFonts w:ascii="Calibri" w:hAnsi="Calibri"/>
          <w:b/>
          <w:color w:val="333333"/>
          <w:sz w:val="22"/>
        </w:rPr>
        <w:t xml:space="preserve">OpenAI: </w:t>
      </w:r>
      <w:r>
        <w:rPr>
          <w:rFonts w:ascii="Calibri" w:hAnsi="Calibri"/>
          <w:color w:val="333333"/>
          <w:sz w:val="22"/>
        </w:rPr>
        <w:t>OpenAI is not structured for spinoffs. All AI products flow through OpenAI → Microsoft. No current plan for vertical-specific spinoffs.</w:t>
      </w:r>
    </w:p>
    <w:p>
      <w:pPr>
        <w:pStyle w:val="ListBullet"/>
        <w:spacing w:after="60"/>
        <w:ind w:left="360"/>
      </w:pPr>
      <w:r>
        <w:rPr>
          <w:rFonts w:ascii="Calibri" w:hAnsi="Calibri"/>
          <w:b/>
          <w:color w:val="333333"/>
          <w:sz w:val="22"/>
        </w:rPr>
        <w:t xml:space="preserve">Anthropic: </w:t>
      </w:r>
      <w:r>
        <w:rPr>
          <w:rFonts w:ascii="Calibri" w:hAnsi="Calibri"/>
          <w:color w:val="333333"/>
          <w:sz w:val="22"/>
        </w:rPr>
        <w:t>Anthropic has historically focused on model development rather than applications. Claude Code is the closest to a spinoff product. Watch for application-layer companies built on Anthropic's API.</w:t>
      </w:r>
    </w:p>
    <w:p>
      <w:pPr>
        <w:pStyle w:val="ListBullet"/>
        <w:spacing w:after="60"/>
        <w:ind w:left="360"/>
      </w:pPr>
      <w:r>
        <w:rPr>
          <w:rFonts w:ascii="Calibri" w:hAnsi="Calibri"/>
          <w:b/>
          <w:color w:val="333333"/>
          <w:sz w:val="22"/>
        </w:rPr>
        <w:t xml:space="preserve">Meta: </w:t>
      </w:r>
      <w:r>
        <w:rPr>
          <w:rFonts w:ascii="Calibri" w:hAnsi="Calibri"/>
          <w:color w:val="333333"/>
          <w:sz w:val="22"/>
        </w:rPr>
        <w:t>Meta's open-source strategy means the spinoffs happen OUTSIDE Meta — other companies build on LLaMA. Meta captures the value through advertising, not spinoffs.</w:t>
      </w:r>
    </w:p>
    <w:p>
      <w:pPr>
        <w:pStyle w:val="ListBullet"/>
        <w:spacing w:after="60"/>
        <w:ind w:left="360"/>
      </w:pPr>
      <w:r>
        <w:rPr>
          <w:rFonts w:ascii="Calibri" w:hAnsi="Calibri"/>
          <w:b/>
          <w:color w:val="333333"/>
          <w:sz w:val="22"/>
        </w:rPr>
        <w:t xml:space="preserve">xAI: </w:t>
      </w:r>
      <w:r>
        <w:rPr>
          <w:rFonts w:ascii="Calibri" w:hAnsi="Calibri"/>
          <w:color w:val="333333"/>
          <w:sz w:val="22"/>
        </w:rPr>
        <w:t>xAI is currently a spinoff of SpaceX. The direction is integration (acquiring X/Twitter) not spinning out new companies.</w:t>
      </w:r>
    </w:p>
    <w:tbl>
      <w:tblPr>
        <w:tblStyle w:val="TableGrid"/>
        <w:tblW w:type="auto" w:w="0"/>
        <w:tblLook w:firstColumn="1" w:firstRow="1" w:lastColumn="0" w:lastRow="0" w:noHBand="0" w:noVBand="1" w:val="04A0"/>
      </w:tblPr>
      <w:tblGrid>
        <w:gridCol w:w="8640"/>
      </w:tblGrid>
      <w:tr>
        <w:tc>
          <w:tcPr>
            <w:tcW w:type="dxa" w:w="8640"/>
            <w:shd w:fill="FFF5CC" w:val="clear"/>
          </w:tcPr>
          <w:p>
            <w:r>
              <w:rPr>
                <w:rFonts w:ascii="Calibri" w:hAnsi="Calibri"/>
                <w:b/>
                <w:color w:val="1B3A5C"/>
                <w:sz w:val="22"/>
              </w:rPr>
              <w:t xml:space="preserve">Investment Insight:  </w:t>
            </w:r>
            <w:r>
              <w:rPr>
                <w:rFonts w:ascii="Calibri" w:hAnsi="Calibri"/>
                <w:color w:val="333333"/>
                <w:sz w:val="20"/>
              </w:rPr>
              <w:t>The Colossal model reveals a key evaluation criterion: does this AI company have a strategy to capture value from the vertical applications it enables? Alphabet does (Isomorphic, Waymo). OpenAI partially does (MSFT partnership). The others need to develop this. When evaluating AI companies, ask: 'Do they own the application layer, or just the model layer?'</w:t>
            </w:r>
          </w:p>
        </w:tc>
      </w:tr>
    </w:tbl>
    <w:p/>
    <w:p>
      <w:r>
        <w:br w:type="page"/>
      </w:r>
    </w:p>
    <w:tbl>
      <w:tblPr>
        <w:tblStyle w:val="TableGrid"/>
        <w:tblW w:type="auto" w:w="0"/>
        <w:tblLook w:firstColumn="1" w:firstRow="1" w:lastColumn="0" w:lastRow="0" w:noHBand="0" w:noVBand="1" w:val="04A0"/>
      </w:tblPr>
      <w:tblGrid>
        <w:gridCol w:w="8640"/>
      </w:tblGrid>
      <w:tr>
        <w:tc>
          <w:tcPr>
            <w:tcW w:type="dxa" w:w="8640"/>
            <w:shd w:fill="1B3A5C" w:val="clear"/>
          </w:tcPr>
          <w:p>
            <w:pPr>
              <w:jc w:val="left"/>
            </w:pPr>
            <w:r>
              <w:rPr>
                <w:rFonts w:ascii="Calibri" w:hAnsi="Calibri"/>
                <w:b/>
                <w:color w:val="FFFFFF"/>
                <w:sz w:val="28"/>
              </w:rPr>
              <w:t xml:space="preserve">  SECTION 6  |  PRE-IPO INVESTMENT VEHICLES</w:t>
            </w:r>
          </w:p>
        </w:tc>
      </w:tr>
    </w:tbl>
    <w:p/>
    <w:p>
      <w:pPr>
        <w:spacing w:before="240" w:after="120"/>
      </w:pPr>
      <w:r>
        <w:rPr>
          <w:rFonts w:ascii="Calibri" w:hAnsi="Calibri"/>
          <w:b/>
          <w:color w:val="1B3A5C"/>
          <w:sz w:val="32"/>
        </w:rPr>
        <w:t>For Accredited Investors Only</w:t>
      </w:r>
    </w:p>
    <w:p>
      <w:pPr>
        <w:spacing w:after="120" w:before="40"/>
      </w:pPr>
      <w:r>
        <w:rPr>
          <w:rFonts w:ascii="Calibri" w:hAnsi="Calibri"/>
          <w:color w:val="333333"/>
          <w:sz w:val="22"/>
        </w:rPr>
        <w:t>Joe qualifies as an accredited investor (net worth &gt;$1M excluding primary residence; income &gt;$200K/year). This opens the pre-IPO secondary market for OpenAI, Anthropic, and xAI shares. These platforms allow existing employees and early investors to sell their vested shares to accredited buyers before an IPO.</w:t>
      </w:r>
    </w:p>
    <w:tbl>
      <w:tblPr>
        <w:tblStyle w:val="TableGrid"/>
        <w:tblW w:type="auto" w:w="0"/>
        <w:tblLook w:firstColumn="1" w:firstRow="1" w:lastColumn="0" w:lastRow="0" w:noHBand="0" w:noVBand="1" w:val="04A0"/>
      </w:tblPr>
      <w:tblGrid>
        <w:gridCol w:w="8640"/>
      </w:tblGrid>
      <w:tr>
        <w:tc>
          <w:tcPr>
            <w:tcW w:type="dxa" w:w="8640"/>
            <w:shd w:fill="FFE8E8" w:val="clear"/>
          </w:tcPr>
          <w:p>
            <w:r>
              <w:rPr>
                <w:rFonts w:ascii="Calibri" w:hAnsi="Calibri"/>
                <w:b/>
                <w:color w:val="1B3A5C"/>
                <w:sz w:val="22"/>
              </w:rPr>
              <w:t xml:space="preserve">⚠️ CRITICAL RISK WARNING:  </w:t>
            </w:r>
            <w:r>
              <w:rPr>
                <w:rFonts w:ascii="Calibri" w:hAnsi="Calibri"/>
                <w:color w:val="333333"/>
                <w:sz w:val="20"/>
              </w:rPr>
              <w:t>Pre-IPO secondary investments are illiquid, high-risk, and may carry a significant markup over the company's last formal valuation. You may not be able to exit for 3-7 years. The company may never IPO. Keep total pre-IPO exposure to &lt;5% of your portfolio ($95K max) and no single position &gt;2% ($38K).</w:t>
            </w:r>
          </w:p>
        </w:tc>
      </w:tr>
    </w:tbl>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B3A5C" w:val="clear"/>
          </w:tcPr>
          <w:p>
            <w:pPr>
              <w:jc w:val="center"/>
            </w:pPr>
            <w:r>
              <w:rPr>
                <w:rFonts w:ascii="Calibri" w:hAnsi="Calibri"/>
                <w:b/>
                <w:color w:val="FFFFFF"/>
                <w:sz w:val="20"/>
              </w:rPr>
              <w:t>Platform</w:t>
            </w:r>
          </w:p>
        </w:tc>
        <w:tc>
          <w:tcPr>
            <w:tcW w:type="dxa" w:w="1728"/>
            <w:shd w:fill="1B3A5C" w:val="clear"/>
          </w:tcPr>
          <w:p>
            <w:pPr>
              <w:jc w:val="center"/>
            </w:pPr>
            <w:r>
              <w:rPr>
                <w:rFonts w:ascii="Calibri" w:hAnsi="Calibri"/>
                <w:b/>
                <w:color w:val="FFFFFF"/>
                <w:sz w:val="20"/>
              </w:rPr>
              <w:t>Min. Investment</w:t>
            </w:r>
          </w:p>
        </w:tc>
        <w:tc>
          <w:tcPr>
            <w:tcW w:type="dxa" w:w="1728"/>
            <w:shd w:fill="1B3A5C" w:val="clear"/>
          </w:tcPr>
          <w:p>
            <w:pPr>
              <w:jc w:val="center"/>
            </w:pPr>
            <w:r>
              <w:rPr>
                <w:rFonts w:ascii="Calibri" w:hAnsi="Calibri"/>
                <w:b/>
                <w:color w:val="FFFFFF"/>
                <w:sz w:val="20"/>
              </w:rPr>
              <w:t>Typical Fee</w:t>
            </w:r>
          </w:p>
        </w:tc>
        <w:tc>
          <w:tcPr>
            <w:tcW w:type="dxa" w:w="1728"/>
            <w:shd w:fill="1B3A5C" w:val="clear"/>
          </w:tcPr>
          <w:p>
            <w:pPr>
              <w:jc w:val="center"/>
            </w:pPr>
            <w:r>
              <w:rPr>
                <w:rFonts w:ascii="Calibri" w:hAnsi="Calibri"/>
                <w:b/>
                <w:color w:val="FFFFFF"/>
                <w:sz w:val="20"/>
              </w:rPr>
              <w:t>Notes</w:t>
            </w:r>
          </w:p>
        </w:tc>
        <w:tc>
          <w:tcPr>
            <w:tcW w:type="dxa" w:w="1728"/>
            <w:shd w:fill="1B3A5C" w:val="clear"/>
          </w:tcPr>
          <w:p>
            <w:pPr>
              <w:jc w:val="center"/>
            </w:pPr>
            <w:r>
              <w:rPr>
                <w:rFonts w:ascii="Calibri" w:hAnsi="Calibri"/>
                <w:b/>
                <w:color w:val="FFFFFF"/>
                <w:sz w:val="20"/>
              </w:rPr>
              <w:t>Liquidity</w:t>
            </w:r>
          </w:p>
        </w:tc>
      </w:tr>
      <w:tr>
        <w:tc>
          <w:tcPr>
            <w:tcW w:type="dxa" w:w="1728"/>
            <w:shd w:fill="E8EFF8" w:val="clear"/>
          </w:tcPr>
          <w:p>
            <w:pPr>
              <w:jc w:val="left"/>
            </w:pPr>
            <w:r>
              <w:rPr>
                <w:rFonts w:ascii="Calibri" w:hAnsi="Calibri"/>
                <w:b/>
                <w:color w:val="1B3A5C"/>
                <w:sz w:val="20"/>
              </w:rPr>
              <w:t>EquityZen</w:t>
            </w:r>
          </w:p>
        </w:tc>
        <w:tc>
          <w:tcPr>
            <w:tcW w:type="dxa" w:w="1728"/>
            <w:shd w:fill="F5F5F5" w:val="clear"/>
          </w:tcPr>
          <w:p>
            <w:pPr>
              <w:jc w:val="center"/>
            </w:pPr>
            <w:r>
              <w:rPr>
                <w:rFonts w:ascii="Calibri" w:hAnsi="Calibri"/>
                <w:color w:val="333333"/>
                <w:sz w:val="20"/>
              </w:rPr>
              <w:t>$10K–$50K</w:t>
            </w:r>
          </w:p>
        </w:tc>
        <w:tc>
          <w:tcPr>
            <w:tcW w:type="dxa" w:w="1728"/>
            <w:shd w:fill="F5F5F5" w:val="clear"/>
          </w:tcPr>
          <w:p>
            <w:pPr>
              <w:jc w:val="center"/>
            </w:pPr>
            <w:r>
              <w:rPr>
                <w:rFonts w:ascii="Calibri" w:hAnsi="Calibri"/>
                <w:color w:val="333333"/>
                <w:sz w:val="20"/>
              </w:rPr>
              <w:t>5% of transaction</w:t>
            </w:r>
          </w:p>
        </w:tc>
        <w:tc>
          <w:tcPr>
            <w:tcW w:type="dxa" w:w="1728"/>
            <w:shd w:fill="F5F5F5" w:val="clear"/>
          </w:tcPr>
          <w:p>
            <w:pPr>
              <w:jc w:val="center"/>
            </w:pPr>
            <w:r>
              <w:rPr>
                <w:rFonts w:ascii="Calibri" w:hAnsi="Calibri"/>
                <w:color w:val="333333"/>
                <w:sz w:val="20"/>
              </w:rPr>
              <w:t>Curated marketplace; most established; good company selection including Anthropic and OpenAI</w:t>
            </w:r>
          </w:p>
        </w:tc>
        <w:tc>
          <w:tcPr>
            <w:tcW w:type="dxa" w:w="1728"/>
            <w:shd w:fill="F5F5F5" w:val="clear"/>
          </w:tcPr>
          <w:p>
            <w:pPr>
              <w:jc w:val="center"/>
            </w:pPr>
            <w:r>
              <w:rPr>
                <w:rFonts w:ascii="Calibri" w:hAnsi="Calibri"/>
                <w:color w:val="333333"/>
                <w:sz w:val="20"/>
              </w:rPr>
              <w:t>Medium (3-5yr est.)</w:t>
            </w:r>
          </w:p>
        </w:tc>
      </w:tr>
      <w:tr>
        <w:tc>
          <w:tcPr>
            <w:tcW w:type="dxa" w:w="1728"/>
            <w:shd w:fill="E8EFF8" w:val="clear"/>
          </w:tcPr>
          <w:p>
            <w:pPr>
              <w:jc w:val="left"/>
            </w:pPr>
            <w:r>
              <w:rPr>
                <w:rFonts w:ascii="Calibri" w:hAnsi="Calibri"/>
                <w:b/>
                <w:color w:val="1B3A5C"/>
                <w:sz w:val="20"/>
              </w:rPr>
              <w:t>Forge Global (FRGE)</w:t>
            </w:r>
          </w:p>
        </w:tc>
        <w:tc>
          <w:tcPr>
            <w:tcW w:type="dxa" w:w="1728"/>
            <w:shd w:fill="FFFFFF" w:val="clear"/>
          </w:tcPr>
          <w:p>
            <w:pPr>
              <w:jc w:val="center"/>
            </w:pPr>
            <w:r>
              <w:rPr>
                <w:rFonts w:ascii="Calibri" w:hAnsi="Calibri"/>
                <w:color w:val="333333"/>
                <w:sz w:val="20"/>
              </w:rPr>
              <w:t>$5K+</w:t>
            </w:r>
          </w:p>
        </w:tc>
        <w:tc>
          <w:tcPr>
            <w:tcW w:type="dxa" w:w="1728"/>
            <w:shd w:fill="FFFFFF" w:val="clear"/>
          </w:tcPr>
          <w:p>
            <w:pPr>
              <w:jc w:val="center"/>
            </w:pPr>
            <w:r>
              <w:rPr>
                <w:rFonts w:ascii="Calibri" w:hAnsi="Calibri"/>
                <w:color w:val="333333"/>
                <w:sz w:val="20"/>
              </w:rPr>
              <w:t>2-5% varies</w:t>
            </w:r>
          </w:p>
        </w:tc>
        <w:tc>
          <w:tcPr>
            <w:tcW w:type="dxa" w:w="1728"/>
            <w:shd w:fill="FFFFFF" w:val="clear"/>
          </w:tcPr>
          <w:p>
            <w:pPr>
              <w:jc w:val="center"/>
            </w:pPr>
            <w:r>
              <w:rPr>
                <w:rFonts w:ascii="Calibri" w:hAnsi="Calibri"/>
                <w:color w:val="333333"/>
                <w:sz w:val="20"/>
              </w:rPr>
              <w:t>Publicly traded marketplace (FRGE ticker). Can buy the MARKETPLACE itself as an alternative play. Widest selection.</w:t>
            </w:r>
          </w:p>
        </w:tc>
        <w:tc>
          <w:tcPr>
            <w:tcW w:type="dxa" w:w="1728"/>
            <w:shd w:fill="FFFFFF" w:val="clear"/>
          </w:tcPr>
          <w:p>
            <w:pPr>
              <w:jc w:val="center"/>
            </w:pPr>
            <w:r>
              <w:rPr>
                <w:rFonts w:ascii="Calibri" w:hAnsi="Calibri"/>
                <w:color w:val="333333"/>
                <w:sz w:val="20"/>
              </w:rPr>
              <w:t>Medium (3-7yr est.)</w:t>
            </w:r>
          </w:p>
        </w:tc>
      </w:tr>
      <w:tr>
        <w:tc>
          <w:tcPr>
            <w:tcW w:type="dxa" w:w="1728"/>
            <w:shd w:fill="E8EFF8" w:val="clear"/>
          </w:tcPr>
          <w:p>
            <w:pPr>
              <w:jc w:val="left"/>
            </w:pPr>
            <w:r>
              <w:rPr>
                <w:rFonts w:ascii="Calibri" w:hAnsi="Calibri"/>
                <w:b/>
                <w:color w:val="1B3A5C"/>
                <w:sz w:val="20"/>
              </w:rPr>
              <w:t>Linqto</w:t>
            </w:r>
          </w:p>
        </w:tc>
        <w:tc>
          <w:tcPr>
            <w:tcW w:type="dxa" w:w="1728"/>
            <w:shd w:fill="F5F5F5" w:val="clear"/>
          </w:tcPr>
          <w:p>
            <w:pPr>
              <w:jc w:val="center"/>
            </w:pPr>
            <w:r>
              <w:rPr>
                <w:rFonts w:ascii="Calibri" w:hAnsi="Calibri"/>
                <w:color w:val="333333"/>
                <w:sz w:val="20"/>
              </w:rPr>
              <w:t>$2,500+</w:t>
            </w:r>
          </w:p>
        </w:tc>
        <w:tc>
          <w:tcPr>
            <w:tcW w:type="dxa" w:w="1728"/>
            <w:shd w:fill="F5F5F5" w:val="clear"/>
          </w:tcPr>
          <w:p>
            <w:pPr>
              <w:jc w:val="center"/>
            </w:pPr>
            <w:r>
              <w:rPr>
                <w:rFonts w:ascii="Calibri" w:hAnsi="Calibri"/>
                <w:color w:val="333333"/>
                <w:sz w:val="20"/>
              </w:rPr>
              <w:t>Varies</w:t>
            </w:r>
          </w:p>
        </w:tc>
        <w:tc>
          <w:tcPr>
            <w:tcW w:type="dxa" w:w="1728"/>
            <w:shd w:fill="F5F5F5" w:val="clear"/>
          </w:tcPr>
          <w:p>
            <w:pPr>
              <w:jc w:val="center"/>
            </w:pPr>
            <w:r>
              <w:rPr>
                <w:rFonts w:ascii="Calibri" w:hAnsi="Calibri"/>
                <w:color w:val="333333"/>
                <w:sz w:val="20"/>
              </w:rPr>
              <w:t>Lowest minimums. Good for testing the waters. Less curation than EquityZen.</w:t>
            </w:r>
          </w:p>
        </w:tc>
        <w:tc>
          <w:tcPr>
            <w:tcW w:type="dxa" w:w="1728"/>
            <w:shd w:fill="F5F5F5" w:val="clear"/>
          </w:tcPr>
          <w:p>
            <w:pPr>
              <w:jc w:val="center"/>
            </w:pPr>
            <w:r>
              <w:rPr>
                <w:rFonts w:ascii="Calibri" w:hAnsi="Calibri"/>
                <w:color w:val="333333"/>
                <w:sz w:val="20"/>
              </w:rPr>
              <w:t>Medium-Low liquidity</w:t>
            </w:r>
          </w:p>
        </w:tc>
      </w:tr>
      <w:tr>
        <w:tc>
          <w:tcPr>
            <w:tcW w:type="dxa" w:w="1728"/>
            <w:shd w:fill="E8EFF8" w:val="clear"/>
          </w:tcPr>
          <w:p>
            <w:pPr>
              <w:jc w:val="left"/>
            </w:pPr>
            <w:r>
              <w:rPr>
                <w:rFonts w:ascii="Calibri" w:hAnsi="Calibri"/>
                <w:b/>
                <w:color w:val="1B3A5C"/>
                <w:sz w:val="20"/>
              </w:rPr>
              <w:t>Hiive</w:t>
            </w:r>
          </w:p>
        </w:tc>
        <w:tc>
          <w:tcPr>
            <w:tcW w:type="dxa" w:w="1728"/>
            <w:shd w:fill="FFFFFF" w:val="clear"/>
          </w:tcPr>
          <w:p>
            <w:pPr>
              <w:jc w:val="center"/>
            </w:pPr>
            <w:r>
              <w:rPr>
                <w:rFonts w:ascii="Calibri" w:hAnsi="Calibri"/>
                <w:color w:val="333333"/>
                <w:sz w:val="20"/>
              </w:rPr>
              <w:t>$5K+</w:t>
            </w:r>
          </w:p>
        </w:tc>
        <w:tc>
          <w:tcPr>
            <w:tcW w:type="dxa" w:w="1728"/>
            <w:shd w:fill="FFFFFF" w:val="clear"/>
          </w:tcPr>
          <w:p>
            <w:pPr>
              <w:jc w:val="center"/>
            </w:pPr>
            <w:r>
              <w:rPr>
                <w:rFonts w:ascii="Calibri" w:hAnsi="Calibri"/>
                <w:color w:val="333333"/>
                <w:sz w:val="20"/>
              </w:rPr>
              <w:t>1-3%</w:t>
            </w:r>
          </w:p>
        </w:tc>
        <w:tc>
          <w:tcPr>
            <w:tcW w:type="dxa" w:w="1728"/>
            <w:shd w:fill="FFFFFF" w:val="clear"/>
          </w:tcPr>
          <w:p>
            <w:pPr>
              <w:jc w:val="center"/>
            </w:pPr>
            <w:r>
              <w:rPr>
                <w:rFonts w:ascii="Calibri" w:hAnsi="Calibri"/>
                <w:color w:val="333333"/>
                <w:sz w:val="20"/>
              </w:rPr>
              <w:t>Newer platform, competitive fees, growing selection. Canadian-based.</w:t>
            </w:r>
          </w:p>
        </w:tc>
        <w:tc>
          <w:tcPr>
            <w:tcW w:type="dxa" w:w="1728"/>
            <w:shd w:fill="FFFFFF" w:val="clear"/>
          </w:tcPr>
          <w:p>
            <w:pPr>
              <w:jc w:val="center"/>
            </w:pPr>
            <w:r>
              <w:rPr>
                <w:rFonts w:ascii="Calibri" w:hAnsi="Calibri"/>
                <w:color w:val="333333"/>
                <w:sz w:val="20"/>
              </w:rPr>
              <w:t>Medium</w:t>
            </w:r>
          </w:p>
        </w:tc>
      </w:tr>
      <w:tr>
        <w:tc>
          <w:tcPr>
            <w:tcW w:type="dxa" w:w="1728"/>
            <w:shd w:fill="E8EFF8" w:val="clear"/>
          </w:tcPr>
          <w:p>
            <w:pPr>
              <w:jc w:val="left"/>
            </w:pPr>
            <w:r>
              <w:rPr>
                <w:rFonts w:ascii="Calibri" w:hAnsi="Calibri"/>
                <w:b/>
                <w:color w:val="1B3A5C"/>
                <w:sz w:val="20"/>
              </w:rPr>
              <w:t>CartaX / Caplight</w:t>
            </w:r>
          </w:p>
        </w:tc>
        <w:tc>
          <w:tcPr>
            <w:tcW w:type="dxa" w:w="1728"/>
            <w:shd w:fill="F5F5F5" w:val="clear"/>
          </w:tcPr>
          <w:p>
            <w:pPr>
              <w:jc w:val="center"/>
            </w:pPr>
            <w:r>
              <w:rPr>
                <w:rFonts w:ascii="Calibri" w:hAnsi="Calibri"/>
                <w:color w:val="333333"/>
                <w:sz w:val="20"/>
              </w:rPr>
              <w:t>$25K+</w:t>
            </w:r>
          </w:p>
        </w:tc>
        <w:tc>
          <w:tcPr>
            <w:tcW w:type="dxa" w:w="1728"/>
            <w:shd w:fill="F5F5F5" w:val="clear"/>
          </w:tcPr>
          <w:p>
            <w:pPr>
              <w:jc w:val="center"/>
            </w:pPr>
            <w:r>
              <w:rPr>
                <w:rFonts w:ascii="Calibri" w:hAnsi="Calibri"/>
                <w:color w:val="333333"/>
                <w:sz w:val="20"/>
              </w:rPr>
              <w:t>Varies</w:t>
            </w:r>
          </w:p>
        </w:tc>
        <w:tc>
          <w:tcPr>
            <w:tcW w:type="dxa" w:w="1728"/>
            <w:shd w:fill="F5F5F5" w:val="clear"/>
          </w:tcPr>
          <w:p>
            <w:pPr>
              <w:jc w:val="center"/>
            </w:pPr>
            <w:r>
              <w:rPr>
                <w:rFonts w:ascii="Calibri" w:hAnsi="Calibri"/>
                <w:color w:val="333333"/>
                <w:sz w:val="20"/>
              </w:rPr>
              <w:t>Institutional-grade. Carta is the cap table software used by most startups — direct marketplace access.</w:t>
            </w:r>
          </w:p>
        </w:tc>
        <w:tc>
          <w:tcPr>
            <w:tcW w:type="dxa" w:w="1728"/>
            <w:shd w:fill="F5F5F5" w:val="clear"/>
          </w:tcPr>
          <w:p>
            <w:pPr>
              <w:jc w:val="center"/>
            </w:pPr>
            <w:r>
              <w:rPr>
                <w:rFonts w:ascii="Calibri" w:hAnsi="Calibri"/>
                <w:color w:val="333333"/>
                <w:sz w:val="20"/>
              </w:rPr>
              <w:t>Medium</w:t>
            </w:r>
          </w:p>
        </w:tc>
      </w:tr>
    </w:tbl>
    <w:p/>
    <w:p>
      <w:pPr>
        <w:spacing w:before="240" w:after="120"/>
      </w:pPr>
      <w:r>
        <w:rPr>
          <w:rFonts w:ascii="Calibri" w:hAnsi="Calibri"/>
          <w:b/>
          <w:color w:val="1B3A5C"/>
          <w:sz w:val="32"/>
        </w:rPr>
        <w:t>Key Risks of Pre-IPO Secondary Investment</w:t>
      </w:r>
    </w:p>
    <w:p>
      <w:pPr>
        <w:pStyle w:val="ListBullet"/>
        <w:spacing w:after="60"/>
        <w:ind w:left="360"/>
      </w:pPr>
      <w:r>
        <w:rPr>
          <w:rFonts w:ascii="Calibri" w:hAnsi="Calibri"/>
          <w:b/>
          <w:color w:val="333333"/>
          <w:sz w:val="22"/>
        </w:rPr>
        <w:t xml:space="preserve">Markup Risk: </w:t>
      </w:r>
      <w:r>
        <w:rPr>
          <w:rFonts w:ascii="Calibri" w:hAnsi="Calibri"/>
          <w:color w:val="333333"/>
          <w:sz w:val="22"/>
        </w:rPr>
        <w:t>You may pay 20-40% above the last round valuation because demand exceeds supply of secondary shares.</w:t>
      </w:r>
    </w:p>
    <w:p>
      <w:pPr>
        <w:pStyle w:val="ListBullet"/>
        <w:spacing w:after="60"/>
        <w:ind w:left="360"/>
      </w:pPr>
      <w:r>
        <w:rPr>
          <w:rFonts w:ascii="Calibri" w:hAnsi="Calibri"/>
          <w:b/>
          <w:color w:val="333333"/>
          <w:sz w:val="22"/>
        </w:rPr>
        <w:t xml:space="preserve">Lock-up Periods: </w:t>
      </w:r>
      <w:r>
        <w:rPr>
          <w:rFonts w:ascii="Calibri" w:hAnsi="Calibri"/>
          <w:color w:val="333333"/>
          <w:sz w:val="22"/>
        </w:rPr>
        <w:t>Lock-up restrictions mean you cannot sell for 6-18 months after an IPO even if it occurs.</w:t>
      </w:r>
    </w:p>
    <w:p>
      <w:pPr>
        <w:pStyle w:val="ListBullet"/>
        <w:spacing w:after="60"/>
        <w:ind w:left="360"/>
      </w:pPr>
      <w:r>
        <w:rPr>
          <w:rFonts w:ascii="Calibri" w:hAnsi="Calibri"/>
          <w:b/>
          <w:color w:val="333333"/>
          <w:sz w:val="22"/>
        </w:rPr>
        <w:t xml:space="preserve">Company Risk: </w:t>
      </w:r>
      <w:r>
        <w:rPr>
          <w:rFonts w:ascii="Calibri" w:hAnsi="Calibri"/>
          <w:color w:val="333333"/>
          <w:sz w:val="22"/>
        </w:rPr>
        <w:t>The company may restructure, be acquired, or fail before reaching IPO. Private companies have less disclosure.</w:t>
      </w:r>
    </w:p>
    <w:p>
      <w:pPr>
        <w:pStyle w:val="ListBullet"/>
        <w:spacing w:after="60"/>
        <w:ind w:left="360"/>
      </w:pPr>
      <w:r>
        <w:rPr>
          <w:rFonts w:ascii="Calibri" w:hAnsi="Calibri"/>
          <w:b/>
          <w:color w:val="333333"/>
          <w:sz w:val="22"/>
        </w:rPr>
        <w:t xml:space="preserve">Tax Complexity: </w:t>
      </w:r>
      <w:r>
        <w:rPr>
          <w:rFonts w:ascii="Calibri" w:hAnsi="Calibri"/>
          <w:color w:val="333333"/>
          <w:sz w:val="22"/>
        </w:rPr>
        <w:t>Tax treatment of secondary transactions can be complex. Consult Robert MacArthur (your CPA) before executing.</w:t>
      </w:r>
    </w:p>
    <w:p>
      <w:pPr>
        <w:pStyle w:val="ListBullet"/>
        <w:spacing w:after="60"/>
        <w:ind w:left="360"/>
      </w:pPr>
      <w:r>
        <w:rPr>
          <w:rFonts w:ascii="Calibri" w:hAnsi="Calibri"/>
          <w:b/>
          <w:color w:val="333333"/>
          <w:sz w:val="22"/>
        </w:rPr>
        <w:t xml:space="preserve">Information Asymmetry: </w:t>
      </w:r>
      <w:r>
        <w:rPr>
          <w:rFonts w:ascii="Calibri" w:hAnsi="Calibri"/>
          <w:color w:val="333333"/>
          <w:sz w:val="22"/>
        </w:rPr>
        <w:t>You're buying from an employee who has inside information about the company's trajectory. They've decided to sell. That's worth thinking about.</w:t>
      </w:r>
    </w:p>
    <w:p>
      <w:pPr>
        <w:spacing w:before="240" w:after="120"/>
      </w:pPr>
      <w:r>
        <w:rPr>
          <w:rFonts w:ascii="Calibri" w:hAnsi="Calibri"/>
          <w:b/>
          <w:color w:val="1B3A5C"/>
          <w:sz w:val="32"/>
        </w:rPr>
        <w:t>The Forge Global (FRGE) Alternative</w:t>
      </w:r>
    </w:p>
    <w:p>
      <w:pPr>
        <w:spacing w:after="120" w:before="40"/>
      </w:pPr>
      <w:r>
        <w:rPr>
          <w:rFonts w:ascii="Calibri" w:hAnsi="Calibri"/>
          <w:color w:val="333333"/>
          <w:sz w:val="22"/>
        </w:rPr>
        <w:t>Here's an interesting angle: instead of buying OpenAI or Anthropic shares pre-IPO, consider buying Forge Global (ticker: FRGE) — the publicly traded marketplace itself. Every pre-IPO transaction generates fees for Forge. As AI companies grow and eventually IPO, Forge captures a percentage. It's the 'picks and shovels' play on the secondary market. Current market cap: small (~$200-400M), making it speculative — but worth tracking.</w:t>
      </w:r>
    </w:p>
    <w:p>
      <w:r>
        <w:br w:type="page"/>
      </w:r>
    </w:p>
    <w:tbl>
      <w:tblPr>
        <w:tblStyle w:val="TableGrid"/>
        <w:tblW w:type="auto" w:w="0"/>
        <w:tblLook w:firstColumn="1" w:firstRow="1" w:lastColumn="0" w:lastRow="0" w:noHBand="0" w:noVBand="1" w:val="04A0"/>
      </w:tblPr>
      <w:tblGrid>
        <w:gridCol w:w="8640"/>
      </w:tblGrid>
      <w:tr>
        <w:tc>
          <w:tcPr>
            <w:tcW w:type="dxa" w:w="8640"/>
            <w:shd w:fill="1B3A5C" w:val="clear"/>
          </w:tcPr>
          <w:p>
            <w:pPr>
              <w:jc w:val="left"/>
            </w:pPr>
            <w:r>
              <w:rPr>
                <w:rFonts w:ascii="Calibri" w:hAnsi="Calibri"/>
                <w:b/>
                <w:color w:val="FFFFFF"/>
                <w:sz w:val="28"/>
              </w:rPr>
              <w:t xml:space="preserve">  SECTION 7  |  JOE'S AI INVESTMENT THESIS — YOUR PERSONALIZED FRAMEWORK</w:t>
            </w:r>
          </w:p>
        </w:tc>
      </w:tr>
    </w:tbl>
    <w:p/>
    <w:p>
      <w:pPr>
        <w:spacing w:before="240" w:after="120"/>
      </w:pPr>
      <w:r>
        <w:rPr>
          <w:rFonts w:ascii="Calibri" w:hAnsi="Calibri"/>
          <w:b/>
          <w:color w:val="1B3A5C"/>
          <w:sz w:val="32"/>
        </w:rPr>
        <w:t>The Central Question</w:t>
      </w:r>
    </w:p>
    <w:p>
      <w:pPr>
        <w:spacing w:after="120" w:before="40"/>
      </w:pPr>
      <w:r>
        <w:rPr>
          <w:rFonts w:ascii="Calibri" w:hAnsi="Calibri"/>
          <w:color w:val="333333"/>
          <w:sz w:val="22"/>
        </w:rPr>
        <w:t>For every AI investment, ask yourself: Am I buying the AI model, or the business that USES the model? The model makers (OpenAI, Anthropic) are expensive and pre-profit. The businesses that USE the models to generate real cash flows (Alphabet's search + DeepMind, Meta's advertising, Microsoft's enterprise) are already generating owner earnings. Buffett would be in the second category.</w:t>
      </w:r>
    </w:p>
    <w:p>
      <w:pPr>
        <w:spacing w:before="240" w:after="120"/>
      </w:pPr>
      <w:r>
        <w:rPr>
          <w:rFonts w:ascii="Calibri" w:hAnsi="Calibri"/>
          <w:b/>
          <w:color w:val="1B3A5C"/>
          <w:sz w:val="32"/>
        </w:rPr>
        <w:t>The Three Buckets — Where Each Play Goes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B3A5C" w:val="clear"/>
          </w:tcPr>
          <w:p>
            <w:pPr>
              <w:jc w:val="center"/>
            </w:pPr>
            <w:r>
              <w:rPr>
                <w:rFonts w:ascii="Calibri" w:hAnsi="Calibri"/>
                <w:b/>
                <w:color w:val="FFFFFF"/>
                <w:sz w:val="20"/>
              </w:rPr>
              <w:t>Position</w:t>
            </w:r>
          </w:p>
        </w:tc>
        <w:tc>
          <w:tcPr>
            <w:tcW w:type="dxa" w:w="1728"/>
            <w:shd w:fill="1B3A5C" w:val="clear"/>
          </w:tcPr>
          <w:p>
            <w:pPr>
              <w:jc w:val="center"/>
            </w:pPr>
            <w:r>
              <w:rPr>
                <w:rFonts w:ascii="Calibri" w:hAnsi="Calibri"/>
                <w:b/>
                <w:color w:val="FFFFFF"/>
                <w:sz w:val="20"/>
              </w:rPr>
              <w:t>Ticker/Vehicle</w:t>
            </w:r>
          </w:p>
        </w:tc>
        <w:tc>
          <w:tcPr>
            <w:tcW w:type="dxa" w:w="1728"/>
            <w:shd w:fill="1B3A5C" w:val="clear"/>
          </w:tcPr>
          <w:p>
            <w:pPr>
              <w:jc w:val="center"/>
            </w:pPr>
            <w:r>
              <w:rPr>
                <w:rFonts w:ascii="Calibri" w:hAnsi="Calibri"/>
                <w:b/>
                <w:color w:val="FFFFFF"/>
                <w:sz w:val="20"/>
              </w:rPr>
              <w:t>Bucket</w:t>
            </w:r>
          </w:p>
        </w:tc>
        <w:tc>
          <w:tcPr>
            <w:tcW w:type="dxa" w:w="1728"/>
            <w:shd w:fill="1B3A5C" w:val="clear"/>
          </w:tcPr>
          <w:p>
            <w:pPr>
              <w:jc w:val="center"/>
            </w:pPr>
            <w:r>
              <w:rPr>
                <w:rFonts w:ascii="Calibri" w:hAnsi="Calibri"/>
                <w:b/>
                <w:color w:val="FFFFFF"/>
                <w:sz w:val="20"/>
              </w:rPr>
              <w:t>Target Entry</w:t>
            </w:r>
          </w:p>
        </w:tc>
        <w:tc>
          <w:tcPr>
            <w:tcW w:type="dxa" w:w="1728"/>
            <w:shd w:fill="1B3A5C" w:val="clear"/>
          </w:tcPr>
          <w:p>
            <w:pPr>
              <w:jc w:val="center"/>
            </w:pPr>
            <w:r>
              <w:rPr>
                <w:rFonts w:ascii="Calibri" w:hAnsi="Calibri"/>
                <w:b/>
                <w:color w:val="FFFFFF"/>
                <w:sz w:val="20"/>
              </w:rPr>
              <w:t>Suggested Size</w:t>
            </w:r>
          </w:p>
        </w:tc>
      </w:tr>
      <w:tr>
        <w:tc>
          <w:tcPr>
            <w:tcW w:type="dxa" w:w="1728"/>
            <w:shd w:fill="E8EFF8" w:val="clear"/>
          </w:tcPr>
          <w:p>
            <w:pPr>
              <w:jc w:val="left"/>
            </w:pPr>
            <w:r>
              <w:rPr>
                <w:rFonts w:ascii="Calibri" w:hAnsi="Calibri"/>
                <w:b/>
                <w:color w:val="1B3A5C"/>
                <w:sz w:val="20"/>
              </w:rPr>
              <w:t>Alphabet</w:t>
            </w:r>
          </w:p>
        </w:tc>
        <w:tc>
          <w:tcPr>
            <w:tcW w:type="dxa" w:w="1728"/>
            <w:shd w:fill="F5F5F5" w:val="clear"/>
          </w:tcPr>
          <w:p>
            <w:pPr>
              <w:jc w:val="center"/>
            </w:pPr>
            <w:r>
              <w:rPr>
                <w:rFonts w:ascii="Calibri" w:hAnsi="Calibri"/>
                <w:b/>
                <w:color w:val="1B3A5C"/>
                <w:sz w:val="20"/>
              </w:rPr>
              <w:t>GOOGL</w:t>
            </w:r>
          </w:p>
        </w:tc>
        <w:tc>
          <w:tcPr>
            <w:tcW w:type="dxa" w:w="1728"/>
            <w:shd w:fill="D4EDDA" w:val="clear"/>
          </w:tcPr>
          <w:p>
            <w:pPr>
              <w:jc w:val="center"/>
            </w:pPr>
            <w:r>
              <w:rPr>
                <w:rFonts w:ascii="Calibri" w:hAnsi="Calibri"/>
                <w:b w:val="0"/>
                <w:color w:val="333333"/>
                <w:sz w:val="20"/>
              </w:rPr>
              <w:t>Core Forever (40yr)</w:t>
            </w:r>
          </w:p>
        </w:tc>
        <w:tc>
          <w:tcPr>
            <w:tcW w:type="dxa" w:w="1728"/>
            <w:shd w:fill="F5F5F5" w:val="clear"/>
          </w:tcPr>
          <w:p>
            <w:pPr>
              <w:jc w:val="center"/>
            </w:pPr>
            <w:r>
              <w:rPr>
                <w:rFonts w:ascii="Calibri" w:hAnsi="Calibri"/>
                <w:b w:val="0"/>
                <w:color w:val="333333"/>
                <w:sz w:val="20"/>
              </w:rPr>
              <w:t>$155–$175</w:t>
            </w:r>
          </w:p>
        </w:tc>
        <w:tc>
          <w:tcPr>
            <w:tcW w:type="dxa" w:w="1728"/>
            <w:shd w:fill="F5F5F5" w:val="clear"/>
          </w:tcPr>
          <w:p>
            <w:pPr>
              <w:jc w:val="center"/>
            </w:pPr>
            <w:r>
              <w:rPr>
                <w:rFonts w:ascii="Calibri" w:hAnsi="Calibri"/>
                <w:b w:val="0"/>
                <w:color w:val="333333"/>
                <w:sz w:val="20"/>
              </w:rPr>
              <w:t>5-7% / $95K–$133K</w:t>
            </w:r>
          </w:p>
        </w:tc>
      </w:tr>
      <w:tr>
        <w:tc>
          <w:tcPr>
            <w:tcW w:type="dxa" w:w="1728"/>
            <w:shd w:fill="E8EFF8" w:val="clear"/>
          </w:tcPr>
          <w:p>
            <w:pPr>
              <w:jc w:val="left"/>
            </w:pPr>
            <w:r>
              <w:rPr>
                <w:rFonts w:ascii="Calibri" w:hAnsi="Calibri"/>
                <w:b/>
                <w:color w:val="1B3A5C"/>
                <w:sz w:val="20"/>
              </w:rPr>
              <w:t>Microsoft</w:t>
            </w:r>
          </w:p>
        </w:tc>
        <w:tc>
          <w:tcPr>
            <w:tcW w:type="dxa" w:w="1728"/>
            <w:shd w:fill="FFFFFF" w:val="clear"/>
          </w:tcPr>
          <w:p>
            <w:pPr>
              <w:jc w:val="center"/>
            </w:pPr>
            <w:r>
              <w:rPr>
                <w:rFonts w:ascii="Calibri" w:hAnsi="Calibri"/>
                <w:b/>
                <w:color w:val="1B3A5C"/>
                <w:sz w:val="20"/>
              </w:rPr>
              <w:t>MSFT</w:t>
            </w:r>
          </w:p>
        </w:tc>
        <w:tc>
          <w:tcPr>
            <w:tcW w:type="dxa" w:w="1728"/>
            <w:shd w:fill="D4EDDA" w:val="clear"/>
          </w:tcPr>
          <w:p>
            <w:pPr>
              <w:jc w:val="center"/>
            </w:pPr>
            <w:r>
              <w:rPr>
                <w:rFonts w:ascii="Calibri" w:hAnsi="Calibri"/>
                <w:b w:val="0"/>
                <w:color w:val="333333"/>
                <w:sz w:val="20"/>
              </w:rPr>
              <w:t>Core Forever (40yr)</w:t>
            </w:r>
          </w:p>
        </w:tc>
        <w:tc>
          <w:tcPr>
            <w:tcW w:type="dxa" w:w="1728"/>
            <w:shd w:fill="FFFFFF" w:val="clear"/>
          </w:tcPr>
          <w:p>
            <w:pPr>
              <w:jc w:val="center"/>
            </w:pPr>
            <w:r>
              <w:rPr>
                <w:rFonts w:ascii="Calibri" w:hAnsi="Calibri"/>
                <w:b w:val="0"/>
                <w:color w:val="333333"/>
                <w:sz w:val="20"/>
              </w:rPr>
              <w:t>$390–$420</w:t>
            </w:r>
          </w:p>
        </w:tc>
        <w:tc>
          <w:tcPr>
            <w:tcW w:type="dxa" w:w="1728"/>
            <w:shd w:fill="FFFFFF" w:val="clear"/>
          </w:tcPr>
          <w:p>
            <w:pPr>
              <w:jc w:val="center"/>
            </w:pPr>
            <w:r>
              <w:rPr>
                <w:rFonts w:ascii="Calibri" w:hAnsi="Calibri"/>
                <w:b w:val="0"/>
                <w:color w:val="333333"/>
                <w:sz w:val="20"/>
              </w:rPr>
              <w:t>4-6% / $76K–$114K</w:t>
            </w:r>
          </w:p>
        </w:tc>
      </w:tr>
      <w:tr>
        <w:tc>
          <w:tcPr>
            <w:tcW w:type="dxa" w:w="1728"/>
            <w:shd w:fill="E8EFF8" w:val="clear"/>
          </w:tcPr>
          <w:p>
            <w:pPr>
              <w:jc w:val="left"/>
            </w:pPr>
            <w:r>
              <w:rPr>
                <w:rFonts w:ascii="Calibri" w:hAnsi="Calibri"/>
                <w:b/>
                <w:color w:val="1B3A5C"/>
                <w:sz w:val="20"/>
              </w:rPr>
              <w:t>Meta Platforms</w:t>
            </w:r>
          </w:p>
        </w:tc>
        <w:tc>
          <w:tcPr>
            <w:tcW w:type="dxa" w:w="1728"/>
            <w:shd w:fill="F5F5F5" w:val="clear"/>
          </w:tcPr>
          <w:p>
            <w:pPr>
              <w:jc w:val="center"/>
            </w:pPr>
            <w:r>
              <w:rPr>
                <w:rFonts w:ascii="Calibri" w:hAnsi="Calibri"/>
                <w:b/>
                <w:color w:val="1B3A5C"/>
                <w:sz w:val="20"/>
              </w:rPr>
              <w:t>META</w:t>
            </w:r>
          </w:p>
        </w:tc>
        <w:tc>
          <w:tcPr>
            <w:tcW w:type="dxa" w:w="1728"/>
            <w:shd w:fill="D4EDDA" w:val="clear"/>
          </w:tcPr>
          <w:p>
            <w:pPr>
              <w:jc w:val="center"/>
            </w:pPr>
            <w:r>
              <w:rPr>
                <w:rFonts w:ascii="Calibri" w:hAnsi="Calibri"/>
                <w:b w:val="0"/>
                <w:color w:val="333333"/>
                <w:sz w:val="20"/>
              </w:rPr>
              <w:t>Core Forever (40yr)</w:t>
            </w:r>
          </w:p>
        </w:tc>
        <w:tc>
          <w:tcPr>
            <w:tcW w:type="dxa" w:w="1728"/>
            <w:shd w:fill="F5F5F5" w:val="clear"/>
          </w:tcPr>
          <w:p>
            <w:pPr>
              <w:jc w:val="center"/>
            </w:pPr>
            <w:r>
              <w:rPr>
                <w:rFonts w:ascii="Calibri" w:hAnsi="Calibri"/>
                <w:b w:val="0"/>
                <w:color w:val="333333"/>
                <w:sz w:val="20"/>
              </w:rPr>
              <w:t>$510–$560</w:t>
            </w:r>
          </w:p>
        </w:tc>
        <w:tc>
          <w:tcPr>
            <w:tcW w:type="dxa" w:w="1728"/>
            <w:shd w:fill="F5F5F5" w:val="clear"/>
          </w:tcPr>
          <w:p>
            <w:pPr>
              <w:jc w:val="center"/>
            </w:pPr>
            <w:r>
              <w:rPr>
                <w:rFonts w:ascii="Calibri" w:hAnsi="Calibri"/>
                <w:b w:val="0"/>
                <w:color w:val="333333"/>
                <w:sz w:val="20"/>
              </w:rPr>
              <w:t>4-5% / $76K–$95K</w:t>
            </w:r>
          </w:p>
        </w:tc>
      </w:tr>
      <w:tr>
        <w:tc>
          <w:tcPr>
            <w:tcW w:type="dxa" w:w="1728"/>
            <w:shd w:fill="E8EFF8" w:val="clear"/>
          </w:tcPr>
          <w:p>
            <w:pPr>
              <w:jc w:val="left"/>
            </w:pPr>
            <w:r>
              <w:rPr>
                <w:rFonts w:ascii="Calibri" w:hAnsi="Calibri"/>
                <w:b/>
                <w:color w:val="1B3A5C"/>
                <w:sz w:val="20"/>
              </w:rPr>
              <w:t>Anthropic (pre-IPO)</w:t>
            </w:r>
          </w:p>
        </w:tc>
        <w:tc>
          <w:tcPr>
            <w:tcW w:type="dxa" w:w="1728"/>
            <w:shd w:fill="FFFFFF" w:val="clear"/>
          </w:tcPr>
          <w:p>
            <w:pPr>
              <w:jc w:val="center"/>
            </w:pPr>
            <w:r>
              <w:rPr>
                <w:rFonts w:ascii="Calibri" w:hAnsi="Calibri"/>
                <w:b/>
                <w:color w:val="1B3A5C"/>
                <w:sz w:val="20"/>
              </w:rPr>
              <w:t>EquityZen/Forge</w:t>
            </w:r>
          </w:p>
        </w:tc>
        <w:tc>
          <w:tcPr>
            <w:tcW w:type="dxa" w:w="1728"/>
            <w:shd w:fill="CCE5FF" w:val="clear"/>
          </w:tcPr>
          <w:p>
            <w:pPr>
              <w:jc w:val="center"/>
            </w:pPr>
            <w:r>
              <w:rPr>
                <w:rFonts w:ascii="Calibri" w:hAnsi="Calibri"/>
                <w:b w:val="0"/>
                <w:color w:val="333333"/>
                <w:sz w:val="20"/>
              </w:rPr>
              <w:t>20-Year Innovation</w:t>
            </w:r>
          </w:p>
        </w:tc>
        <w:tc>
          <w:tcPr>
            <w:tcW w:type="dxa" w:w="1728"/>
            <w:shd w:fill="FFFFFF" w:val="clear"/>
          </w:tcPr>
          <w:p>
            <w:pPr>
              <w:jc w:val="center"/>
            </w:pPr>
            <w:r>
              <w:rPr>
                <w:rFonts w:ascii="Calibri" w:hAnsi="Calibri"/>
                <w:b w:val="0"/>
                <w:color w:val="333333"/>
                <w:sz w:val="20"/>
              </w:rPr>
              <w:t>Secondary mkt</w:t>
            </w:r>
          </w:p>
        </w:tc>
        <w:tc>
          <w:tcPr>
            <w:tcW w:type="dxa" w:w="1728"/>
            <w:shd w:fill="FFFFFF" w:val="clear"/>
          </w:tcPr>
          <w:p>
            <w:pPr>
              <w:jc w:val="center"/>
            </w:pPr>
            <w:r>
              <w:rPr>
                <w:rFonts w:ascii="Calibri" w:hAnsi="Calibri"/>
                <w:b w:val="0"/>
                <w:color w:val="333333"/>
                <w:sz w:val="20"/>
              </w:rPr>
              <w:t>1-2% / $19K–$38K</w:t>
            </w:r>
          </w:p>
        </w:tc>
      </w:tr>
      <w:tr>
        <w:tc>
          <w:tcPr>
            <w:tcW w:type="dxa" w:w="1728"/>
            <w:shd w:fill="E8EFF8" w:val="clear"/>
          </w:tcPr>
          <w:p>
            <w:pPr>
              <w:jc w:val="left"/>
            </w:pPr>
            <w:r>
              <w:rPr>
                <w:rFonts w:ascii="Calibri" w:hAnsi="Calibri"/>
                <w:b/>
                <w:color w:val="1B3A5C"/>
                <w:sz w:val="20"/>
              </w:rPr>
              <w:t>OpenAI (pre-IPO)</w:t>
            </w:r>
          </w:p>
        </w:tc>
        <w:tc>
          <w:tcPr>
            <w:tcW w:type="dxa" w:w="1728"/>
            <w:shd w:fill="F5F5F5" w:val="clear"/>
          </w:tcPr>
          <w:p>
            <w:pPr>
              <w:jc w:val="center"/>
            </w:pPr>
            <w:r>
              <w:rPr>
                <w:rFonts w:ascii="Calibri" w:hAnsi="Calibri"/>
                <w:b/>
                <w:color w:val="1B3A5C"/>
                <w:sz w:val="20"/>
              </w:rPr>
              <w:t>EquityZen/Linqto</w:t>
            </w:r>
          </w:p>
        </w:tc>
        <w:tc>
          <w:tcPr>
            <w:tcW w:type="dxa" w:w="1728"/>
            <w:shd w:fill="CCE5FF" w:val="clear"/>
          </w:tcPr>
          <w:p>
            <w:pPr>
              <w:jc w:val="center"/>
            </w:pPr>
            <w:r>
              <w:rPr>
                <w:rFonts w:ascii="Calibri" w:hAnsi="Calibri"/>
                <w:b w:val="0"/>
                <w:color w:val="333333"/>
                <w:sz w:val="20"/>
              </w:rPr>
              <w:t>20-Year Innovation</w:t>
            </w:r>
          </w:p>
        </w:tc>
        <w:tc>
          <w:tcPr>
            <w:tcW w:type="dxa" w:w="1728"/>
            <w:shd w:fill="F5F5F5" w:val="clear"/>
          </w:tcPr>
          <w:p>
            <w:pPr>
              <w:jc w:val="center"/>
            </w:pPr>
            <w:r>
              <w:rPr>
                <w:rFonts w:ascii="Calibri" w:hAnsi="Calibri"/>
                <w:b w:val="0"/>
                <w:color w:val="333333"/>
                <w:sz w:val="20"/>
              </w:rPr>
              <w:t>Secondary mkt</w:t>
            </w:r>
          </w:p>
        </w:tc>
        <w:tc>
          <w:tcPr>
            <w:tcW w:type="dxa" w:w="1728"/>
            <w:shd w:fill="F5F5F5" w:val="clear"/>
          </w:tcPr>
          <w:p>
            <w:pPr>
              <w:jc w:val="center"/>
            </w:pPr>
            <w:r>
              <w:rPr>
                <w:rFonts w:ascii="Calibri" w:hAnsi="Calibri"/>
                <w:b w:val="0"/>
                <w:color w:val="333333"/>
                <w:sz w:val="20"/>
              </w:rPr>
              <w:t>0.5-1% / $10K–$19K</w:t>
            </w:r>
          </w:p>
        </w:tc>
      </w:tr>
      <w:tr>
        <w:tc>
          <w:tcPr>
            <w:tcW w:type="dxa" w:w="1728"/>
            <w:shd w:fill="E8EFF8" w:val="clear"/>
          </w:tcPr>
          <w:p>
            <w:pPr>
              <w:jc w:val="left"/>
            </w:pPr>
            <w:r>
              <w:rPr>
                <w:rFonts w:ascii="Calibri" w:hAnsi="Calibri"/>
                <w:b/>
                <w:color w:val="1B3A5C"/>
                <w:sz w:val="20"/>
              </w:rPr>
              <w:t>xAI via Tesla</w:t>
            </w:r>
          </w:p>
        </w:tc>
        <w:tc>
          <w:tcPr>
            <w:tcW w:type="dxa" w:w="1728"/>
            <w:shd w:fill="FFFFFF" w:val="clear"/>
          </w:tcPr>
          <w:p>
            <w:pPr>
              <w:jc w:val="center"/>
            </w:pPr>
            <w:r>
              <w:rPr>
                <w:rFonts w:ascii="Calibri" w:hAnsi="Calibri"/>
                <w:b/>
                <w:color w:val="1B3A5C"/>
                <w:sz w:val="20"/>
              </w:rPr>
              <w:t>TSLA</w:t>
            </w:r>
          </w:p>
        </w:tc>
        <w:tc>
          <w:tcPr>
            <w:tcW w:type="dxa" w:w="1728"/>
            <w:shd w:fill="FFF3CD" w:val="clear"/>
          </w:tcPr>
          <w:p>
            <w:pPr>
              <w:jc w:val="center"/>
            </w:pPr>
            <w:r>
              <w:rPr>
                <w:rFonts w:ascii="Calibri" w:hAnsi="Calibri"/>
                <w:b w:val="0"/>
                <w:color w:val="333333"/>
                <w:sz w:val="20"/>
              </w:rPr>
              <w:t>Opportunistic Value (5-7yr)</w:t>
            </w:r>
          </w:p>
        </w:tc>
        <w:tc>
          <w:tcPr>
            <w:tcW w:type="dxa" w:w="1728"/>
            <w:shd w:fill="FFFFFF" w:val="clear"/>
          </w:tcPr>
          <w:p>
            <w:pPr>
              <w:jc w:val="center"/>
            </w:pPr>
            <w:r>
              <w:rPr>
                <w:rFonts w:ascii="Calibri" w:hAnsi="Calibri"/>
                <w:b w:val="0"/>
                <w:color w:val="333333"/>
                <w:sz w:val="20"/>
              </w:rPr>
              <w:t>$200–$250</w:t>
            </w:r>
          </w:p>
        </w:tc>
        <w:tc>
          <w:tcPr>
            <w:tcW w:type="dxa" w:w="1728"/>
            <w:shd w:fill="FFFFFF" w:val="clear"/>
          </w:tcPr>
          <w:p>
            <w:pPr>
              <w:jc w:val="center"/>
            </w:pPr>
            <w:r>
              <w:rPr>
                <w:rFonts w:ascii="Calibri" w:hAnsi="Calibri"/>
                <w:b w:val="0"/>
                <w:color w:val="333333"/>
                <w:sz w:val="20"/>
              </w:rPr>
              <w:t>1-2% / $19K–$38K</w:t>
            </w:r>
          </w:p>
        </w:tc>
      </w:tr>
      <w:tr>
        <w:tc>
          <w:tcPr>
            <w:tcW w:type="dxa" w:w="1728"/>
            <w:shd w:fill="E8EFF8" w:val="clear"/>
          </w:tcPr>
          <w:p>
            <w:pPr>
              <w:jc w:val="left"/>
            </w:pPr>
            <w:r>
              <w:rPr>
                <w:rFonts w:ascii="Calibri" w:hAnsi="Calibri"/>
                <w:b/>
                <w:color w:val="1B3A5C"/>
                <w:sz w:val="20"/>
              </w:rPr>
              <w:t>Nvidia (AI infrastructure)</w:t>
            </w:r>
          </w:p>
        </w:tc>
        <w:tc>
          <w:tcPr>
            <w:tcW w:type="dxa" w:w="1728"/>
            <w:shd w:fill="F5F5F5" w:val="clear"/>
          </w:tcPr>
          <w:p>
            <w:pPr>
              <w:jc w:val="center"/>
            </w:pPr>
            <w:r>
              <w:rPr>
                <w:rFonts w:ascii="Calibri" w:hAnsi="Calibri"/>
                <w:b/>
                <w:color w:val="1B3A5C"/>
                <w:sz w:val="20"/>
              </w:rPr>
              <w:t>NVDA</w:t>
            </w:r>
          </w:p>
        </w:tc>
        <w:tc>
          <w:tcPr>
            <w:tcW w:type="dxa" w:w="1728"/>
            <w:shd w:fill="D4EDDA" w:val="clear"/>
          </w:tcPr>
          <w:p>
            <w:pPr>
              <w:jc w:val="center"/>
            </w:pPr>
            <w:r>
              <w:rPr>
                <w:rFonts w:ascii="Calibri" w:hAnsi="Calibri"/>
                <w:b w:val="0"/>
                <w:color w:val="333333"/>
                <w:sz w:val="20"/>
              </w:rPr>
              <w:t>Core Forever (40yr)</w:t>
            </w:r>
          </w:p>
        </w:tc>
        <w:tc>
          <w:tcPr>
            <w:tcW w:type="dxa" w:w="1728"/>
            <w:shd w:fill="F5F5F5" w:val="clear"/>
          </w:tcPr>
          <w:p>
            <w:pPr>
              <w:jc w:val="center"/>
            </w:pPr>
            <w:r>
              <w:rPr>
                <w:rFonts w:ascii="Calibri" w:hAnsi="Calibri"/>
                <w:b w:val="0"/>
                <w:color w:val="333333"/>
                <w:sz w:val="20"/>
              </w:rPr>
              <w:t>$85–$105</w:t>
            </w:r>
          </w:p>
        </w:tc>
        <w:tc>
          <w:tcPr>
            <w:tcW w:type="dxa" w:w="1728"/>
            <w:shd w:fill="F5F5F5" w:val="clear"/>
          </w:tcPr>
          <w:p>
            <w:pPr>
              <w:jc w:val="center"/>
            </w:pPr>
            <w:r>
              <w:rPr>
                <w:rFonts w:ascii="Calibri" w:hAnsi="Calibri"/>
                <w:b w:val="0"/>
                <w:color w:val="333333"/>
                <w:sz w:val="20"/>
              </w:rPr>
              <w:t>3-4% / $57K–$76K</w:t>
            </w:r>
          </w:p>
        </w:tc>
      </w:tr>
      <w:tr>
        <w:tc>
          <w:tcPr>
            <w:tcW w:type="dxa" w:w="1728"/>
            <w:shd w:fill="E8EFF8" w:val="clear"/>
          </w:tcPr>
          <w:p>
            <w:pPr>
              <w:jc w:val="left"/>
            </w:pPr>
            <w:r>
              <w:rPr>
                <w:rFonts w:ascii="Calibri" w:hAnsi="Calibri"/>
                <w:b/>
                <w:color w:val="1B3A5C"/>
                <w:sz w:val="20"/>
              </w:rPr>
              <w:t>Forge Global (marketplace)</w:t>
            </w:r>
          </w:p>
        </w:tc>
        <w:tc>
          <w:tcPr>
            <w:tcW w:type="dxa" w:w="1728"/>
            <w:shd w:fill="FFFFFF" w:val="clear"/>
          </w:tcPr>
          <w:p>
            <w:pPr>
              <w:jc w:val="center"/>
            </w:pPr>
            <w:r>
              <w:rPr>
                <w:rFonts w:ascii="Calibri" w:hAnsi="Calibri"/>
                <w:b/>
                <w:color w:val="1B3A5C"/>
                <w:sz w:val="20"/>
              </w:rPr>
              <w:t>FRGE</w:t>
            </w:r>
          </w:p>
        </w:tc>
        <w:tc>
          <w:tcPr>
            <w:tcW w:type="dxa" w:w="1728"/>
            <w:shd w:fill="F8D7DA" w:val="clear"/>
          </w:tcPr>
          <w:p>
            <w:pPr>
              <w:jc w:val="center"/>
            </w:pPr>
            <w:r>
              <w:rPr>
                <w:rFonts w:ascii="Calibri" w:hAnsi="Calibri"/>
                <w:b w:val="0"/>
                <w:color w:val="333333"/>
                <w:sz w:val="20"/>
              </w:rPr>
              <w:t>Speculative</w:t>
            </w:r>
          </w:p>
        </w:tc>
        <w:tc>
          <w:tcPr>
            <w:tcW w:type="dxa" w:w="1728"/>
            <w:shd w:fill="FFFFFF" w:val="clear"/>
          </w:tcPr>
          <w:p>
            <w:pPr>
              <w:jc w:val="center"/>
            </w:pPr>
            <w:r>
              <w:rPr>
                <w:rFonts w:ascii="Calibri" w:hAnsi="Calibri"/>
                <w:b w:val="0"/>
                <w:color w:val="333333"/>
                <w:sz w:val="20"/>
              </w:rPr>
              <w:t>Market price</w:t>
            </w:r>
          </w:p>
        </w:tc>
        <w:tc>
          <w:tcPr>
            <w:tcW w:type="dxa" w:w="1728"/>
            <w:shd w:fill="FFFFFF" w:val="clear"/>
          </w:tcPr>
          <w:p>
            <w:pPr>
              <w:jc w:val="center"/>
            </w:pPr>
            <w:r>
              <w:rPr>
                <w:rFonts w:ascii="Calibri" w:hAnsi="Calibri"/>
                <w:b w:val="0"/>
                <w:color w:val="333333"/>
                <w:sz w:val="20"/>
              </w:rPr>
              <w:t>0.5% / $9.5K</w:t>
            </w:r>
          </w:p>
        </w:tc>
      </w:tr>
      <w:tr>
        <w:tc>
          <w:tcPr>
            <w:tcW w:type="dxa" w:w="1728"/>
            <w:shd w:fill="E8EFF8" w:val="clear"/>
          </w:tcPr>
          <w:p>
            <w:pPr>
              <w:jc w:val="left"/>
            </w:pPr>
            <w:r>
              <w:rPr>
                <w:rFonts w:ascii="Calibri" w:hAnsi="Calibri"/>
                <w:b/>
                <w:color w:val="1B3A5C"/>
                <w:sz w:val="20"/>
              </w:rPr>
              <w:t>AI ETF (diversified)</w:t>
            </w:r>
          </w:p>
        </w:tc>
        <w:tc>
          <w:tcPr>
            <w:tcW w:type="dxa" w:w="1728"/>
            <w:shd w:fill="F5F5F5" w:val="clear"/>
          </w:tcPr>
          <w:p>
            <w:pPr>
              <w:jc w:val="center"/>
            </w:pPr>
            <w:r>
              <w:rPr>
                <w:rFonts w:ascii="Calibri" w:hAnsi="Calibri"/>
                <w:b/>
                <w:color w:val="1B3A5C"/>
                <w:sz w:val="20"/>
              </w:rPr>
              <w:t>BOTZ or QQQ</w:t>
            </w:r>
          </w:p>
        </w:tc>
        <w:tc>
          <w:tcPr>
            <w:tcW w:type="dxa" w:w="1728"/>
            <w:shd w:fill="CCE5FF" w:val="clear"/>
          </w:tcPr>
          <w:p>
            <w:pPr>
              <w:jc w:val="center"/>
            </w:pPr>
            <w:r>
              <w:rPr>
                <w:rFonts w:ascii="Calibri" w:hAnsi="Calibri"/>
                <w:b w:val="0"/>
                <w:color w:val="333333"/>
                <w:sz w:val="20"/>
              </w:rPr>
              <w:t>20-Year Innovation</w:t>
            </w:r>
          </w:p>
        </w:tc>
        <w:tc>
          <w:tcPr>
            <w:tcW w:type="dxa" w:w="1728"/>
            <w:shd w:fill="F5F5F5" w:val="clear"/>
          </w:tcPr>
          <w:p>
            <w:pPr>
              <w:jc w:val="center"/>
            </w:pPr>
            <w:r>
              <w:rPr>
                <w:rFonts w:ascii="Calibri" w:hAnsi="Calibri"/>
                <w:b w:val="0"/>
                <w:color w:val="333333"/>
                <w:sz w:val="20"/>
              </w:rPr>
              <w:t>Any entry</w:t>
            </w:r>
          </w:p>
        </w:tc>
        <w:tc>
          <w:tcPr>
            <w:tcW w:type="dxa" w:w="1728"/>
            <w:shd w:fill="F5F5F5" w:val="clear"/>
          </w:tcPr>
          <w:p>
            <w:pPr>
              <w:jc w:val="center"/>
            </w:pPr>
            <w:r>
              <w:rPr>
                <w:rFonts w:ascii="Calibri" w:hAnsi="Calibri"/>
                <w:b w:val="0"/>
                <w:color w:val="333333"/>
                <w:sz w:val="20"/>
              </w:rPr>
              <w:t>2-3% / $38K–$57K</w:t>
            </w:r>
          </w:p>
        </w:tc>
      </w:tr>
      <w:tr>
        <w:tc>
          <w:tcPr>
            <w:tcW w:type="dxa" w:w="1728"/>
            <w:shd w:fill="E8EFF8" w:val="clear"/>
          </w:tcPr>
          <w:p>
            <w:pPr>
              <w:jc w:val="left"/>
            </w:pPr>
            <w:r>
              <w:rPr>
                <w:rFonts w:ascii="Calibri" w:hAnsi="Calibri"/>
                <w:b/>
                <w:color w:val="1B3A5C"/>
                <w:sz w:val="20"/>
              </w:rPr>
              <w:t>John Deere (ag tech)</w:t>
            </w:r>
          </w:p>
        </w:tc>
        <w:tc>
          <w:tcPr>
            <w:tcW w:type="dxa" w:w="1728"/>
            <w:shd w:fill="FFFFFF" w:val="clear"/>
          </w:tcPr>
          <w:p>
            <w:pPr>
              <w:jc w:val="center"/>
            </w:pPr>
            <w:r>
              <w:rPr>
                <w:rFonts w:ascii="Calibri" w:hAnsi="Calibri"/>
                <w:b/>
                <w:color w:val="1B3A5C"/>
                <w:sz w:val="20"/>
              </w:rPr>
              <w:t>DE</w:t>
            </w:r>
          </w:p>
        </w:tc>
        <w:tc>
          <w:tcPr>
            <w:tcW w:type="dxa" w:w="1728"/>
            <w:shd w:fill="FFFFFF" w:val="clear"/>
          </w:tcPr>
          <w:p>
            <w:pPr>
              <w:jc w:val="center"/>
            </w:pPr>
            <w:r>
              <w:rPr>
                <w:rFonts w:ascii="Calibri" w:hAnsi="Calibri"/>
                <w:b w:val="0"/>
                <w:color w:val="333333"/>
                <w:sz w:val="20"/>
              </w:rPr>
              <w:t>Opportunistic Value</w:t>
            </w:r>
          </w:p>
        </w:tc>
        <w:tc>
          <w:tcPr>
            <w:tcW w:type="dxa" w:w="1728"/>
            <w:shd w:fill="FFFFFF" w:val="clear"/>
          </w:tcPr>
          <w:p>
            <w:pPr>
              <w:jc w:val="center"/>
            </w:pPr>
            <w:r>
              <w:rPr>
                <w:rFonts w:ascii="Calibri" w:hAnsi="Calibri"/>
                <w:b w:val="0"/>
                <w:color w:val="333333"/>
                <w:sz w:val="20"/>
              </w:rPr>
              <w:t>$360–$400</w:t>
            </w:r>
          </w:p>
        </w:tc>
        <w:tc>
          <w:tcPr>
            <w:tcW w:type="dxa" w:w="1728"/>
            <w:shd w:fill="FFFFFF" w:val="clear"/>
          </w:tcPr>
          <w:p>
            <w:pPr>
              <w:jc w:val="center"/>
            </w:pPr>
            <w:r>
              <w:rPr>
                <w:rFonts w:ascii="Calibri" w:hAnsi="Calibri"/>
                <w:b w:val="0"/>
                <w:color w:val="333333"/>
                <w:sz w:val="20"/>
              </w:rPr>
              <w:t>1% / $19K</w:t>
            </w:r>
          </w:p>
        </w:tc>
      </w:tr>
      <w:tr>
        <w:tc>
          <w:tcPr>
            <w:tcW w:type="dxa" w:w="1728"/>
            <w:shd w:fill="E8EFF8" w:val="clear"/>
          </w:tcPr>
          <w:p>
            <w:pPr>
              <w:jc w:val="left"/>
            </w:pPr>
            <w:r>
              <w:rPr>
                <w:rFonts w:ascii="Calibri" w:hAnsi="Calibri"/>
                <w:b/>
                <w:color w:val="1B3A5C"/>
                <w:sz w:val="20"/>
              </w:rPr>
              <w:t>Palantir (enterprise AI)</w:t>
            </w:r>
          </w:p>
        </w:tc>
        <w:tc>
          <w:tcPr>
            <w:tcW w:type="dxa" w:w="1728"/>
            <w:shd w:fill="F5F5F5" w:val="clear"/>
          </w:tcPr>
          <w:p>
            <w:pPr>
              <w:jc w:val="center"/>
            </w:pPr>
            <w:r>
              <w:rPr>
                <w:rFonts w:ascii="Calibri" w:hAnsi="Calibri"/>
                <w:b/>
                <w:color w:val="1B3A5C"/>
                <w:sz w:val="20"/>
              </w:rPr>
              <w:t>PLTR</w:t>
            </w:r>
          </w:p>
        </w:tc>
        <w:tc>
          <w:tcPr>
            <w:tcW w:type="dxa" w:w="1728"/>
            <w:shd w:fill="FFFFFF" w:val="clear"/>
          </w:tcPr>
          <w:p>
            <w:pPr>
              <w:jc w:val="center"/>
            </w:pPr>
            <w:r>
              <w:rPr>
                <w:rFonts w:ascii="Calibri" w:hAnsi="Calibri"/>
                <w:b w:val="0"/>
                <w:color w:val="333333"/>
                <w:sz w:val="20"/>
              </w:rPr>
              <w:t>Opportunistic Value</w:t>
            </w:r>
          </w:p>
        </w:tc>
        <w:tc>
          <w:tcPr>
            <w:tcW w:type="dxa" w:w="1728"/>
            <w:shd w:fill="F5F5F5" w:val="clear"/>
          </w:tcPr>
          <w:p>
            <w:pPr>
              <w:jc w:val="center"/>
            </w:pPr>
            <w:r>
              <w:rPr>
                <w:rFonts w:ascii="Calibri" w:hAnsi="Calibri"/>
                <w:b w:val="0"/>
                <w:color w:val="333333"/>
                <w:sz w:val="20"/>
              </w:rPr>
              <w:t>$60–$80</w:t>
            </w:r>
          </w:p>
        </w:tc>
        <w:tc>
          <w:tcPr>
            <w:tcW w:type="dxa" w:w="1728"/>
            <w:shd w:fill="F5F5F5" w:val="clear"/>
          </w:tcPr>
          <w:p>
            <w:pPr>
              <w:jc w:val="center"/>
            </w:pPr>
            <w:r>
              <w:rPr>
                <w:rFonts w:ascii="Calibri" w:hAnsi="Calibri"/>
                <w:b w:val="0"/>
                <w:color w:val="333333"/>
                <w:sz w:val="20"/>
              </w:rPr>
              <w:t>1% / $19K</w:t>
            </w:r>
          </w:p>
        </w:tc>
      </w:tr>
    </w:tbl>
    <w:p/>
    <w:p>
      <w:pPr>
        <w:spacing w:before="240" w:after="120"/>
      </w:pPr>
      <w:r>
        <w:rPr>
          <w:rFonts w:ascii="Calibri" w:hAnsi="Calibri"/>
          <w:b/>
          <w:color w:val="1B3A5C"/>
          <w:sz w:val="32"/>
        </w:rPr>
        <w:t>Position Sizing for a $1.9M Portfolio</w:t>
      </w:r>
    </w:p>
    <w:p>
      <w:pPr>
        <w:spacing w:after="120" w:before="40"/>
      </w:pPr>
      <w:r>
        <w:rPr>
          <w:rFonts w:ascii="Calibri" w:hAnsi="Calibri"/>
          <w:color w:val="333333"/>
          <w:sz w:val="22"/>
        </w:rPr>
        <w:t>Total suggested AI allocation: 20-30% of portfolio ($380K–$570K). This leaves 70-80% for your existing value holdings and cash. Key principles:</w:t>
      </w:r>
    </w:p>
    <w:p>
      <w:pPr>
        <w:pStyle w:val="ListBullet"/>
        <w:spacing w:after="60"/>
        <w:ind w:left="360"/>
      </w:pPr>
      <w:r>
        <w:rPr>
          <w:rFonts w:ascii="Calibri" w:hAnsi="Calibri"/>
          <w:color w:val="333333"/>
          <w:sz w:val="22"/>
        </w:rPr>
        <w:t>Public stocks first (GOOGL, MSFT, META, NVDA): These are your margin-of-safety plays. You can buy today and sell tomorrow if you're wrong.</w:t>
      </w:r>
    </w:p>
    <w:p>
      <w:pPr>
        <w:pStyle w:val="ListBullet"/>
        <w:spacing w:after="60"/>
        <w:ind w:left="360"/>
      </w:pPr>
      <w:r>
        <w:rPr>
          <w:rFonts w:ascii="Calibri" w:hAnsi="Calibri"/>
          <w:color w:val="333333"/>
          <w:sz w:val="22"/>
        </w:rPr>
        <w:t>Pre-IPO positions: Keep total pre-IPO to &lt;5% ($95K). Spread across EquityZen/Forge for liquidity diversification.</w:t>
      </w:r>
    </w:p>
    <w:p>
      <w:pPr>
        <w:pStyle w:val="ListBullet"/>
        <w:spacing w:after="60"/>
        <w:ind w:left="360"/>
      </w:pPr>
      <w:r>
        <w:rPr>
          <w:rFonts w:ascii="Calibri" w:hAnsi="Calibri"/>
          <w:color w:val="333333"/>
          <w:sz w:val="22"/>
        </w:rPr>
        <w:t>No single pre-IPO bet &gt; 2% ($38K): Illiquidity risk demands small position sizing regardless of conviction.</w:t>
      </w:r>
    </w:p>
    <w:p>
      <w:pPr>
        <w:pStyle w:val="ListBullet"/>
        <w:spacing w:after="60"/>
        <w:ind w:left="360"/>
      </w:pPr>
      <w:r>
        <w:rPr>
          <w:rFonts w:ascii="Calibri" w:hAnsi="Calibri"/>
          <w:color w:val="333333"/>
          <w:sz w:val="22"/>
        </w:rPr>
        <w:t>Rebalance annually: AI is moving fast. What looks cheap today may be expensive in 12 months.</w:t>
      </w:r>
    </w:p>
    <w:p>
      <w:pPr>
        <w:spacing w:before="240" w:after="120"/>
      </w:pPr>
      <w:r>
        <w:rPr>
          <w:rFonts w:ascii="Calibri" w:hAnsi="Calibri"/>
          <w:b/>
          <w:color w:val="1B3A5C"/>
          <w:sz w:val="32"/>
        </w:rPr>
        <w:t>Entry Price Targets with Margin of Safety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B3A5C" w:val="clear"/>
          </w:tcPr>
          <w:p>
            <w:pPr>
              <w:jc w:val="center"/>
            </w:pPr>
            <w:r>
              <w:rPr>
                <w:rFonts w:ascii="Calibri" w:hAnsi="Calibri"/>
                <w:b/>
                <w:color w:val="FFFFFF"/>
                <w:sz w:val="20"/>
              </w:rPr>
              <w:t>Stock</w:t>
            </w:r>
          </w:p>
        </w:tc>
        <w:tc>
          <w:tcPr>
            <w:tcW w:type="dxa" w:w="1728"/>
            <w:shd w:fill="1B3A5C" w:val="clear"/>
          </w:tcPr>
          <w:p>
            <w:pPr>
              <w:jc w:val="center"/>
            </w:pPr>
            <w:r>
              <w:rPr>
                <w:rFonts w:ascii="Calibri" w:hAnsi="Calibri"/>
                <w:b/>
                <w:color w:val="FFFFFF"/>
                <w:sz w:val="20"/>
              </w:rPr>
              <w:t>Current Price (Apr 2026 est.)</w:t>
            </w:r>
          </w:p>
        </w:tc>
        <w:tc>
          <w:tcPr>
            <w:tcW w:type="dxa" w:w="1728"/>
            <w:shd w:fill="1B3A5C" w:val="clear"/>
          </w:tcPr>
          <w:p>
            <w:pPr>
              <w:jc w:val="center"/>
            </w:pPr>
            <w:r>
              <w:rPr>
                <w:rFonts w:ascii="Calibri" w:hAnsi="Calibri"/>
                <w:b/>
                <w:color w:val="FFFFFF"/>
                <w:sz w:val="20"/>
              </w:rPr>
              <w:t>Target Entry (MOS)</w:t>
            </w:r>
          </w:p>
        </w:tc>
        <w:tc>
          <w:tcPr>
            <w:tcW w:type="dxa" w:w="1728"/>
            <w:shd w:fill="1B3A5C" w:val="clear"/>
          </w:tcPr>
          <w:p>
            <w:pPr>
              <w:jc w:val="center"/>
            </w:pPr>
            <w:r>
              <w:rPr>
                <w:rFonts w:ascii="Calibri" w:hAnsi="Calibri"/>
                <w:b/>
                <w:color w:val="FFFFFF"/>
                <w:sz w:val="20"/>
              </w:rPr>
              <w:t>Fair Value Est.</w:t>
            </w:r>
          </w:p>
        </w:tc>
        <w:tc>
          <w:tcPr>
            <w:tcW w:type="dxa" w:w="1728"/>
            <w:shd w:fill="1B3A5C" w:val="clear"/>
          </w:tcPr>
          <w:p>
            <w:pPr>
              <w:jc w:val="center"/>
            </w:pPr>
            <w:r>
              <w:rPr>
                <w:rFonts w:ascii="Calibri" w:hAnsi="Calibri"/>
                <w:b/>
                <w:color w:val="FFFFFF"/>
                <w:sz w:val="20"/>
              </w:rPr>
              <w:t>Discount to Fair Value</w:t>
            </w:r>
          </w:p>
        </w:tc>
      </w:tr>
      <w:tr>
        <w:tc>
          <w:tcPr>
            <w:tcW w:type="dxa" w:w="1728"/>
            <w:shd w:fill="E8EFF8" w:val="clear"/>
          </w:tcPr>
          <w:p>
            <w:pPr>
              <w:jc w:val="left"/>
            </w:pPr>
            <w:r>
              <w:rPr>
                <w:rFonts w:ascii="Calibri" w:hAnsi="Calibri"/>
                <w:b/>
                <w:color w:val="1B3A5C"/>
                <w:sz w:val="20"/>
              </w:rPr>
              <w:t>GOOGL</w:t>
            </w:r>
          </w:p>
        </w:tc>
        <w:tc>
          <w:tcPr>
            <w:tcW w:type="dxa" w:w="1728"/>
            <w:shd w:fill="F5F5F5" w:val="clear"/>
          </w:tcPr>
          <w:p>
            <w:pPr>
              <w:jc w:val="center"/>
            </w:pPr>
            <w:r>
              <w:rPr>
                <w:rFonts w:ascii="Calibri" w:hAnsi="Calibri"/>
                <w:b w:val="0"/>
                <w:color w:val="333333"/>
                <w:sz w:val="20"/>
              </w:rPr>
              <w:t>~$165</w:t>
            </w:r>
          </w:p>
        </w:tc>
        <w:tc>
          <w:tcPr>
            <w:tcW w:type="dxa" w:w="1728"/>
            <w:shd w:fill="F5F5F5" w:val="clear"/>
          </w:tcPr>
          <w:p>
            <w:pPr>
              <w:jc w:val="center"/>
            </w:pPr>
            <w:r>
              <w:rPr>
                <w:rFonts w:ascii="Calibri" w:hAnsi="Calibri"/>
                <w:b w:val="0"/>
                <w:color w:val="333333"/>
                <w:sz w:val="20"/>
              </w:rPr>
              <w:t>$155–$175</w:t>
            </w:r>
          </w:p>
        </w:tc>
        <w:tc>
          <w:tcPr>
            <w:tcW w:type="dxa" w:w="1728"/>
            <w:shd w:fill="F5F5F5" w:val="clear"/>
          </w:tcPr>
          <w:p>
            <w:pPr>
              <w:jc w:val="center"/>
            </w:pPr>
            <w:r>
              <w:rPr>
                <w:rFonts w:ascii="Calibri" w:hAnsi="Calibri"/>
                <w:b w:val="0"/>
                <w:color w:val="333333"/>
                <w:sz w:val="20"/>
              </w:rPr>
              <w:t>$220–$240 (3yr)</w:t>
            </w:r>
          </w:p>
        </w:tc>
        <w:tc>
          <w:tcPr>
            <w:tcW w:type="dxa" w:w="1728"/>
            <w:shd w:fill="F5F5F5" w:val="clear"/>
          </w:tcPr>
          <w:p>
            <w:pPr>
              <w:jc w:val="center"/>
            </w:pPr>
            <w:r>
              <w:rPr>
                <w:rFonts w:ascii="Calibri" w:hAnsi="Calibri"/>
                <w:b w:val="0"/>
                <w:color w:val="333333"/>
                <w:sz w:val="20"/>
              </w:rPr>
              <w:t>25-30% upside at entry</w:t>
            </w:r>
          </w:p>
        </w:tc>
      </w:tr>
      <w:tr>
        <w:tc>
          <w:tcPr>
            <w:tcW w:type="dxa" w:w="1728"/>
            <w:shd w:fill="E8EFF8" w:val="clear"/>
          </w:tcPr>
          <w:p>
            <w:pPr>
              <w:jc w:val="left"/>
            </w:pPr>
            <w:r>
              <w:rPr>
                <w:rFonts w:ascii="Calibri" w:hAnsi="Calibri"/>
                <w:b/>
                <w:color w:val="1B3A5C"/>
                <w:sz w:val="20"/>
              </w:rPr>
              <w:t>MSFT</w:t>
            </w:r>
          </w:p>
        </w:tc>
        <w:tc>
          <w:tcPr>
            <w:tcW w:type="dxa" w:w="1728"/>
            <w:shd w:fill="FFFFFF" w:val="clear"/>
          </w:tcPr>
          <w:p>
            <w:pPr>
              <w:jc w:val="center"/>
            </w:pPr>
            <w:r>
              <w:rPr>
                <w:rFonts w:ascii="Calibri" w:hAnsi="Calibri"/>
                <w:b w:val="0"/>
                <w:color w:val="333333"/>
                <w:sz w:val="20"/>
              </w:rPr>
              <w:t>~$400</w:t>
            </w:r>
          </w:p>
        </w:tc>
        <w:tc>
          <w:tcPr>
            <w:tcW w:type="dxa" w:w="1728"/>
            <w:shd w:fill="FFFFFF" w:val="clear"/>
          </w:tcPr>
          <w:p>
            <w:pPr>
              <w:jc w:val="center"/>
            </w:pPr>
            <w:r>
              <w:rPr>
                <w:rFonts w:ascii="Calibri" w:hAnsi="Calibri"/>
                <w:b w:val="0"/>
                <w:color w:val="333333"/>
                <w:sz w:val="20"/>
              </w:rPr>
              <w:t>$390–$420</w:t>
            </w:r>
          </w:p>
        </w:tc>
        <w:tc>
          <w:tcPr>
            <w:tcW w:type="dxa" w:w="1728"/>
            <w:shd w:fill="FFFFFF" w:val="clear"/>
          </w:tcPr>
          <w:p>
            <w:pPr>
              <w:jc w:val="center"/>
            </w:pPr>
            <w:r>
              <w:rPr>
                <w:rFonts w:ascii="Calibri" w:hAnsi="Calibri"/>
                <w:b w:val="0"/>
                <w:color w:val="333333"/>
                <w:sz w:val="20"/>
              </w:rPr>
              <w:t>$500–$550 (3yr)</w:t>
            </w:r>
          </w:p>
        </w:tc>
        <w:tc>
          <w:tcPr>
            <w:tcW w:type="dxa" w:w="1728"/>
            <w:shd w:fill="FFFFFF" w:val="clear"/>
          </w:tcPr>
          <w:p>
            <w:pPr>
              <w:jc w:val="center"/>
            </w:pPr>
            <w:r>
              <w:rPr>
                <w:rFonts w:ascii="Calibri" w:hAnsi="Calibri"/>
                <w:b w:val="0"/>
                <w:color w:val="333333"/>
                <w:sz w:val="20"/>
              </w:rPr>
              <w:t>20-30% upside at entry</w:t>
            </w:r>
          </w:p>
        </w:tc>
      </w:tr>
      <w:tr>
        <w:tc>
          <w:tcPr>
            <w:tcW w:type="dxa" w:w="1728"/>
            <w:shd w:fill="E8EFF8" w:val="clear"/>
          </w:tcPr>
          <w:p>
            <w:pPr>
              <w:jc w:val="left"/>
            </w:pPr>
            <w:r>
              <w:rPr>
                <w:rFonts w:ascii="Calibri" w:hAnsi="Calibri"/>
                <w:b/>
                <w:color w:val="1B3A5C"/>
                <w:sz w:val="20"/>
              </w:rPr>
              <w:t>META</w:t>
            </w:r>
          </w:p>
        </w:tc>
        <w:tc>
          <w:tcPr>
            <w:tcW w:type="dxa" w:w="1728"/>
            <w:shd w:fill="F5F5F5" w:val="clear"/>
          </w:tcPr>
          <w:p>
            <w:pPr>
              <w:jc w:val="center"/>
            </w:pPr>
            <w:r>
              <w:rPr>
                <w:rFonts w:ascii="Calibri" w:hAnsi="Calibri"/>
                <w:b w:val="0"/>
                <w:color w:val="333333"/>
                <w:sz w:val="20"/>
              </w:rPr>
              <w:t>~$535</w:t>
            </w:r>
          </w:p>
        </w:tc>
        <w:tc>
          <w:tcPr>
            <w:tcW w:type="dxa" w:w="1728"/>
            <w:shd w:fill="F5F5F5" w:val="clear"/>
          </w:tcPr>
          <w:p>
            <w:pPr>
              <w:jc w:val="center"/>
            </w:pPr>
            <w:r>
              <w:rPr>
                <w:rFonts w:ascii="Calibri" w:hAnsi="Calibri"/>
                <w:b w:val="0"/>
                <w:color w:val="333333"/>
                <w:sz w:val="20"/>
              </w:rPr>
              <w:t>$510–$560</w:t>
            </w:r>
          </w:p>
        </w:tc>
        <w:tc>
          <w:tcPr>
            <w:tcW w:type="dxa" w:w="1728"/>
            <w:shd w:fill="F5F5F5" w:val="clear"/>
          </w:tcPr>
          <w:p>
            <w:pPr>
              <w:jc w:val="center"/>
            </w:pPr>
            <w:r>
              <w:rPr>
                <w:rFonts w:ascii="Calibri" w:hAnsi="Calibri"/>
                <w:b w:val="0"/>
                <w:color w:val="333333"/>
                <w:sz w:val="20"/>
              </w:rPr>
              <w:t>$700–$750 (3yr)</w:t>
            </w:r>
          </w:p>
        </w:tc>
        <w:tc>
          <w:tcPr>
            <w:tcW w:type="dxa" w:w="1728"/>
            <w:shd w:fill="F5F5F5" w:val="clear"/>
          </w:tcPr>
          <w:p>
            <w:pPr>
              <w:jc w:val="center"/>
            </w:pPr>
            <w:r>
              <w:rPr>
                <w:rFonts w:ascii="Calibri" w:hAnsi="Calibri"/>
                <w:b w:val="0"/>
                <w:color w:val="333333"/>
                <w:sz w:val="20"/>
              </w:rPr>
              <w:t>25-35% upside at entry</w:t>
            </w:r>
          </w:p>
        </w:tc>
      </w:tr>
      <w:tr>
        <w:tc>
          <w:tcPr>
            <w:tcW w:type="dxa" w:w="1728"/>
            <w:shd w:fill="E8EFF8" w:val="clear"/>
          </w:tcPr>
          <w:p>
            <w:pPr>
              <w:jc w:val="left"/>
            </w:pPr>
            <w:r>
              <w:rPr>
                <w:rFonts w:ascii="Calibri" w:hAnsi="Calibri"/>
                <w:b/>
                <w:color w:val="1B3A5C"/>
                <w:sz w:val="20"/>
              </w:rPr>
              <w:t>NVDA</w:t>
            </w:r>
          </w:p>
        </w:tc>
        <w:tc>
          <w:tcPr>
            <w:tcW w:type="dxa" w:w="1728"/>
            <w:shd w:fill="FFFFFF" w:val="clear"/>
          </w:tcPr>
          <w:p>
            <w:pPr>
              <w:jc w:val="center"/>
            </w:pPr>
            <w:r>
              <w:rPr>
                <w:rFonts w:ascii="Calibri" w:hAnsi="Calibri"/>
                <w:b w:val="0"/>
                <w:color w:val="333333"/>
                <w:sz w:val="20"/>
              </w:rPr>
              <w:t>~$95</w:t>
            </w:r>
          </w:p>
        </w:tc>
        <w:tc>
          <w:tcPr>
            <w:tcW w:type="dxa" w:w="1728"/>
            <w:shd w:fill="FFFFFF" w:val="clear"/>
          </w:tcPr>
          <w:p>
            <w:pPr>
              <w:jc w:val="center"/>
            </w:pPr>
            <w:r>
              <w:rPr>
                <w:rFonts w:ascii="Calibri" w:hAnsi="Calibri"/>
                <w:b w:val="0"/>
                <w:color w:val="333333"/>
                <w:sz w:val="20"/>
              </w:rPr>
              <w:t>$85–$105</w:t>
            </w:r>
          </w:p>
        </w:tc>
        <w:tc>
          <w:tcPr>
            <w:tcW w:type="dxa" w:w="1728"/>
            <w:shd w:fill="FFFFFF" w:val="clear"/>
          </w:tcPr>
          <w:p>
            <w:pPr>
              <w:jc w:val="center"/>
            </w:pPr>
            <w:r>
              <w:rPr>
                <w:rFonts w:ascii="Calibri" w:hAnsi="Calibri"/>
                <w:b w:val="0"/>
                <w:color w:val="333333"/>
                <w:sz w:val="20"/>
              </w:rPr>
              <w:t>$150–$180 (3yr)</w:t>
            </w:r>
          </w:p>
        </w:tc>
        <w:tc>
          <w:tcPr>
            <w:tcW w:type="dxa" w:w="1728"/>
            <w:shd w:fill="FFFFFF" w:val="clear"/>
          </w:tcPr>
          <w:p>
            <w:pPr>
              <w:jc w:val="center"/>
            </w:pPr>
            <w:r>
              <w:rPr>
                <w:rFonts w:ascii="Calibri" w:hAnsi="Calibri"/>
                <w:b w:val="0"/>
                <w:color w:val="333333"/>
                <w:sz w:val="20"/>
              </w:rPr>
              <w:t>40-60% upside at entry</w:t>
            </w:r>
          </w:p>
        </w:tc>
      </w:tr>
      <w:tr>
        <w:tc>
          <w:tcPr>
            <w:tcW w:type="dxa" w:w="1728"/>
            <w:shd w:fill="E8EFF8" w:val="clear"/>
          </w:tcPr>
          <w:p>
            <w:pPr>
              <w:jc w:val="left"/>
            </w:pPr>
            <w:r>
              <w:rPr>
                <w:rFonts w:ascii="Calibri" w:hAnsi="Calibri"/>
                <w:b/>
                <w:color w:val="1B3A5C"/>
                <w:sz w:val="20"/>
              </w:rPr>
              <w:t>TSLA</w:t>
            </w:r>
          </w:p>
        </w:tc>
        <w:tc>
          <w:tcPr>
            <w:tcW w:type="dxa" w:w="1728"/>
            <w:shd w:fill="F5F5F5" w:val="clear"/>
          </w:tcPr>
          <w:p>
            <w:pPr>
              <w:jc w:val="center"/>
            </w:pPr>
            <w:r>
              <w:rPr>
                <w:rFonts w:ascii="Calibri" w:hAnsi="Calibri"/>
                <w:b w:val="0"/>
                <w:color w:val="333333"/>
                <w:sz w:val="20"/>
              </w:rPr>
              <w:t>~$230</w:t>
            </w:r>
          </w:p>
        </w:tc>
        <w:tc>
          <w:tcPr>
            <w:tcW w:type="dxa" w:w="1728"/>
            <w:shd w:fill="F5F5F5" w:val="clear"/>
          </w:tcPr>
          <w:p>
            <w:pPr>
              <w:jc w:val="center"/>
            </w:pPr>
            <w:r>
              <w:rPr>
                <w:rFonts w:ascii="Calibri" w:hAnsi="Calibri"/>
                <w:b w:val="0"/>
                <w:color w:val="333333"/>
                <w:sz w:val="20"/>
              </w:rPr>
              <w:t>$200–$250</w:t>
            </w:r>
          </w:p>
        </w:tc>
        <w:tc>
          <w:tcPr>
            <w:tcW w:type="dxa" w:w="1728"/>
            <w:shd w:fill="F5F5F5" w:val="clear"/>
          </w:tcPr>
          <w:p>
            <w:pPr>
              <w:jc w:val="center"/>
            </w:pPr>
            <w:r>
              <w:rPr>
                <w:rFonts w:ascii="Calibri" w:hAnsi="Calibri"/>
                <w:b w:val="0"/>
                <w:color w:val="333333"/>
                <w:sz w:val="20"/>
              </w:rPr>
              <w:t>$300–$400 (5yr)</w:t>
            </w:r>
          </w:p>
        </w:tc>
        <w:tc>
          <w:tcPr>
            <w:tcW w:type="dxa" w:w="1728"/>
            <w:shd w:fill="F5F5F5" w:val="clear"/>
          </w:tcPr>
          <w:p>
            <w:pPr>
              <w:jc w:val="center"/>
            </w:pPr>
            <w:r>
              <w:rPr>
                <w:rFonts w:ascii="Calibri" w:hAnsi="Calibri"/>
                <w:b w:val="0"/>
                <w:color w:val="333333"/>
                <w:sz w:val="20"/>
              </w:rPr>
              <w:t>Speculative — use trailing stop</w:t>
            </w:r>
          </w:p>
        </w:tc>
      </w:tr>
    </w:tbl>
    <w:p/>
    <w:p>
      <w:pPr>
        <w:spacing w:after="120" w:before="40"/>
      </w:pPr>
      <w:r>
        <w:rPr>
          <w:rFonts w:ascii="Calibri" w:hAnsi="Calibri"/>
          <w:color w:val="333333"/>
          <w:sz w:val="22"/>
        </w:rPr>
        <w:t>Note: Price targets are estimates based on analysis as of April 2026. Not financial advice. Verify current prices before executing any trades.</w:t>
      </w:r>
    </w:p>
    <w:p>
      <w:pPr>
        <w:spacing w:before="240" w:after="120"/>
      </w:pPr>
      <w:r>
        <w:rPr>
          <w:rFonts w:ascii="Calibri" w:hAnsi="Calibri"/>
          <w:b/>
          <w:color w:val="1B3A5C"/>
          <w:sz w:val="32"/>
        </w:rPr>
        <w:t>Risk Factors — What Could Go Wrong</w:t>
      </w:r>
    </w:p>
    <w:p>
      <w:pPr>
        <w:pStyle w:val="ListBullet"/>
        <w:spacing w:after="60"/>
        <w:ind w:left="360"/>
      </w:pPr>
      <w:r>
        <w:rPr>
          <w:rFonts w:ascii="Calibri" w:hAnsi="Calibri"/>
          <w:b/>
          <w:color w:val="333333"/>
          <w:sz w:val="22"/>
        </w:rPr>
        <w:t xml:space="preserve">Technical Risk: </w:t>
      </w:r>
      <w:r>
        <w:rPr>
          <w:rFonts w:ascii="Calibri" w:hAnsi="Calibri"/>
          <w:color w:val="333333"/>
          <w:sz w:val="22"/>
        </w:rPr>
        <w:t>Models hit a capability wall: If scaling laws break down and current frontier models can't reach AGI-level reasoning, the entire thesis deflates. Multiple serious AI researchers (LeCun, Marcus) believe this is likely.</w:t>
      </w:r>
    </w:p>
    <w:p>
      <w:pPr>
        <w:pStyle w:val="ListBullet"/>
        <w:spacing w:after="60"/>
        <w:ind w:left="360"/>
      </w:pPr>
      <w:r>
        <w:rPr>
          <w:rFonts w:ascii="Calibri" w:hAnsi="Calibri"/>
          <w:b/>
          <w:color w:val="333333"/>
          <w:sz w:val="22"/>
        </w:rPr>
        <w:t xml:space="preserve">Commoditization Risk: </w:t>
      </w:r>
      <w:r>
        <w:rPr>
          <w:rFonts w:ascii="Calibri" w:hAnsi="Calibri"/>
          <w:color w:val="333333"/>
          <w:sz w:val="22"/>
        </w:rPr>
        <w:t>Open-source models commoditize everything: If LLaMA-5 matches GPT-6, who pays for the expensive closed models? Revenue models collapse.</w:t>
      </w:r>
    </w:p>
    <w:p>
      <w:pPr>
        <w:pStyle w:val="ListBullet"/>
        <w:spacing w:after="60"/>
        <w:ind w:left="360"/>
      </w:pPr>
      <w:r>
        <w:rPr>
          <w:rFonts w:ascii="Calibri" w:hAnsi="Calibri"/>
          <w:b/>
          <w:color w:val="333333"/>
          <w:sz w:val="22"/>
        </w:rPr>
        <w:t xml:space="preserve">Regulatory Risk: </w:t>
      </w:r>
      <w:r>
        <w:rPr>
          <w:rFonts w:ascii="Calibri" w:hAnsi="Calibri"/>
          <w:color w:val="333333"/>
          <w:sz w:val="22"/>
        </w:rPr>
        <w:t>EU/US regulatory crackdown: The EU AI Act is already in force. US legislation is coming. Mandatory licensing, liability frameworks, and compute restrictions could slow deployment.</w:t>
      </w:r>
    </w:p>
    <w:p>
      <w:pPr>
        <w:pStyle w:val="ListBullet"/>
        <w:spacing w:after="60"/>
        <w:ind w:left="360"/>
      </w:pPr>
      <w:r>
        <w:rPr>
          <w:rFonts w:ascii="Calibri" w:hAnsi="Calibri"/>
          <w:b/>
          <w:color w:val="333333"/>
          <w:sz w:val="22"/>
        </w:rPr>
        <w:t xml:space="preserve">Energy Risk: </w:t>
      </w:r>
      <w:r>
        <w:rPr>
          <w:rFonts w:ascii="Calibri" w:hAnsi="Calibri"/>
          <w:color w:val="333333"/>
          <w:sz w:val="22"/>
        </w:rPr>
        <w:t>Energy constraints: Training frontier models requires enormous power. Grid capacity limits may become binding constraints on who can build the best models.</w:t>
      </w:r>
    </w:p>
    <w:p>
      <w:pPr>
        <w:pStyle w:val="ListBullet"/>
        <w:spacing w:after="60"/>
        <w:ind w:left="360"/>
      </w:pPr>
      <w:r>
        <w:rPr>
          <w:rFonts w:ascii="Calibri" w:hAnsi="Calibri"/>
          <w:b/>
          <w:color w:val="333333"/>
          <w:sz w:val="22"/>
        </w:rPr>
        <w:t xml:space="preserve">Geopolitical Risk: </w:t>
      </w:r>
      <w:r>
        <w:rPr>
          <w:rFonts w:ascii="Calibri" w:hAnsi="Calibri"/>
          <w:color w:val="333333"/>
          <w:sz w:val="22"/>
        </w:rPr>
        <w:t>Better hardware elsewhere: If China develops competitive chips bypassing NVIDIA, the current moat structure changes significantly.</w:t>
      </w:r>
    </w:p>
    <w:p>
      <w:pPr>
        <w:pStyle w:val="ListBullet"/>
        <w:spacing w:after="60"/>
        <w:ind w:left="360"/>
      </w:pPr>
      <w:r>
        <w:rPr>
          <w:rFonts w:ascii="Calibri" w:hAnsi="Calibri"/>
          <w:b/>
          <w:color w:val="333333"/>
          <w:sz w:val="22"/>
        </w:rPr>
        <w:t xml:space="preserve">Valuation Risk: </w:t>
      </w:r>
      <w:r>
        <w:rPr>
          <w:rFonts w:ascii="Calibri" w:hAnsi="Calibri"/>
          <w:color w:val="333333"/>
          <w:sz w:val="22"/>
        </w:rPr>
        <w:t>Bubble dynamics: AI excitement may have pushed valuations ahead of fundamentals. A Nasdaq correction could take AI stocks down 30-50% before fundamentals catch up.</w:t>
      </w:r>
    </w:p>
    <w:p>
      <w:pPr>
        <w:spacing w:before="240" w:after="120"/>
      </w:pPr>
      <w:r>
        <w:rPr>
          <w:rFonts w:ascii="Calibri" w:hAnsi="Calibri"/>
          <w:b/>
          <w:color w:val="1B3A5C"/>
          <w:sz w:val="32"/>
        </w:rPr>
        <w:t>Charlie Munger Inversion: What Would Make This Thesis WRONG?</w:t>
      </w:r>
    </w:p>
    <w:tbl>
      <w:tblPr>
        <w:tblStyle w:val="TableGrid"/>
        <w:tblW w:type="auto" w:w="0"/>
        <w:tblLook w:firstColumn="1" w:firstRow="1" w:lastColumn="0" w:lastRow="0" w:noHBand="0" w:noVBand="1" w:val="04A0"/>
      </w:tblPr>
      <w:tblGrid>
        <w:gridCol w:w="8640"/>
      </w:tblGrid>
      <w:tr>
        <w:tc>
          <w:tcPr>
            <w:tcW w:type="dxa" w:w="8640"/>
            <w:shd w:fill="FFE8E8" w:val="clear"/>
          </w:tcPr>
          <w:p>
            <w:r>
              <w:rPr>
                <w:rFonts w:ascii="Calibri" w:hAnsi="Calibri"/>
                <w:b/>
                <w:color w:val="1B3A5C"/>
                <w:sz w:val="22"/>
              </w:rPr>
              <w:t xml:space="preserve">INVERT. ALWAYS INVERT.  </w:t>
            </w:r>
            <w:r>
              <w:rPr>
                <w:rFonts w:ascii="Calibri" w:hAnsi="Calibri"/>
                <w:color w:val="333333"/>
                <w:sz w:val="20"/>
              </w:rPr>
              <w:t>The thesis fails COMPLETELY if: (1) A safety incident (AI-caused harm at scale) triggers regulatory shutdown of frontier model deployment; (2) Compute costs don't decline — Moore's Law stalls and training costs stay at $100M+/run permanently; (3) The 'transformer architecture' hits a fundamental ceiling that cannot be solved by scale; (4) A major geopolitical event (Taiwan conflict affecting TSMC) disrupts the chip supply chain; (5) Energy costs spike globally, making AI training economically unviable. Any ONE of these scenarios is survivable for GOOGL/MSFT/META — they have diversified businesses. They would be fatal for pure-play pre-IPO bets (OpenAI, Anthropic, xAI).</w:t>
            </w:r>
          </w:p>
        </w:tc>
      </w:tr>
    </w:tbl>
    <w:p/>
    <w:p>
      <w:pPr>
        <w:spacing w:before="240" w:after="120"/>
      </w:pPr>
      <w:r>
        <w:rPr>
          <w:rFonts w:ascii="Calibri" w:hAnsi="Calibri"/>
          <w:b/>
          <w:color w:val="1B3A5C"/>
          <w:sz w:val="32"/>
        </w:rPr>
        <w:t>Rob's Bottom Line Recommendations</w:t>
      </w:r>
    </w:p>
    <w:p>
      <w:pPr>
        <w:spacing w:after="120" w:before="40"/>
      </w:pPr>
      <w:r>
        <w:rPr>
          <w:rFonts w:ascii="Calibri" w:hAnsi="Calibri"/>
          <w:color w:val="333333"/>
          <w:sz w:val="22"/>
        </w:rPr>
        <w:t>If I were Joe Lynch sitting on $1.9M and had to deploy capital on April 30, 2026:</w:t>
      </w:r>
    </w:p>
    <w:p>
      <w:pPr>
        <w:pStyle w:val="ListBullet"/>
        <w:spacing w:after="60"/>
        <w:ind w:left="360"/>
      </w:pPr>
      <w:r>
        <w:rPr>
          <w:rFonts w:ascii="Calibri" w:hAnsi="Calibri"/>
          <w:b/>
          <w:color w:val="333333"/>
          <w:sz w:val="22"/>
        </w:rPr>
        <w:t xml:space="preserve">#1 Priority: </w:t>
      </w:r>
      <w:r>
        <w:rPr>
          <w:rFonts w:ascii="Calibri" w:hAnsi="Calibri"/>
          <w:color w:val="333333"/>
          <w:sz w:val="22"/>
        </w:rPr>
        <w:t>Buy GOOGL first. It's the clearest margin-of-safety AI play with real cash flows, a Nobel Prize winner running research, drug discovery spinoffs, and the world's best search moat. Target: $155-$175, 6-7% position ($114K-$133K).</w:t>
      </w:r>
    </w:p>
    <w:p>
      <w:pPr>
        <w:pStyle w:val="ListBullet"/>
        <w:spacing w:after="60"/>
        <w:ind w:left="360"/>
      </w:pPr>
      <w:r>
        <w:rPr>
          <w:rFonts w:ascii="Calibri" w:hAnsi="Calibri"/>
          <w:b/>
          <w:color w:val="333333"/>
          <w:sz w:val="22"/>
        </w:rPr>
        <w:t xml:space="preserve">#2 Priority: </w:t>
      </w:r>
      <w:r>
        <w:rPr>
          <w:rFonts w:ascii="Calibri" w:hAnsi="Calibri"/>
          <w:color w:val="333333"/>
          <w:sz w:val="22"/>
        </w:rPr>
        <w:t>Buy MSFT second. The OpenAI proxy with enterprise AI already monetized. Azure growth is structural. Target: $390-$420, 5% position ($95K).</w:t>
      </w:r>
    </w:p>
    <w:p>
      <w:pPr>
        <w:pStyle w:val="ListBullet"/>
        <w:spacing w:after="60"/>
        <w:ind w:left="360"/>
      </w:pPr>
      <w:r>
        <w:rPr>
          <w:rFonts w:ascii="Calibri" w:hAnsi="Calibri"/>
          <w:b/>
          <w:color w:val="333333"/>
          <w:sz w:val="22"/>
        </w:rPr>
        <w:t xml:space="preserve">#3 Priority: </w:t>
      </w:r>
      <w:r>
        <w:rPr>
          <w:rFonts w:ascii="Calibri" w:hAnsi="Calibri"/>
          <w:color w:val="333333"/>
          <w:sz w:val="22"/>
        </w:rPr>
        <w:t>Buy META third. The underrated value play with 3.3B users and AI-enhanced advertising. Cash flow machine. Target: $510-$560, 4% position ($76K).</w:t>
      </w:r>
    </w:p>
    <w:p>
      <w:pPr>
        <w:pStyle w:val="ListBullet"/>
        <w:spacing w:after="60"/>
        <w:ind w:left="360"/>
      </w:pPr>
      <w:r>
        <w:rPr>
          <w:rFonts w:ascii="Calibri" w:hAnsi="Calibri"/>
          <w:b/>
          <w:color w:val="333333"/>
          <w:sz w:val="22"/>
        </w:rPr>
        <w:t xml:space="preserve">#4 Priority: </w:t>
      </w:r>
      <w:r>
        <w:rPr>
          <w:rFonts w:ascii="Calibri" w:hAnsi="Calibri"/>
          <w:color w:val="333333"/>
          <w:sz w:val="22"/>
        </w:rPr>
        <w:t>Buy NVDA on a dip. The picks-and-shovels play that wins regardless of which AI company wins. Target: $85-$105, 3-4% position ($57K-$76K).</w:t>
      </w:r>
    </w:p>
    <w:p>
      <w:pPr>
        <w:pStyle w:val="ListBullet"/>
        <w:spacing w:after="60"/>
        <w:ind w:left="360"/>
      </w:pPr>
      <w:r>
        <w:rPr>
          <w:rFonts w:ascii="Calibri" w:hAnsi="Calibri"/>
          <w:b/>
          <w:color w:val="333333"/>
          <w:sz w:val="22"/>
        </w:rPr>
        <w:t xml:space="preserve">#5 Speculative: </w:t>
      </w:r>
      <w:r>
        <w:rPr>
          <w:rFonts w:ascii="Calibri" w:hAnsi="Calibri"/>
          <w:color w:val="333333"/>
          <w:sz w:val="22"/>
        </w:rPr>
        <w:t>Open ONE pre-IPO position in Anthropic via EquityZen or Forge. $20K-$38K. Treat as a 5-10 year venture bet, not a stock. The mission and management are the best in the group.</w:t>
      </w:r>
    </w:p>
    <w:p>
      <w:pPr>
        <w:pStyle w:val="ListBullet"/>
        <w:spacing w:after="60"/>
        <w:ind w:left="360"/>
      </w:pPr>
      <w:r>
        <w:rPr>
          <w:rFonts w:ascii="Calibri" w:hAnsi="Calibri"/>
          <w:b/>
          <w:color w:val="333333"/>
          <w:sz w:val="22"/>
        </w:rPr>
        <w:t xml:space="preserve">Skip: </w:t>
      </w:r>
      <w:r>
        <w:rPr>
          <w:rFonts w:ascii="Calibri" w:hAnsi="Calibri"/>
          <w:color w:val="333333"/>
          <w:sz w:val="22"/>
        </w:rPr>
        <w:t>Pass on OpenAI pre-IPO for now. Too expensive ($500B), too much governance complexity, MSFT gives you exposure anyway.</w:t>
      </w:r>
    </w:p>
    <w:p>
      <w:pPr>
        <w:pStyle w:val="ListBullet"/>
        <w:spacing w:after="60"/>
        <w:ind w:left="360"/>
      </w:pPr>
      <w:r>
        <w:rPr>
          <w:rFonts w:ascii="Calibri" w:hAnsi="Calibri"/>
          <w:b/>
          <w:color w:val="333333"/>
          <w:sz w:val="22"/>
        </w:rPr>
        <w:t xml:space="preserve">Monitor: </w:t>
      </w:r>
      <w:r>
        <w:rPr>
          <w:rFonts w:ascii="Calibri" w:hAnsi="Calibri"/>
          <w:color w:val="333333"/>
          <w:sz w:val="22"/>
        </w:rPr>
        <w:t>Monitor xAI. If they IPO and the price is reasonable relative to revenue, revisit. For now, TSLA gives enough exposure.</w:t>
      </w:r>
    </w:p>
    <w:p>
      <w:r>
        <w:br w:type="page"/>
      </w:r>
    </w:p>
    <w:tbl>
      <w:tblPr>
        <w:tblStyle w:val="TableGrid"/>
        <w:tblW w:type="auto" w:w="0"/>
        <w:tblLook w:firstColumn="1" w:firstRow="1" w:lastColumn="0" w:lastRow="0" w:noHBand="0" w:noVBand="1" w:val="04A0"/>
      </w:tblPr>
      <w:tblGrid>
        <w:gridCol w:w="8640"/>
      </w:tblGrid>
      <w:tr>
        <w:tc>
          <w:tcPr>
            <w:tcW w:type="dxa" w:w="8640"/>
            <w:shd w:fill="1B3A5C" w:val="clear"/>
          </w:tcPr>
          <w:p>
            <w:pPr>
              <w:jc w:val="left"/>
            </w:pPr>
            <w:r>
              <w:rPr>
                <w:rFonts w:ascii="Calibri" w:hAnsi="Calibri"/>
                <w:b/>
                <w:color w:val="FFFFFF"/>
                <w:sz w:val="28"/>
              </w:rPr>
              <w:t xml:space="preserve">  SECTION 8  |  SOURCES &amp; DISCLAIMER</w:t>
            </w:r>
          </w:p>
        </w:tc>
      </w:tr>
    </w:tbl>
    <w:p/>
    <w:p>
      <w:pPr>
        <w:spacing w:before="240" w:after="120"/>
      </w:pPr>
      <w:r>
        <w:rPr>
          <w:rFonts w:ascii="Calibri" w:hAnsi="Calibri"/>
          <w:b/>
          <w:color w:val="1B3A5C"/>
          <w:sz w:val="32"/>
        </w:rPr>
        <w:t>Key Data Sources</w:t>
      </w:r>
    </w:p>
    <w:p>
      <w:pPr>
        <w:pStyle w:val="ListBullet"/>
        <w:spacing w:after="60"/>
        <w:ind w:left="360"/>
      </w:pPr>
      <w:r>
        <w:rPr>
          <w:rFonts w:ascii="Calibri" w:hAnsi="Calibri"/>
          <w:color w:val="333333"/>
          <w:sz w:val="22"/>
        </w:rPr>
        <w:t>Wikipedia / Corporate Information: OpenAI, Anthropic, Google DeepMind, xAI, Meta AI, Colossal Biosciences — April 2026</w:t>
      </w:r>
    </w:p>
    <w:p>
      <w:pPr>
        <w:pStyle w:val="ListBullet"/>
        <w:spacing w:after="60"/>
        <w:ind w:left="360"/>
      </w:pPr>
      <w:r>
        <w:rPr>
          <w:rFonts w:ascii="Calibri" w:hAnsi="Calibri"/>
          <w:color w:val="333333"/>
          <w:sz w:val="22"/>
        </w:rPr>
        <w:t>OpenAI Wikipedia: Revenue $13.1B (2025), Net income -$9B (2025 est.), $500B valuation (Oct 2025 share sale), 27% Microsoft ownership post-restructuring</w:t>
      </w:r>
    </w:p>
    <w:p>
      <w:pPr>
        <w:pStyle w:val="ListBullet"/>
        <w:spacing w:after="60"/>
        <w:ind w:left="360"/>
      </w:pPr>
      <w:r>
        <w:rPr>
          <w:rFonts w:ascii="Calibri" w:hAnsi="Calibri"/>
          <w:color w:val="333333"/>
          <w:sz w:val="22"/>
        </w:rPr>
        <w:t>Anthropic Wikipedia: Founded 2021, ~2,500 employees, $380B estimated value (Feb 2026), $30.9B total funding, Amazon $8B investment</w:t>
      </w:r>
    </w:p>
    <w:p>
      <w:pPr>
        <w:pStyle w:val="ListBullet"/>
        <w:spacing w:after="60"/>
        <w:ind w:left="360"/>
      </w:pPr>
      <w:r>
        <w:rPr>
          <w:rFonts w:ascii="Calibri" w:hAnsi="Calibri"/>
          <w:color w:val="333333"/>
          <w:sz w:val="22"/>
        </w:rPr>
        <w:t>Google DeepMind Wikipedia: £1.33B revenue (2024), £217M operating income, £174M net income — PROFITABLE; Nobel Prize in Chemistry 2024 (Hassabis, for AlphaFold)</w:t>
      </w:r>
    </w:p>
    <w:p>
      <w:pPr>
        <w:pStyle w:val="ListBullet"/>
        <w:spacing w:after="60"/>
        <w:ind w:left="360"/>
      </w:pPr>
      <w:r>
        <w:rPr>
          <w:rFonts w:ascii="Calibri" w:hAnsi="Calibri"/>
          <w:color w:val="333333"/>
          <w:sz w:val="22"/>
        </w:rPr>
        <w:t>xAI Wikipedia: $100M annualized revenue (Dec 2024), $12B+ total funding, 100,000+ H100 GPU Colossus cluster, SpaceX subsidiary as of 2026</w:t>
      </w:r>
    </w:p>
    <w:p>
      <w:pPr>
        <w:pStyle w:val="ListBullet"/>
        <w:spacing w:after="60"/>
        <w:ind w:left="360"/>
      </w:pPr>
      <w:r>
        <w:rPr>
          <w:rFonts w:ascii="Calibri" w:hAnsi="Calibri"/>
          <w:color w:val="333333"/>
          <w:sz w:val="22"/>
        </w:rPr>
        <w:t>Colossal Biosciences Wikipedia: $10.2B total equity, 170 employees (2025), spinoffs: Form Bio, ViaGen, Breaking</w:t>
      </w:r>
    </w:p>
    <w:p>
      <w:pPr>
        <w:pStyle w:val="ListBullet"/>
        <w:spacing w:after="60"/>
        <w:ind w:left="360"/>
      </w:pPr>
      <w:r>
        <w:rPr>
          <w:rFonts w:ascii="Calibri" w:hAnsi="Calibri"/>
          <w:color w:val="333333"/>
          <w:sz w:val="22"/>
        </w:rPr>
        <w:t>Meta Platforms: Public company filings, earnings reports; LLaMA open-source strategy; 3.3B+ MAU</w:t>
      </w:r>
    </w:p>
    <w:p>
      <w:pPr>
        <w:pStyle w:val="ListBullet"/>
        <w:spacing w:after="60"/>
        <w:ind w:left="360"/>
      </w:pPr>
      <w:r>
        <w:rPr>
          <w:rFonts w:ascii="Calibri" w:hAnsi="Calibri"/>
          <w:color w:val="333333"/>
          <w:sz w:val="22"/>
        </w:rPr>
        <w:t>Microsoft: Public company filings, Azure AI growth data, OpenAI partnership terms</w:t>
      </w:r>
    </w:p>
    <w:p>
      <w:pPr>
        <w:pStyle w:val="ListBullet"/>
        <w:spacing w:after="60"/>
        <w:ind w:left="360"/>
      </w:pPr>
      <w:r>
        <w:rPr>
          <w:rFonts w:ascii="Calibri" w:hAnsi="Calibri"/>
          <w:color w:val="333333"/>
          <w:sz w:val="22"/>
        </w:rPr>
        <w:t>Isomorphic Labs: Eli Lilly ($2.9B) and Novartis ($1.2B) partnership announcements (2024)</w:t>
      </w:r>
    </w:p>
    <w:p>
      <w:pPr>
        <w:pStyle w:val="ListBullet"/>
        <w:spacing w:after="60"/>
        <w:ind w:left="360"/>
      </w:pPr>
      <w:r>
        <w:rPr>
          <w:rFonts w:ascii="Calibri" w:hAnsi="Calibri"/>
          <w:color w:val="333333"/>
          <w:sz w:val="22"/>
        </w:rPr>
        <w:t>Dario Amodei: 'Machines of Loving Grace' (2024 essay) — anthropic.com</w:t>
      </w:r>
    </w:p>
    <w:p>
      <w:pPr>
        <w:pStyle w:val="ListBullet"/>
        <w:spacing w:after="60"/>
        <w:ind w:left="360"/>
      </w:pPr>
      <w:r>
        <w:rPr>
          <w:rFonts w:ascii="Calibri" w:hAnsi="Calibri"/>
          <w:color w:val="333333"/>
          <w:sz w:val="22"/>
        </w:rPr>
        <w:t>EquityZen, Forge Global, Linqto, Hiive: Platform terms and minimum investment data (April 2026)</w:t>
      </w:r>
    </w:p>
    <w:p>
      <w:pPr>
        <w:pStyle w:val="ListBullet"/>
        <w:spacing w:after="60"/>
        <w:ind w:left="360"/>
      </w:pPr>
      <w:r>
        <w:rPr>
          <w:rFonts w:ascii="Calibri" w:hAnsi="Calibri"/>
          <w:color w:val="333333"/>
          <w:sz w:val="22"/>
        </w:rPr>
        <w:t>AlphaFold Database: deepmind.google/alphafold — 200M+ protein structures</w:t>
      </w:r>
    </w:p>
    <w:p>
      <w:pPr>
        <w:pStyle w:val="ListBullet"/>
        <w:spacing w:after="60"/>
        <w:ind w:left="360"/>
      </w:pPr>
      <w:r>
        <w:rPr>
          <w:rFonts w:ascii="Calibri" w:hAnsi="Calibri"/>
          <w:color w:val="333333"/>
          <w:sz w:val="22"/>
        </w:rPr>
        <w:t>Seeking Alpha Premium: Joe's active subscription for ongoing research</w:t>
      </w:r>
    </w:p>
    <w:p>
      <w:pPr>
        <w:spacing w:before="240" w:after="120"/>
      </w:pPr>
      <w:r>
        <w:rPr>
          <w:rFonts w:ascii="Calibri" w:hAnsi="Calibri"/>
          <w:b/>
          <w:color w:val="1B3A5C"/>
          <w:sz w:val="32"/>
        </w:rPr>
        <w:t>Important Disclaimer</w:t>
      </w:r>
    </w:p>
    <w:tbl>
      <w:tblPr>
        <w:tblStyle w:val="TableGrid"/>
        <w:tblW w:type="auto" w:w="0"/>
        <w:tblLook w:firstColumn="1" w:firstRow="1" w:lastColumn="0" w:lastRow="0" w:noHBand="0" w:noVBand="1" w:val="04A0"/>
      </w:tblPr>
      <w:tblGrid>
        <w:gridCol w:w="8640"/>
      </w:tblGrid>
      <w:tr>
        <w:tc>
          <w:tcPr>
            <w:tcW w:type="dxa" w:w="8640"/>
            <w:shd w:fill="FFE8E8" w:val="clear"/>
          </w:tcPr>
          <w:p>
            <w:r>
              <w:rPr>
                <w:rFonts w:ascii="Calibri" w:hAnsi="Calibri"/>
                <w:b/>
                <w:color w:val="1B3A5C"/>
                <w:sz w:val="22"/>
              </w:rPr>
              <w:t xml:space="preserve">⚠️ DISCLAIMER:  </w:t>
            </w:r>
            <w:r>
              <w:rPr>
                <w:rFonts w:ascii="Calibri" w:hAnsi="Calibri"/>
                <w:color w:val="333333"/>
                <w:sz w:val="20"/>
              </w:rPr>
              <w:t>This research paper was prepared by Rob Lobster (AI assistant) for Joe Lynch's personal investment research purposes only. It does not constitute financial advice, investment recommendations, or an offer to buy or sell securities. All valuations, price targets, and financial projections are estimates based on publicly available information as of April 2026 and may be materially incorrect. Past performance does not predict future results. Investment in pre-IPO securities involves substantial risk of total loss. Joe should consult with Robert MacArthur (CPA) and a licensed financial advisor before making any investment decisions. This paper was prepared by an AI and should be verified against primary sources before any capital is deployed.</w:t>
            </w:r>
          </w:p>
        </w:tc>
      </w:tr>
    </w:tbl>
    <w:p/>
    <w:p>
      <w:pPr>
        <w:spacing w:before="240" w:after="120"/>
      </w:pPr>
      <w:r>
        <w:rPr>
          <w:rFonts w:ascii="Calibri" w:hAnsi="Calibri"/>
          <w:b/>
          <w:color w:val="1B3A5C"/>
          <w:sz w:val="32"/>
        </w:rPr>
        <w:t>About This Report</w:t>
      </w:r>
    </w:p>
    <w:p>
      <w:pPr>
        <w:spacing w:after="120" w:before="40"/>
      </w:pPr>
      <w:r>
        <w:rPr>
          <w:rFonts w:ascii="Calibri" w:hAnsi="Calibri"/>
          <w:color w:val="333333"/>
          <w:sz w:val="22"/>
        </w:rPr>
        <w:t>This 15-page research paper was prepared by Rob Lobster 🦞, Joe Lynch's AI Chief of Staff, powered by Anthropic Claude. It represents approximately 6-8 hours of human-equivalent research compressed into a single session. Rob's mission: help Joe deploy capital wisely on April 30, 2026, with the same rigor a Buffett-style analyst would apply to any investment decision.</w:t>
      </w:r>
    </w:p>
    <w:p>
      <w:pPr>
        <w:spacing w:after="120" w:before="40"/>
      </w:pPr>
      <w:r>
        <w:rPr>
          <w:rFonts w:ascii="Calibri" w:hAnsi="Calibri"/>
          <w:color w:val="333333"/>
          <w:sz w:val="22"/>
        </w:rPr>
        <w:t>The analysis applies Charlie Munger's 'inversion' framework, Buffett's margin-of-safety discipline, and Rob's irreverent but honest take on each company. The goal was not to tell Joe what he wants to hear, but what he needs to hear before committing real money.</w:t>
      </w:r>
    </w:p>
    <w:p/>
    <w:p>
      <w:pPr>
        <w:jc w:val="center"/>
      </w:pPr>
      <w:r>
        <w:rPr>
          <w:rFonts w:ascii="Calibri" w:hAnsi="Calibri"/>
          <w:b/>
          <w:color w:val="1B3A5C"/>
          <w:sz w:val="24"/>
        </w:rPr>
        <w:t>— End of Report —</w:t>
      </w:r>
    </w:p>
    <w:p/>
    <w:p>
      <w:pPr>
        <w:jc w:val="center"/>
      </w:pPr>
      <w:r>
        <w:rPr>
          <w:rFonts w:ascii="Calibri" w:hAnsi="Calibri"/>
          <w:i/>
          <w:color w:val="333333"/>
          <w:sz w:val="20"/>
        </w:rPr>
        <w:t>Rob Lobster 🦞  |  Chief of Staff to Joe Lynch  |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