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C8962E"/>
          <w:sz w:val="18"/>
        </w:rPr>
        <w:t>CONFIDENTIAL</w:t>
      </w:r>
    </w:p>
    <w:p>
      <w:pPr>
        <w:spacing w:before="0" w:after="160"/>
        <w:jc w:val="center"/>
      </w:pPr>
      <w:r>
        <w:rPr>
          <w:color w:val="C8962E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20"/>
      </w:pPr>
      <w:r>
        <w:rPr>
          <w:rFonts w:ascii="Calibri" w:hAnsi="Calibri"/>
          <w:b/>
          <w:color w:val="1B2A4A"/>
          <w:sz w:val="20"/>
        </w:rPr>
        <w:t xml:space="preserve">TO:       </w:t>
      </w:r>
      <w:r>
        <w:rPr>
          <w:rFonts w:ascii="Calibri" w:hAnsi="Calibri"/>
          <w:color w:val="333333"/>
          <w:sz w:val="20"/>
        </w:rPr>
        <w:t>Robert MacArthur, CPA</w:t>
      </w:r>
    </w:p>
    <w:p>
      <w:pPr>
        <w:spacing w:before="0" w:after="20"/>
      </w:pPr>
      <w:r>
        <w:rPr>
          <w:rFonts w:ascii="Calibri" w:hAnsi="Calibri"/>
          <w:b/>
          <w:color w:val="1B2A4A"/>
          <w:sz w:val="20"/>
        </w:rPr>
        <w:t xml:space="preserve">FROM:  </w:t>
      </w:r>
      <w:r>
        <w:rPr>
          <w:rFonts w:ascii="Calibri" w:hAnsi="Calibri"/>
          <w:color w:val="333333"/>
          <w:sz w:val="20"/>
        </w:rPr>
        <w:t>Joe Lynch, Managing Member — Tuckerton Group</w:t>
      </w:r>
    </w:p>
    <w:p>
      <w:pPr>
        <w:spacing w:before="0" w:after="20"/>
      </w:pPr>
      <w:r>
        <w:rPr>
          <w:rFonts w:ascii="Calibri" w:hAnsi="Calibri"/>
          <w:b/>
          <w:color w:val="1B2A4A"/>
          <w:sz w:val="20"/>
        </w:rPr>
        <w:t xml:space="preserve">DATE:   </w:t>
      </w:r>
      <w:r>
        <w:rPr>
          <w:rFonts w:ascii="Calibri" w:hAnsi="Calibri"/>
          <w:color w:val="333333"/>
          <w:sz w:val="20"/>
        </w:rPr>
        <w:t>April 11, 2026</w:t>
      </w:r>
    </w:p>
    <w:p>
      <w:pPr>
        <w:spacing w:before="0" w:after="20"/>
      </w:pPr>
      <w:r>
        <w:rPr>
          <w:rFonts w:ascii="Calibri" w:hAnsi="Calibri"/>
          <w:b/>
          <w:color w:val="1B2A4A"/>
          <w:sz w:val="20"/>
        </w:rPr>
        <w:t xml:space="preserve">RE:       </w:t>
      </w:r>
      <w:r>
        <w:rPr>
          <w:rFonts w:ascii="Calibri" w:hAnsi="Calibri"/>
          <w:color w:val="333333"/>
          <w:sz w:val="20"/>
        </w:rPr>
        <w:t>Compensation Adjustment — 2026</w:t>
      </w:r>
    </w:p>
    <w:p>
      <w:pPr>
        <w:spacing w:before="120" w:after="160"/>
        <w:jc w:val="center"/>
      </w:pPr>
      <w:r>
        <w:rPr>
          <w:color w:val="C8962E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  <w:pBdr>
          <w:bottom w:val="single" w:sz="4" w:space="1" w:color="C8962E"/>
        </w:pBdr>
      </w:pPr>
      <w:r>
        <w:rPr>
          <w:rFonts w:ascii="Calibri" w:hAnsi="Calibri"/>
          <w:b/>
          <w:color w:val="1B2A4A"/>
          <w:sz w:val="22"/>
        </w:rPr>
        <w:t>SCOPE OF RESPONSIBILITIES</w:t>
      </w:r>
    </w:p>
    <w:p>
      <w:pPr>
        <w:spacing w:before="40" w:after="40"/>
      </w:pPr>
      <w:r>
        <w:rPr>
          <w:rFonts w:ascii="Calibri" w:hAnsi="Calibri"/>
          <w:color w:val="333333"/>
          <w:sz w:val="20"/>
        </w:rPr>
        <w:t>As sole Managing Member with no other executives on payroll, I serve all C-suite functions across: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33333"/>
          <w:sz w:val="20"/>
        </w:rPr>
        <w:t xml:space="preserve">Tuckerton Lumber Company — </w:t>
      </w:r>
      <w:r>
        <w:rPr>
          <w:rFonts w:ascii="Calibri" w:hAnsi="Calibri"/>
          <w:color w:val="333333"/>
          <w:sz w:val="20"/>
        </w:rPr>
        <w:t>$16.5M annual revenue, ~25 employees, 2 locations, Epicor ERP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33333"/>
          <w:sz w:val="20"/>
        </w:rPr>
        <w:t xml:space="preserve">Surfbox Portable Storage — </w:t>
      </w:r>
      <w:r>
        <w:rPr>
          <w:rFonts w:ascii="Calibri" w:hAnsi="Calibri"/>
          <w:color w:val="333333"/>
          <w:sz w:val="20"/>
        </w:rPr>
        <w:t>$708K+ revenue, 285+ units, built from zero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33333"/>
          <w:sz w:val="20"/>
        </w:rPr>
        <w:t xml:space="preserve">Real Estate Portfolio — </w:t>
      </w:r>
      <w:r>
        <w:rPr>
          <w:rFonts w:ascii="Calibri" w:hAnsi="Calibri"/>
          <w:color w:val="333333"/>
          <w:sz w:val="20"/>
        </w:rPr>
        <w:t>$12M+ in assets across multiple LLCs; active zoning, renovations, value-add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33333"/>
          <w:sz w:val="20"/>
        </w:rPr>
        <w:t xml:space="preserve">Business Development — </w:t>
      </w:r>
      <w:r>
        <w:rPr>
          <w:rFonts w:ascii="Calibri" w:hAnsi="Calibri"/>
          <w:color w:val="333333"/>
          <w:sz w:val="20"/>
        </w:rPr>
        <w:t>Acquisitions pipeline, new ventures, capital allocation</w:t>
      </w:r>
    </w:p>
    <w:p>
      <w:pPr>
        <w:spacing w:before="200" w:after="80"/>
        <w:pBdr>
          <w:bottom w:val="single" w:sz="4" w:space="1" w:color="C8962E"/>
        </w:pBdr>
      </w:pPr>
      <w:r>
        <w:rPr>
          <w:rFonts w:ascii="Calibri" w:hAnsi="Calibri"/>
          <w:b/>
          <w:color w:val="1B2A4A"/>
          <w:sz w:val="22"/>
        </w:rPr>
        <w:t>MARKET COMPENSATION —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2A4A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86"/>
            <w:shd w:fill="1B2A4A" w:val="clea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Market Range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CEO, Private Co. ($15–20M rev, building materials)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color w:val="333333"/>
                <w:sz w:val="18"/>
              </w:rPr>
              <w:t>$250K – $400K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Real Estate Portfolio Mgr ($12M+ assets)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color w:val="333333"/>
                <w:sz w:val="18"/>
              </w:rPr>
              <w:t>$150K – $200K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Startup CEO (portable storage, sub-$1M)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rFonts w:ascii="Calibri" w:hAnsi="Calibri"/>
                <w:color w:val="333333"/>
                <w:sz w:val="18"/>
              </w:rPr>
              <w:t>$80K – $120K</w:t>
            </w:r>
          </w:p>
        </w:tc>
      </w:tr>
      <w:tr>
        <w:tc>
          <w:tcPr>
            <w:tcW w:type="dxa" w:w="4986"/>
            <w:shd w:fill="FFF3D6" w:val="clear"/>
          </w:tcPr>
          <w:p>
            <w:r/>
            <w:r>
              <w:rPr>
                <w:rFonts w:ascii="Calibri" w:hAnsi="Calibri"/>
                <w:b/>
                <w:color w:val="1B2A4A"/>
                <w:sz w:val="18"/>
              </w:rPr>
              <w:t>Combined Fair Market Value</w:t>
            </w:r>
          </w:p>
        </w:tc>
        <w:tc>
          <w:tcPr>
            <w:tcW w:type="dxa" w:w="4986"/>
            <w:shd w:fill="FFF3D6" w:val="clear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B2A4A"/>
                <w:sz w:val="18"/>
              </w:rPr>
              <w:t>$400K – $550K</w:t>
            </w:r>
          </w:p>
        </w:tc>
      </w:tr>
    </w:tbl>
    <w:p>
      <w:pPr>
        <w:spacing w:before="40" w:after="40"/>
      </w:pPr>
      <w:r>
        <w:rPr>
          <w:rFonts w:ascii="Calibri" w:hAnsi="Calibri"/>
          <w:i/>
          <w:color w:val="555555"/>
          <w:sz w:val="16"/>
        </w:rPr>
        <w:t>Sources: SalaryCube, BDO Private Company Compensation Survey, Salary.com</w:t>
      </w:r>
    </w:p>
    <w:p>
      <w:pPr>
        <w:spacing w:before="200" w:after="80"/>
        <w:pBdr>
          <w:bottom w:val="single" w:sz="4" w:space="1" w:color="C8962E"/>
        </w:pBdr>
      </w:pPr>
      <w:r>
        <w:rPr>
          <w:rFonts w:ascii="Calibri" w:hAnsi="Calibri"/>
          <w:b/>
          <w:color w:val="1B2A4A"/>
          <w:sz w:val="22"/>
        </w:rPr>
        <w:t>THE ASK</w:t>
      </w:r>
    </w:p>
    <w:p>
      <w:pPr>
        <w:spacing w:before="40" w:after="40"/>
      </w:pPr>
      <w:r>
        <w:rPr>
          <w:rFonts w:ascii="Calibri" w:hAnsi="Calibri"/>
          <w:color w:val="333333"/>
          <w:sz w:val="20"/>
        </w:rPr>
        <w:t>Increase annual compensation from $175,000 to $275,000–$300,000 as W-2 salary.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20"/>
        </w:rPr>
        <w:t>This represents 60–70% of combined market value — well below full market rate</w:t>
      </w:r>
    </w:p>
    <w:p>
      <w:pPr>
        <w:pStyle w:val="ListBullet"/>
        <w:spacing w:before="20" w:after="20"/>
      </w:pPr>
      <w:r>
        <w:rPr>
          <w:rFonts w:ascii="Calibri" w:hAnsi="Calibri"/>
          <w:color w:val="333333"/>
          <w:sz w:val="20"/>
        </w:rPr>
        <w:t>W-2 structure unlocks $62,000+ in annual retirement contributions (Solo 401k / defined benefit plan)</w:t>
      </w:r>
    </w:p>
    <w:p>
      <w:pPr>
        <w:spacing w:before="200" w:after="80"/>
        <w:pBdr>
          <w:bottom w:val="single" w:sz="4" w:space="1" w:color="C8962E"/>
        </w:pBdr>
      </w:pPr>
      <w:r>
        <w:rPr>
          <w:rFonts w:ascii="Calibri" w:hAnsi="Calibri"/>
          <w:b/>
          <w:color w:val="1B2A4A"/>
          <w:sz w:val="22"/>
        </w:rPr>
        <w:t>VALUATION CONSIDERATION</w:t>
      </w:r>
    </w:p>
    <w:p>
      <w:pPr>
        <w:spacing w:before="40" w:after="40"/>
      </w:pPr>
      <w:r>
        <w:rPr>
          <w:rFonts w:ascii="Calibri" w:hAnsi="Calibri"/>
          <w:color w:val="333333"/>
          <w:sz w:val="20"/>
        </w:rPr>
        <w:t>Below-market compensation artificially inflates current EBITDA. However, any buyer at exit will normalize owner compensation to market rate (~$400K+), reducing adjusted EBITDA and sale price. Paying closer to market now produces a more accurate P&amp;L without sacrificing exit value.</w:t>
      </w:r>
    </w:p>
    <w:p>
      <w:pPr>
        <w:spacing w:before="200" w:after="80"/>
        <w:pBdr>
          <w:bottom w:val="single" w:sz="4" w:space="1" w:color="C8962E"/>
        </w:pBdr>
      </w:pPr>
      <w:r>
        <w:rPr>
          <w:rFonts w:ascii="Calibri" w:hAnsi="Calibri"/>
          <w:b/>
          <w:color w:val="1B2A4A"/>
          <w:sz w:val="22"/>
        </w:rPr>
        <w:t>QUESTIONS FOR ROBERT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33333"/>
          <w:sz w:val="20"/>
        </w:rPr>
        <w:t xml:space="preserve">Back Pay Structure — </w:t>
      </w:r>
      <w:r>
        <w:rPr>
          <w:rFonts w:ascii="Calibri" w:hAnsi="Calibri"/>
          <w:color w:val="333333"/>
          <w:sz w:val="20"/>
        </w:rPr>
        <w:t>Can the ~$150K in deferred first-year compensation be structured as a loan repayment rather than W-2 income? What documentation would be needed?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33333"/>
          <w:sz w:val="20"/>
        </w:rPr>
        <w:t xml:space="preserve">W-2 vs. Management Fee — </w:t>
      </w:r>
      <w:r>
        <w:rPr>
          <w:rFonts w:ascii="Calibri" w:hAnsi="Calibri"/>
          <w:color w:val="333333"/>
          <w:sz w:val="20"/>
        </w:rPr>
        <w:t>What is the optimal split between W-2 salary and management fee for tax efficiency at the $275K–$300K level?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33333"/>
          <w:sz w:val="20"/>
        </w:rPr>
        <w:t xml:space="preserve">Retirement Vehicle — </w:t>
      </w:r>
      <w:r>
        <w:rPr>
          <w:rFonts w:ascii="Calibri" w:hAnsi="Calibri"/>
          <w:color w:val="333333"/>
          <w:sz w:val="20"/>
        </w:rPr>
        <w:t>Which retirement vehicle (Solo 401k, SEP-IRA, or defined benefit plan) maximizes contributions given the new compensation level?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33333"/>
          <w:sz w:val="20"/>
        </w:rPr>
        <w:t xml:space="preserve">Timing — </w:t>
      </w:r>
      <w:r>
        <w:rPr>
          <w:rFonts w:ascii="Calibri" w:hAnsi="Calibri"/>
          <w:color w:val="333333"/>
          <w:sz w:val="20"/>
        </w:rPr>
        <w:t>What is the recommended effective date and implementation timeline for 2026?</w:t>
      </w:r>
    </w:p>
    <w:p>
      <w:pPr>
        <w:spacing w:before="200" w:after="80"/>
        <w:jc w:val="center"/>
      </w:pPr>
      <w:r>
        <w:rPr>
          <w:color w:val="C8962E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/>
        <w:jc w:val="center"/>
      </w:pPr>
      <w:r>
        <w:rPr>
          <w:rFonts w:ascii="Calibri" w:hAnsi="Calibri"/>
          <w:i/>
          <w:color w:val="555555"/>
          <w:sz w:val="16"/>
        </w:rPr>
        <w:t>Prepared for discussion purposes. All figures subject to CPA review and approval.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