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0A7C1" w14:textId="77777777" w:rsidR="002A7D06" w:rsidRDefault="00C914FB">
      <w:pPr>
        <w:spacing w:line="276" w:lineRule="auto"/>
        <w:jc w:val="center"/>
      </w:pPr>
      <w:r>
        <w:rPr>
          <w:rFonts w:ascii="Calibri" w:hAnsi="Calibri"/>
          <w:b/>
          <w:bCs/>
          <w:color w:val="1F3864"/>
          <w:sz w:val="28"/>
          <w:szCs w:val="28"/>
        </w:rPr>
        <w:t>MANAGEMENT COMPENSATION ADJUSTMENT — 2026</w:t>
      </w:r>
    </w:p>
    <w:p w14:paraId="3FC09478" w14:textId="77777777" w:rsidR="002A7D06" w:rsidRDefault="00C914FB">
      <w:pPr>
        <w:spacing w:before="80" w:line="276" w:lineRule="auto"/>
        <w:jc w:val="center"/>
      </w:pPr>
      <w:r>
        <w:rPr>
          <w:rFonts w:ascii="Calibri" w:hAnsi="Calibri"/>
          <w:i/>
          <w:iCs/>
          <w:color w:val="666666"/>
          <w:sz w:val="20"/>
          <w:szCs w:val="20"/>
        </w:rPr>
        <w:t>Confidential — For Review by Robert MacArthur, CPA / Controller</w:t>
      </w:r>
    </w:p>
    <w:p w14:paraId="5A0C9503" w14:textId="6585930F" w:rsidR="002A7D06" w:rsidRDefault="00C914FB">
      <w:pPr>
        <w:spacing w:before="80" w:after="400" w:line="276" w:lineRule="auto"/>
        <w:jc w:val="center"/>
      </w:pPr>
      <w:r>
        <w:rPr>
          <w:rFonts w:ascii="Calibri" w:hAnsi="Calibri"/>
          <w:color w:val="666666"/>
          <w:sz w:val="20"/>
          <w:szCs w:val="20"/>
        </w:rPr>
        <w:t xml:space="preserve">Prepared by: Joe, Managing Member, TLC II LLC / Valet Box LLC / Surfbox NNC </w:t>
      </w:r>
      <w:proofErr w:type="gramStart"/>
      <w:r>
        <w:rPr>
          <w:rFonts w:ascii="Calibri" w:hAnsi="Calibri"/>
          <w:color w:val="666666"/>
          <w:sz w:val="20"/>
          <w:szCs w:val="20"/>
        </w:rPr>
        <w:t>LLC  |</w:t>
      </w:r>
      <w:proofErr w:type="gramEnd"/>
      <w:r>
        <w:rPr>
          <w:rFonts w:ascii="Calibri" w:hAnsi="Calibri"/>
          <w:color w:val="666666"/>
          <w:sz w:val="20"/>
          <w:szCs w:val="20"/>
        </w:rPr>
        <w:t xml:space="preserve">  </w:t>
      </w:r>
      <w:r w:rsidR="009A5BAD">
        <w:rPr>
          <w:rFonts w:ascii="Calibri" w:hAnsi="Calibri"/>
          <w:color w:val="666666"/>
          <w:sz w:val="20"/>
          <w:szCs w:val="20"/>
        </w:rPr>
        <w:t>April 28th</w:t>
      </w:r>
      <w:proofErr w:type="gramStart"/>
      <w:r>
        <w:rPr>
          <w:rFonts w:ascii="Calibri" w:hAnsi="Calibri"/>
          <w:color w:val="666666"/>
          <w:sz w:val="20"/>
          <w:szCs w:val="20"/>
        </w:rPr>
        <w:t xml:space="preserve"> 2026</w:t>
      </w:r>
      <w:proofErr w:type="gramEnd"/>
    </w:p>
    <w:p w14:paraId="2FBD70A1" w14:textId="77777777" w:rsidR="002A7D06" w:rsidRDefault="00C914FB">
      <w:pPr>
        <w:spacing w:before="320" w:after="140" w:line="276" w:lineRule="auto"/>
      </w:pPr>
      <w:r>
        <w:rPr>
          <w:rFonts w:ascii="Calibri" w:hAnsi="Calibri"/>
          <w:b/>
          <w:bCs/>
          <w:color w:val="1F3864"/>
          <w:sz w:val="24"/>
          <w:szCs w:val="24"/>
        </w:rPr>
        <w:t>Purpose</w:t>
      </w:r>
    </w:p>
    <w:p w14:paraId="1196907B" w14:textId="77777777" w:rsidR="002A7D06" w:rsidRDefault="00C914FB">
      <w:pPr>
        <w:spacing w:after="140" w:line="276" w:lineRule="auto"/>
      </w:pPr>
      <w:r>
        <w:rPr>
          <w:rFonts w:ascii="Calibri" w:hAnsi="Calibri"/>
          <w:sz w:val="21"/>
        </w:rPr>
        <w:t>This memo outlines the plan to adjust management compensation for the managing member effective 2026, including the rationale, market data, proposed figures, treatment of deferred compensation from prior years, outstanding distribution obligations, and existing loan commitments. I am requesting your review and guidance on how best to book these adjustments.</w:t>
      </w:r>
    </w:p>
    <w:p w14:paraId="583176CE" w14:textId="77777777" w:rsidR="002A7D06" w:rsidRDefault="00C914FB">
      <w:pPr>
        <w:spacing w:before="320" w:after="140" w:line="276" w:lineRule="auto"/>
      </w:pPr>
      <w:r>
        <w:rPr>
          <w:rFonts w:ascii="Calibri" w:hAnsi="Calibri"/>
          <w:b/>
          <w:bCs/>
          <w:color w:val="1F3864"/>
          <w:sz w:val="24"/>
          <w:szCs w:val="24"/>
        </w:rPr>
        <w:t>Background</w:t>
      </w:r>
    </w:p>
    <w:p w14:paraId="7CA7988B" w14:textId="77777777" w:rsidR="002A7D06" w:rsidRDefault="00C914FB">
      <w:pPr>
        <w:spacing w:after="140" w:line="276" w:lineRule="auto"/>
      </w:pPr>
      <w:r>
        <w:rPr>
          <w:rFonts w:ascii="Calibri" w:hAnsi="Calibri"/>
          <w:sz w:val="21"/>
        </w:rPr>
        <w:t>When we acquired Tuckerton Lumber in 2020, the management structure was designed for two principals sharing leadership responsibilities. My former partner, Mr. Dwier, was compensated at the same rate as me through July 2024, when he was terminated for cause. Since his departure, I have been the sole managing member responsible for all operations, strategy, banking, personnel, capital projects, and regulatory matters across both Tuckerton Lumber (two locations, $16.5M revenue) and Surfbox Portable Storage (285 units, $708K+ revenue, two LLCs). The workload that was originally designed for two compensated principals is now performed by one.</w:t>
      </w:r>
    </w:p>
    <w:p w14:paraId="44941949" w14:textId="77777777" w:rsidR="002A7D06" w:rsidRDefault="00C914FB">
      <w:pPr>
        <w:spacing w:before="320" w:after="140" w:line="276" w:lineRule="auto"/>
      </w:pPr>
      <w:r>
        <w:rPr>
          <w:rFonts w:ascii="Calibri" w:hAnsi="Calibri"/>
          <w:b/>
          <w:bCs/>
          <w:color w:val="1F3864"/>
          <w:sz w:val="24"/>
          <w:szCs w:val="24"/>
        </w:rPr>
        <w:t xml:space="preserve">History of Personal Financial Commitments to </w:t>
      </w:r>
      <w:proofErr w:type="gramStart"/>
      <w:r>
        <w:rPr>
          <w:rFonts w:ascii="Calibri" w:hAnsi="Calibri"/>
          <w:b/>
          <w:bCs/>
          <w:color w:val="1F3864"/>
          <w:sz w:val="24"/>
          <w:szCs w:val="24"/>
        </w:rPr>
        <w:t>the Companies</w:t>
      </w:r>
      <w:proofErr w:type="gramEnd"/>
    </w:p>
    <w:p w14:paraId="009AEB0D" w14:textId="77777777" w:rsidR="002A7D06" w:rsidRDefault="00C914FB">
      <w:pPr>
        <w:spacing w:after="140" w:line="276" w:lineRule="auto"/>
      </w:pPr>
      <w:r>
        <w:rPr>
          <w:rFonts w:ascii="Calibri" w:hAnsi="Calibri"/>
          <w:sz w:val="21"/>
        </w:rPr>
        <w:t>Since acquiring these businesses, I have made significant personal financial commitments to support their growth, all structured to benefit the companies at my own expense:</w:t>
      </w:r>
    </w:p>
    <w:p w14:paraId="523809EB" w14:textId="77777777" w:rsidR="002A7D06" w:rsidRDefault="00C914FB">
      <w:pPr>
        <w:spacing w:after="140" w:line="276" w:lineRule="auto"/>
      </w:pPr>
      <w:r>
        <w:rPr>
          <w:rFonts w:ascii="Calibri" w:hAnsi="Calibri"/>
          <w:b/>
          <w:bCs/>
          <w:sz w:val="21"/>
        </w:rPr>
        <w:t xml:space="preserve">Loan #1 — Cash loan to the companies: </w:t>
      </w:r>
      <w:r>
        <w:rPr>
          <w:rFonts w:ascii="Calibri" w:hAnsi="Calibri"/>
          <w:sz w:val="21"/>
        </w:rPr>
        <w:t xml:space="preserve">Approximately $300,000 loaned to fund operations and growth. Interest-free. Repaid via monthly installments of ~$11,000. Final payment </w:t>
      </w:r>
      <w:proofErr w:type="gramStart"/>
      <w:r>
        <w:rPr>
          <w:rFonts w:ascii="Calibri" w:hAnsi="Calibri"/>
          <w:sz w:val="21"/>
        </w:rPr>
        <w:t>made</w:t>
      </w:r>
      <w:proofErr w:type="gramEnd"/>
      <w:r>
        <w:rPr>
          <w:rFonts w:ascii="Calibri" w:hAnsi="Calibri"/>
          <w:sz w:val="21"/>
        </w:rPr>
        <w:t xml:space="preserve"> in early 2025. Now fully retired.</w:t>
      </w:r>
    </w:p>
    <w:p w14:paraId="4AE15F0D" w14:textId="7059B346" w:rsidR="002A7D06" w:rsidRDefault="00C914FB">
      <w:pPr>
        <w:spacing w:after="140" w:line="276" w:lineRule="auto"/>
      </w:pPr>
      <w:r>
        <w:rPr>
          <w:rFonts w:ascii="Calibri" w:hAnsi="Calibri"/>
          <w:b/>
          <w:bCs/>
          <w:sz w:val="21"/>
        </w:rPr>
        <w:t xml:space="preserve">Loan #2 — Deferred first-year compensation: </w:t>
      </w:r>
      <w:r>
        <w:rPr>
          <w:rFonts w:ascii="Calibri" w:hAnsi="Calibri"/>
          <w:sz w:val="21"/>
        </w:rPr>
        <w:t xml:space="preserve">During the first year-plus of operations, I deferred </w:t>
      </w:r>
      <w:proofErr w:type="gramStart"/>
      <w:r>
        <w:rPr>
          <w:rFonts w:ascii="Calibri" w:hAnsi="Calibri"/>
          <w:sz w:val="21"/>
        </w:rPr>
        <w:t>all of</w:t>
      </w:r>
      <w:proofErr w:type="gramEnd"/>
      <w:r>
        <w:rPr>
          <w:rFonts w:ascii="Calibri" w:hAnsi="Calibri"/>
          <w:sz w:val="21"/>
        </w:rPr>
        <w:t xml:space="preserve"> my compensation, totaling approximately $1</w:t>
      </w:r>
      <w:r w:rsidR="009A5BAD">
        <w:rPr>
          <w:rFonts w:ascii="Calibri" w:hAnsi="Calibri"/>
          <w:sz w:val="21"/>
        </w:rPr>
        <w:t>75</w:t>
      </w:r>
      <w:r>
        <w:rPr>
          <w:rFonts w:ascii="Calibri" w:hAnsi="Calibri"/>
          <w:sz w:val="21"/>
        </w:rPr>
        <w:t xml:space="preserve">,000, to give the business the cash flow it needed to stabilize after acquisition. This was structured as a </w:t>
      </w:r>
      <w:r w:rsidR="009A5BAD">
        <w:rPr>
          <w:rFonts w:ascii="Calibri" w:hAnsi="Calibri"/>
          <w:sz w:val="21"/>
        </w:rPr>
        <w:t>4</w:t>
      </w:r>
      <w:r>
        <w:rPr>
          <w:rFonts w:ascii="Calibri" w:hAnsi="Calibri"/>
          <w:sz w:val="21"/>
        </w:rPr>
        <w:t>-year interest-free payback and has approximately 15 months remaining. Currently being paid on schedule.</w:t>
      </w:r>
    </w:p>
    <w:p w14:paraId="4308637E" w14:textId="62E277F5" w:rsidR="002A7D06" w:rsidRDefault="00C914FB">
      <w:pPr>
        <w:spacing w:after="140" w:line="276" w:lineRule="auto"/>
      </w:pPr>
      <w:r>
        <w:rPr>
          <w:rFonts w:ascii="Calibri" w:hAnsi="Calibri"/>
          <w:b/>
          <w:bCs/>
          <w:sz w:val="21"/>
        </w:rPr>
        <w:t xml:space="preserve">Surfbox management compensation (2020-2024): </w:t>
      </w:r>
      <w:r>
        <w:rPr>
          <w:rFonts w:ascii="Calibri" w:hAnsi="Calibri"/>
          <w:sz w:val="21"/>
        </w:rPr>
        <w:t xml:space="preserve">I took $0 in compensation for managing the Surfbox business for </w:t>
      </w:r>
      <w:r w:rsidR="009A5BAD">
        <w:rPr>
          <w:rFonts w:ascii="Calibri" w:hAnsi="Calibri"/>
          <w:sz w:val="21"/>
        </w:rPr>
        <w:t>six and half</w:t>
      </w:r>
      <w:r>
        <w:rPr>
          <w:rFonts w:ascii="Calibri" w:hAnsi="Calibri"/>
          <w:sz w:val="21"/>
        </w:rPr>
        <w:t xml:space="preserve"> years. All revenue was reinvested into fleet growth and operations.</w:t>
      </w:r>
    </w:p>
    <w:p w14:paraId="33DDB696" w14:textId="545BB238" w:rsidR="002A7D06" w:rsidRDefault="00C914FB">
      <w:pPr>
        <w:spacing w:after="140" w:line="276" w:lineRule="auto"/>
      </w:pPr>
      <w:r>
        <w:rPr>
          <w:rFonts w:ascii="Calibri" w:hAnsi="Calibri"/>
          <w:b/>
          <w:bCs/>
          <w:sz w:val="21"/>
        </w:rPr>
        <w:t xml:space="preserve">Below-market TLC salary: </w:t>
      </w:r>
      <w:r>
        <w:rPr>
          <w:rFonts w:ascii="Calibri" w:hAnsi="Calibri"/>
          <w:sz w:val="21"/>
        </w:rPr>
        <w:t xml:space="preserve">My compensation from Tuckerton Lumber has been </w:t>
      </w:r>
      <w:r w:rsidR="009A5BAD">
        <w:rPr>
          <w:rFonts w:ascii="Calibri" w:hAnsi="Calibri"/>
          <w:sz w:val="21"/>
        </w:rPr>
        <w:t xml:space="preserve">between $150,000 &amp; </w:t>
      </w:r>
      <w:r>
        <w:rPr>
          <w:rFonts w:ascii="Calibri" w:hAnsi="Calibri"/>
          <w:sz w:val="21"/>
        </w:rPr>
        <w:t>$1</w:t>
      </w:r>
      <w:r w:rsidR="009A5BAD">
        <w:rPr>
          <w:rFonts w:ascii="Calibri" w:hAnsi="Calibri"/>
          <w:sz w:val="21"/>
        </w:rPr>
        <w:t>68</w:t>
      </w:r>
      <w:r>
        <w:rPr>
          <w:rFonts w:ascii="Calibri" w:hAnsi="Calibri"/>
          <w:sz w:val="21"/>
        </w:rPr>
        <w:t>,000 per year since acquisition — well below market rate for the role, as detailed below. This was an intentional decision to preserve cash for growth, debt service, and shareholder returns.</w:t>
      </w:r>
    </w:p>
    <w:p w14:paraId="5BB25BDA" w14:textId="346A2189" w:rsidR="002A7D06" w:rsidRDefault="00C914FB">
      <w:pPr>
        <w:spacing w:after="140" w:line="276" w:lineRule="auto"/>
      </w:pPr>
      <w:r>
        <w:rPr>
          <w:rFonts w:ascii="Calibri" w:hAnsi="Calibri"/>
          <w:i/>
          <w:iCs/>
          <w:sz w:val="21"/>
        </w:rPr>
        <w:t>All loans were made interest-free. The total personal capital and foregone compensation contributed to these businesses over five years exceeds $1.</w:t>
      </w:r>
      <w:r w:rsidR="009A5BAD">
        <w:rPr>
          <w:rFonts w:ascii="Calibri" w:hAnsi="Calibri"/>
          <w:i/>
          <w:iCs/>
          <w:sz w:val="21"/>
        </w:rPr>
        <w:t>0</w:t>
      </w:r>
      <w:r>
        <w:rPr>
          <w:rFonts w:ascii="Calibri" w:hAnsi="Calibri"/>
          <w:i/>
          <w:iCs/>
          <w:sz w:val="21"/>
        </w:rPr>
        <w:t xml:space="preserve"> million.</w:t>
      </w:r>
    </w:p>
    <w:p w14:paraId="647A9F59" w14:textId="77777777" w:rsidR="002A7D06" w:rsidRDefault="00C914FB">
      <w:pPr>
        <w:spacing w:before="320" w:after="140" w:line="276" w:lineRule="auto"/>
      </w:pPr>
      <w:r>
        <w:rPr>
          <w:rFonts w:ascii="Calibri" w:hAnsi="Calibri"/>
          <w:b/>
          <w:bCs/>
          <w:color w:val="1F3864"/>
          <w:sz w:val="24"/>
          <w:szCs w:val="24"/>
        </w:rPr>
        <w:lastRenderedPageBreak/>
        <w:t>Outstanding Distribution Obligations</w:t>
      </w:r>
    </w:p>
    <w:p w14:paraId="4F3FFB6A" w14:textId="05464710" w:rsidR="002A7D06" w:rsidRDefault="00C914FB">
      <w:pPr>
        <w:spacing w:after="140" w:line="276" w:lineRule="auto"/>
      </w:pPr>
      <w:r>
        <w:rPr>
          <w:rFonts w:ascii="Calibri" w:hAnsi="Calibri"/>
          <w:sz w:val="21"/>
        </w:rPr>
        <w:t>The companies are currently more than two years behind on planned shareholder distributions. The planned distribution was $100,000 per year total across all shareholders, with an estimated total arrearage of approximately $150,000, plus or minus</w:t>
      </w:r>
      <w:r w:rsidR="009A5BAD">
        <w:rPr>
          <w:rFonts w:ascii="Calibri" w:hAnsi="Calibri"/>
          <w:sz w:val="21"/>
        </w:rPr>
        <w:t xml:space="preserve"> and Matt Lynch 75k</w:t>
      </w:r>
      <w:r>
        <w:rPr>
          <w:rFonts w:ascii="Calibri" w:hAnsi="Calibri"/>
          <w:sz w:val="21"/>
        </w:rPr>
        <w:t>. I own approximately 49% of the shares. These arrears need to be addressed and caught up for all shareholders, not just myself. I am noting this here because the compensation adjustment and the distribution catch-up are related obligations that should be planned together to ensure cash flow supports both without straining operations.</w:t>
      </w:r>
    </w:p>
    <w:p w14:paraId="649CE26E" w14:textId="77777777" w:rsidR="002A7D06" w:rsidRDefault="00C914FB">
      <w:pPr>
        <w:spacing w:before="320" w:after="140" w:line="276" w:lineRule="auto"/>
      </w:pPr>
      <w:r>
        <w:rPr>
          <w:rFonts w:ascii="Calibri" w:hAnsi="Calibri"/>
          <w:b/>
          <w:bCs/>
          <w:color w:val="1F3864"/>
          <w:sz w:val="24"/>
          <w:szCs w:val="24"/>
        </w:rPr>
        <w:t>Market Compensation Research</w:t>
      </w:r>
    </w:p>
    <w:p w14:paraId="71A77664" w14:textId="77777777" w:rsidR="002A7D06" w:rsidRDefault="00C914FB">
      <w:pPr>
        <w:spacing w:after="140" w:line="276" w:lineRule="auto"/>
      </w:pPr>
      <w:r>
        <w:rPr>
          <w:rFonts w:ascii="Calibri" w:hAnsi="Calibri"/>
          <w:sz w:val="21"/>
        </w:rPr>
        <w:t>I conducted research using the following published compensation sources to establish a fair market rate for both roles:</w:t>
      </w:r>
    </w:p>
    <w:p w14:paraId="4075D1C4" w14:textId="77777777" w:rsidR="002A7D06" w:rsidRDefault="00C914FB">
      <w:pPr>
        <w:spacing w:after="140" w:line="276" w:lineRule="auto"/>
      </w:pPr>
      <w:proofErr w:type="spellStart"/>
      <w:r>
        <w:rPr>
          <w:rFonts w:ascii="Calibri" w:hAnsi="Calibri"/>
          <w:b/>
          <w:bCs/>
          <w:sz w:val="21"/>
        </w:rPr>
        <w:t>SalaryCube</w:t>
      </w:r>
      <w:proofErr w:type="spellEnd"/>
      <w:r>
        <w:rPr>
          <w:rFonts w:ascii="Calibri" w:hAnsi="Calibri"/>
          <w:b/>
          <w:bCs/>
          <w:sz w:val="21"/>
        </w:rPr>
        <w:t xml:space="preserve"> (2024-2025): </w:t>
      </w:r>
      <w:r>
        <w:rPr>
          <w:rFonts w:ascii="Calibri" w:hAnsi="Calibri"/>
          <w:sz w:val="21"/>
        </w:rPr>
        <w:t>CEO/President of family-owned business at $10-25M revenue: $250K-$400K base salary, $300K-$550K total cash compensation.</w:t>
      </w:r>
    </w:p>
    <w:p w14:paraId="38AC52B9" w14:textId="5ECAC319" w:rsidR="00F65DC7" w:rsidRDefault="00F65DC7" w:rsidP="00F65DC7">
      <w:pPr>
        <w:spacing w:after="160"/>
      </w:pPr>
      <w:r>
        <w:rPr>
          <w:rFonts w:ascii="Calibri" w:hAnsi="Calibri"/>
          <w:color w:val="1A1A1A"/>
          <w:sz w:val="21"/>
        </w:rPr>
        <w:t>My current management fee of $1</w:t>
      </w:r>
      <w:r w:rsidR="00C86FD1">
        <w:rPr>
          <w:rFonts w:ascii="Calibri" w:hAnsi="Calibri"/>
          <w:color w:val="1A1A1A"/>
          <w:sz w:val="21"/>
        </w:rPr>
        <w:t>68</w:t>
      </w:r>
      <w:r>
        <w:rPr>
          <w:rFonts w:ascii="Calibri" w:hAnsi="Calibri"/>
          <w:color w:val="1A1A1A"/>
          <w:sz w:val="21"/>
        </w:rPr>
        <w:t>,000 annually, while appropriate during the stabilization and turnaround phase, no longer reflects the market value of services rendered, the scope of responsibilities now carried, or the financial outcomes delivered to the members of TLC II LLC.</w:t>
      </w:r>
    </w:p>
    <w:p w14:paraId="45EE60B8" w14:textId="77777777" w:rsidR="00F65DC7" w:rsidRDefault="00F65DC7" w:rsidP="00F65DC7">
      <w:pPr>
        <w:spacing w:after="160"/>
      </w:pPr>
      <w:r>
        <w:rPr>
          <w:rFonts w:ascii="Calibri" w:hAnsi="Calibri"/>
          <w:color w:val="1A1A1A"/>
          <w:sz w:val="21"/>
        </w:rPr>
        <w:t>The purpose of this memorandum is to document a compensation adjustment that accurately reflects CEO-equivalent responsibilities across a multi-entity operating enterprise — and to establish a W-2 salary structure that supports meaningful, tax-advantaged retirement plan contributions going forward.</w:t>
      </w:r>
    </w:p>
    <w:p w14:paraId="650140B1" w14:textId="77777777" w:rsidR="00F65DC7" w:rsidRDefault="00F65DC7" w:rsidP="00F65DC7">
      <w:pPr>
        <w:keepNext/>
        <w:pBdr>
          <w:bottom w:val="single" w:sz="4" w:space="1" w:color="C59E3C"/>
        </w:pBdr>
        <w:spacing w:before="280" w:after="80"/>
      </w:pPr>
      <w:r>
        <w:rPr>
          <w:rFonts w:ascii="Calibri" w:hAnsi="Calibri"/>
          <w:b/>
          <w:color w:val="002B5C"/>
          <w:sz w:val="24"/>
        </w:rPr>
        <w:t>II.  THE ROLE: NOT A STORE MANAGER — A CEO</w:t>
      </w:r>
    </w:p>
    <w:p w14:paraId="7C1BBBEF" w14:textId="77777777" w:rsidR="00F65DC7" w:rsidRDefault="00F65DC7" w:rsidP="00F65DC7">
      <w:pPr>
        <w:spacing w:after="160"/>
      </w:pPr>
      <w:r>
        <w:rPr>
          <w:rFonts w:ascii="Calibri" w:hAnsi="Calibri"/>
          <w:color w:val="1A1A1A"/>
          <w:sz w:val="21"/>
        </w:rPr>
        <w:t>As Managing Member of TLC II LLC, I serve as the sole executive of a multi-entity holding company with no co-executive, no CFO on payroll, and no COO. I carry the full weight of every C-suite function across the following operating entities:</w:t>
      </w:r>
    </w:p>
    <w:p w14:paraId="4F05C6C5" w14:textId="77777777" w:rsidR="00F65DC7" w:rsidRDefault="00F65DC7" w:rsidP="00F65DC7">
      <w:pPr>
        <w:pStyle w:val="ListBullet"/>
        <w:tabs>
          <w:tab w:val="num" w:pos="360"/>
        </w:tabs>
        <w:spacing w:before="40" w:after="80"/>
        <w:ind w:left="504" w:hanging="360"/>
      </w:pPr>
      <w:r>
        <w:rPr>
          <w:rFonts w:ascii="Calibri" w:hAnsi="Calibri"/>
          <w:b/>
          <w:color w:val="002B5C"/>
          <w:sz w:val="21"/>
        </w:rPr>
        <w:t xml:space="preserve">Tuckerton Lumber </w:t>
      </w:r>
      <w:proofErr w:type="gramStart"/>
      <w:r>
        <w:rPr>
          <w:rFonts w:ascii="Calibri" w:hAnsi="Calibri"/>
          <w:b/>
          <w:color w:val="002B5C"/>
          <w:sz w:val="21"/>
        </w:rPr>
        <w:t xml:space="preserve">Company  </w:t>
      </w:r>
      <w:r>
        <w:rPr>
          <w:rFonts w:ascii="Calibri" w:hAnsi="Calibri"/>
          <w:color w:val="1A1A1A"/>
          <w:sz w:val="21"/>
        </w:rPr>
        <w:t>—</w:t>
      </w:r>
      <w:proofErr w:type="gramEnd"/>
      <w:r>
        <w:rPr>
          <w:rFonts w:ascii="Calibri" w:hAnsi="Calibri"/>
          <w:color w:val="1A1A1A"/>
          <w:sz w:val="21"/>
        </w:rPr>
        <w:t xml:space="preserve"> A 90+ year-old legacy business operating from two locations (Tuckerton and Surf City), carrying the Benjamin Moore brand, running the Epicor ERP platform, and generating approximately $16–17M in annual revenue.</w:t>
      </w:r>
    </w:p>
    <w:p w14:paraId="2BA752A7" w14:textId="77777777" w:rsidR="00F65DC7" w:rsidRDefault="00F65DC7" w:rsidP="00F65DC7">
      <w:pPr>
        <w:pStyle w:val="ListBullet"/>
        <w:tabs>
          <w:tab w:val="num" w:pos="360"/>
        </w:tabs>
        <w:spacing w:before="40" w:after="80"/>
        <w:ind w:left="504" w:hanging="360"/>
      </w:pPr>
      <w:r>
        <w:rPr>
          <w:rFonts w:ascii="Calibri" w:hAnsi="Calibri"/>
          <w:b/>
          <w:color w:val="002B5C"/>
          <w:sz w:val="21"/>
        </w:rPr>
        <w:t xml:space="preserve">Surfbox Portable </w:t>
      </w:r>
      <w:proofErr w:type="gramStart"/>
      <w:r>
        <w:rPr>
          <w:rFonts w:ascii="Calibri" w:hAnsi="Calibri"/>
          <w:b/>
          <w:color w:val="002B5C"/>
          <w:sz w:val="21"/>
        </w:rPr>
        <w:t xml:space="preserve">Storage  </w:t>
      </w:r>
      <w:r>
        <w:rPr>
          <w:rFonts w:ascii="Calibri" w:hAnsi="Calibri"/>
          <w:color w:val="1A1A1A"/>
          <w:sz w:val="21"/>
        </w:rPr>
        <w:t>—</w:t>
      </w:r>
      <w:proofErr w:type="gramEnd"/>
      <w:r>
        <w:rPr>
          <w:rFonts w:ascii="Calibri" w:hAnsi="Calibri"/>
          <w:color w:val="1A1A1A"/>
          <w:sz w:val="21"/>
        </w:rPr>
        <w:t xml:space="preserve"> Built from zero to </w:t>
      </w:r>
      <w:proofErr w:type="gramStart"/>
      <w:r>
        <w:rPr>
          <w:rFonts w:ascii="Calibri" w:hAnsi="Calibri"/>
          <w:color w:val="1A1A1A"/>
          <w:sz w:val="21"/>
        </w:rPr>
        <w:t>approaching</w:t>
      </w:r>
      <w:proofErr w:type="gramEnd"/>
      <w:r>
        <w:rPr>
          <w:rFonts w:ascii="Calibri" w:hAnsi="Calibri"/>
          <w:color w:val="1A1A1A"/>
          <w:sz w:val="21"/>
        </w:rPr>
        <w:t xml:space="preserve"> $1M in annual revenue. I own all operations, customer relationships, pricing strategy, and growth direction.</w:t>
      </w:r>
    </w:p>
    <w:p w14:paraId="4D1A9766" w14:textId="77777777" w:rsidR="00F65DC7" w:rsidRDefault="00F65DC7" w:rsidP="00F65DC7">
      <w:pPr>
        <w:pStyle w:val="ListBullet"/>
        <w:tabs>
          <w:tab w:val="num" w:pos="360"/>
        </w:tabs>
        <w:spacing w:before="40" w:after="80"/>
        <w:ind w:left="504" w:hanging="360"/>
      </w:pPr>
      <w:r>
        <w:rPr>
          <w:rFonts w:ascii="Calibri" w:hAnsi="Calibri"/>
          <w:color w:val="1A1A1A"/>
          <w:sz w:val="21"/>
        </w:rPr>
        <w:t xml:space="preserve">TLC 539 </w:t>
      </w:r>
      <w:proofErr w:type="gramStart"/>
      <w:r>
        <w:rPr>
          <w:rFonts w:ascii="Calibri" w:hAnsi="Calibri"/>
          <w:color w:val="1A1A1A"/>
          <w:sz w:val="21"/>
        </w:rPr>
        <w:t>LLC  —</w:t>
      </w:r>
      <w:proofErr w:type="gramEnd"/>
      <w:r>
        <w:rPr>
          <w:rFonts w:ascii="Calibri" w:hAnsi="Calibri"/>
          <w:color w:val="1A1A1A"/>
          <w:sz w:val="21"/>
        </w:rPr>
        <w:t xml:space="preserve"> Commercial real estate holdings.</w:t>
      </w:r>
    </w:p>
    <w:p w14:paraId="102F0FE1" w14:textId="77777777" w:rsidR="00F65DC7" w:rsidRDefault="00F65DC7" w:rsidP="00F65DC7">
      <w:pPr>
        <w:pStyle w:val="ListBullet"/>
        <w:tabs>
          <w:tab w:val="num" w:pos="360"/>
        </w:tabs>
        <w:spacing w:before="40" w:after="80"/>
        <w:ind w:left="504" w:hanging="360"/>
      </w:pPr>
      <w:r>
        <w:rPr>
          <w:rFonts w:ascii="Calibri" w:hAnsi="Calibri"/>
          <w:color w:val="1A1A1A"/>
          <w:sz w:val="21"/>
        </w:rPr>
        <w:t xml:space="preserve">TLC Land Holding </w:t>
      </w:r>
      <w:proofErr w:type="gramStart"/>
      <w:r>
        <w:rPr>
          <w:rFonts w:ascii="Calibri" w:hAnsi="Calibri"/>
          <w:color w:val="1A1A1A"/>
          <w:sz w:val="21"/>
        </w:rPr>
        <w:t>LLC  —</w:t>
      </w:r>
      <w:proofErr w:type="gramEnd"/>
      <w:r>
        <w:rPr>
          <w:rFonts w:ascii="Calibri" w:hAnsi="Calibri"/>
          <w:color w:val="1A1A1A"/>
          <w:sz w:val="21"/>
        </w:rPr>
        <w:t xml:space="preserve"> Strategic land assets.</w:t>
      </w:r>
    </w:p>
    <w:p w14:paraId="7880ECD2" w14:textId="77777777" w:rsidR="00F65DC7" w:rsidRDefault="00F65DC7" w:rsidP="00F65DC7">
      <w:pPr>
        <w:pStyle w:val="ListBullet"/>
        <w:tabs>
          <w:tab w:val="num" w:pos="360"/>
        </w:tabs>
        <w:spacing w:before="40" w:after="80"/>
        <w:ind w:left="504" w:hanging="360"/>
      </w:pPr>
      <w:r>
        <w:rPr>
          <w:rFonts w:ascii="Calibri" w:hAnsi="Calibri"/>
          <w:color w:val="1A1A1A"/>
          <w:sz w:val="21"/>
        </w:rPr>
        <w:t xml:space="preserve">TLC II </w:t>
      </w:r>
      <w:proofErr w:type="gramStart"/>
      <w:r>
        <w:rPr>
          <w:rFonts w:ascii="Calibri" w:hAnsi="Calibri"/>
          <w:color w:val="1A1A1A"/>
          <w:sz w:val="21"/>
        </w:rPr>
        <w:t>LLC  —</w:t>
      </w:r>
      <w:proofErr w:type="gramEnd"/>
      <w:r>
        <w:rPr>
          <w:rFonts w:ascii="Calibri" w:hAnsi="Calibri"/>
          <w:color w:val="1A1A1A"/>
          <w:sz w:val="21"/>
        </w:rPr>
        <w:t xml:space="preserve"> Parent entity; 50% ownership with minority shareholders present.</w:t>
      </w:r>
    </w:p>
    <w:p w14:paraId="050A3C70" w14:textId="77777777" w:rsidR="00F65DC7" w:rsidRDefault="00F65DC7" w:rsidP="00F65DC7">
      <w:pPr>
        <w:spacing w:before="160" w:after="160"/>
      </w:pPr>
      <w:r>
        <w:rPr>
          <w:rFonts w:ascii="Calibri" w:hAnsi="Calibri"/>
          <w:color w:val="1A1A1A"/>
          <w:sz w:val="21"/>
        </w:rPr>
        <w:t xml:space="preserve">Across these entities, I function simultaneously as Chief Executive Officer, Chief Financial Officer, Chief Operating Officer, HR Director, Chief Strategy Officer, Legal Liaison, and Real Estate Developer. This is not a </w:t>
      </w:r>
      <w:proofErr w:type="gramStart"/>
      <w:r>
        <w:rPr>
          <w:rFonts w:ascii="Calibri" w:hAnsi="Calibri"/>
          <w:color w:val="1A1A1A"/>
          <w:sz w:val="21"/>
        </w:rPr>
        <w:t>hyperbole —</w:t>
      </w:r>
      <w:proofErr w:type="gramEnd"/>
      <w:r>
        <w:rPr>
          <w:rFonts w:ascii="Calibri" w:hAnsi="Calibri"/>
          <w:color w:val="1A1A1A"/>
          <w:sz w:val="21"/>
        </w:rPr>
        <w:t xml:space="preserve"> it is the operational reality of running a lean, privately held enterprise with no redundant executive overhead.</w:t>
      </w:r>
    </w:p>
    <w:p w14:paraId="74BD49CF" w14:textId="77777777" w:rsidR="00F65DC7" w:rsidRDefault="00F65DC7" w:rsidP="00F65DC7">
      <w:pPr>
        <w:keepNext/>
        <w:pBdr>
          <w:bottom w:val="single" w:sz="4" w:space="1" w:color="C59E3C"/>
        </w:pBdr>
        <w:spacing w:before="280" w:after="80"/>
      </w:pPr>
      <w:r>
        <w:rPr>
          <w:rFonts w:ascii="Calibri" w:hAnsi="Calibri"/>
          <w:b/>
          <w:color w:val="002B5C"/>
          <w:sz w:val="24"/>
        </w:rPr>
        <w:t>III</w:t>
      </w:r>
      <w:proofErr w:type="gramStart"/>
      <w:r>
        <w:rPr>
          <w:rFonts w:ascii="Calibri" w:hAnsi="Calibri"/>
          <w:b/>
          <w:color w:val="002B5C"/>
          <w:sz w:val="24"/>
        </w:rPr>
        <w:t>.  WHAT</w:t>
      </w:r>
      <w:proofErr w:type="gramEnd"/>
      <w:r>
        <w:rPr>
          <w:rFonts w:ascii="Calibri" w:hAnsi="Calibri"/>
          <w:b/>
          <w:color w:val="002B5C"/>
          <w:sz w:val="24"/>
        </w:rPr>
        <w:t xml:space="preserve"> HAS BEEN DELIVERED</w:t>
      </w:r>
    </w:p>
    <w:p w14:paraId="1CC58216" w14:textId="77777777" w:rsidR="00F65DC7" w:rsidRDefault="00F65DC7" w:rsidP="00F65DC7">
      <w:pPr>
        <w:spacing w:after="120"/>
      </w:pPr>
      <w:r>
        <w:rPr>
          <w:rFonts w:ascii="Calibri" w:hAnsi="Calibri"/>
          <w:color w:val="1A1A1A"/>
          <w:sz w:val="21"/>
        </w:rPr>
        <w:t>Over the past four years, the following outcomes have been achieved:</w:t>
      </w:r>
    </w:p>
    <w:p w14:paraId="601C5171" w14:textId="77777777" w:rsidR="00F65DC7" w:rsidRDefault="00F65DC7" w:rsidP="00F65DC7">
      <w:pPr>
        <w:pStyle w:val="ListBullet"/>
        <w:tabs>
          <w:tab w:val="num" w:pos="360"/>
        </w:tabs>
        <w:spacing w:before="40" w:after="100"/>
        <w:ind w:left="504" w:hanging="360"/>
      </w:pPr>
      <w:r>
        <w:rPr>
          <w:rFonts w:ascii="Calibri" w:hAnsi="Calibri"/>
          <w:b/>
          <w:color w:val="002B5C"/>
          <w:sz w:val="21"/>
        </w:rPr>
        <w:t xml:space="preserve">Preserved and stabilized a 90-year-old institution </w:t>
      </w:r>
      <w:r>
        <w:rPr>
          <w:rFonts w:ascii="Calibri" w:hAnsi="Calibri"/>
          <w:color w:val="1A1A1A"/>
          <w:sz w:val="21"/>
        </w:rPr>
        <w:t>through post-COVID lumber market volatility — protecting jobs, supplier relationships, and community standing.</w:t>
      </w:r>
    </w:p>
    <w:p w14:paraId="396D58E2" w14:textId="77777777" w:rsidR="00F65DC7" w:rsidRDefault="00F65DC7" w:rsidP="00F65DC7">
      <w:pPr>
        <w:pStyle w:val="ListBullet"/>
        <w:tabs>
          <w:tab w:val="num" w:pos="360"/>
        </w:tabs>
        <w:spacing w:before="40" w:after="100"/>
        <w:ind w:left="504" w:hanging="360"/>
      </w:pPr>
      <w:r>
        <w:rPr>
          <w:rFonts w:ascii="Calibri" w:hAnsi="Calibri"/>
          <w:b/>
          <w:color w:val="002B5C"/>
          <w:sz w:val="21"/>
        </w:rPr>
        <w:lastRenderedPageBreak/>
        <w:t xml:space="preserve">Built Surfbox Portable Storage from concept to nearly $1M in revenue </w:t>
      </w:r>
      <w:r>
        <w:rPr>
          <w:rFonts w:ascii="Calibri" w:hAnsi="Calibri"/>
          <w:color w:val="1A1A1A"/>
          <w:sz w:val="21"/>
        </w:rPr>
        <w:t>— a new profit center created from scratch with no outside capital.</w:t>
      </w:r>
    </w:p>
    <w:p w14:paraId="32F7A11B" w14:textId="4C011CD5" w:rsidR="00F65DC7" w:rsidRDefault="00F65DC7" w:rsidP="00F65DC7">
      <w:pPr>
        <w:pStyle w:val="ListBullet"/>
        <w:tabs>
          <w:tab w:val="num" w:pos="360"/>
        </w:tabs>
        <w:spacing w:before="40" w:after="100"/>
        <w:ind w:left="504" w:hanging="360"/>
      </w:pPr>
      <w:r>
        <w:rPr>
          <w:rFonts w:ascii="Calibri" w:hAnsi="Calibri"/>
          <w:b/>
          <w:color w:val="002B5C"/>
          <w:sz w:val="21"/>
        </w:rPr>
        <w:t>Grew members' equity</w:t>
      </w:r>
      <w:r w:rsidR="00C86FD1">
        <w:rPr>
          <w:rFonts w:ascii="Calibri" w:hAnsi="Calibri"/>
          <w:b/>
          <w:color w:val="002B5C"/>
          <w:sz w:val="21"/>
        </w:rPr>
        <w:t xml:space="preserve"> </w:t>
      </w:r>
      <w:r>
        <w:rPr>
          <w:rFonts w:ascii="Calibri" w:hAnsi="Calibri"/>
          <w:b/>
          <w:color w:val="002B5C"/>
          <w:sz w:val="21"/>
        </w:rPr>
        <w:t xml:space="preserve">$1.5M+ </w:t>
      </w:r>
      <w:r>
        <w:rPr>
          <w:rFonts w:ascii="Calibri" w:hAnsi="Calibri"/>
          <w:color w:val="1A1A1A"/>
          <w:sz w:val="21"/>
        </w:rPr>
        <w:t>while distributing over $212,000 to shareholders.</w:t>
      </w:r>
    </w:p>
    <w:p w14:paraId="60EC5BD4" w14:textId="77777777" w:rsidR="00F65DC7" w:rsidRDefault="00F65DC7" w:rsidP="00F65DC7">
      <w:pPr>
        <w:pStyle w:val="ListBullet"/>
        <w:tabs>
          <w:tab w:val="num" w:pos="360"/>
        </w:tabs>
        <w:spacing w:before="40" w:after="100"/>
        <w:ind w:left="504" w:hanging="360"/>
      </w:pPr>
      <w:r>
        <w:rPr>
          <w:rFonts w:ascii="Calibri" w:hAnsi="Calibri"/>
          <w:b/>
          <w:color w:val="002B5C"/>
          <w:sz w:val="21"/>
        </w:rPr>
        <w:t xml:space="preserve">Delivered $737K+ in operating income on $16.5M in revenue </w:t>
      </w:r>
      <w:r>
        <w:rPr>
          <w:rFonts w:ascii="Calibri" w:hAnsi="Calibri"/>
          <w:color w:val="1A1A1A"/>
          <w:sz w:val="21"/>
        </w:rPr>
        <w:t>— holding the line through one of the most volatile cost environments in the industry's history.</w:t>
      </w:r>
    </w:p>
    <w:p w14:paraId="668BB7BE" w14:textId="77777777" w:rsidR="00F65DC7" w:rsidRDefault="00F65DC7" w:rsidP="00F65DC7">
      <w:pPr>
        <w:pStyle w:val="ListBullet"/>
        <w:tabs>
          <w:tab w:val="num" w:pos="360"/>
        </w:tabs>
        <w:spacing w:before="40" w:after="100"/>
        <w:ind w:left="504" w:hanging="360"/>
      </w:pPr>
      <w:r>
        <w:rPr>
          <w:rFonts w:ascii="Calibri" w:hAnsi="Calibri"/>
          <w:b/>
          <w:color w:val="002B5C"/>
          <w:sz w:val="21"/>
        </w:rPr>
        <w:t xml:space="preserve">Strategically positioned real estate assets </w:t>
      </w:r>
      <w:r>
        <w:rPr>
          <w:rFonts w:ascii="Calibri" w:hAnsi="Calibri"/>
          <w:color w:val="1A1A1A"/>
          <w:sz w:val="21"/>
        </w:rPr>
        <w:t xml:space="preserve">that have </w:t>
      </w:r>
      <w:proofErr w:type="gramStart"/>
      <w:r>
        <w:rPr>
          <w:rFonts w:ascii="Calibri" w:hAnsi="Calibri"/>
          <w:color w:val="1A1A1A"/>
          <w:sz w:val="21"/>
        </w:rPr>
        <w:t>appreciated</w:t>
      </w:r>
      <w:proofErr w:type="gramEnd"/>
      <w:r>
        <w:rPr>
          <w:rFonts w:ascii="Calibri" w:hAnsi="Calibri"/>
          <w:color w:val="1A1A1A"/>
          <w:sz w:val="21"/>
        </w:rPr>
        <w:t xml:space="preserve"> meaningfully since acquisition.</w:t>
      </w:r>
    </w:p>
    <w:p w14:paraId="1914EB2A" w14:textId="77777777" w:rsidR="00F65DC7" w:rsidRDefault="00F65DC7" w:rsidP="00F65DC7">
      <w:pPr>
        <w:pStyle w:val="ListBullet"/>
        <w:tabs>
          <w:tab w:val="num" w:pos="360"/>
        </w:tabs>
        <w:spacing w:before="40" w:after="100"/>
        <w:ind w:left="504" w:hanging="360"/>
      </w:pPr>
      <w:r>
        <w:rPr>
          <w:rFonts w:ascii="Calibri" w:hAnsi="Calibri"/>
          <w:b/>
          <w:color w:val="002B5C"/>
          <w:sz w:val="21"/>
        </w:rPr>
        <w:t xml:space="preserve">Resolved complex HR, zoning compliance, and capital allocation matters </w:t>
      </w:r>
      <w:r>
        <w:rPr>
          <w:rFonts w:ascii="Calibri" w:hAnsi="Calibri"/>
          <w:color w:val="1A1A1A"/>
          <w:sz w:val="21"/>
        </w:rPr>
        <w:t>without reliance on outside consultants — saving the business material professional fees.</w:t>
      </w:r>
    </w:p>
    <w:p w14:paraId="528E5664" w14:textId="77777777" w:rsidR="00F65DC7" w:rsidRDefault="00F65DC7" w:rsidP="00F65DC7">
      <w:pPr>
        <w:keepNext/>
        <w:pBdr>
          <w:bottom w:val="single" w:sz="4" w:space="1" w:color="C59E3C"/>
        </w:pBdr>
        <w:spacing w:before="280" w:after="80"/>
      </w:pPr>
      <w:r>
        <w:rPr>
          <w:rFonts w:ascii="Calibri" w:hAnsi="Calibri"/>
          <w:b/>
          <w:color w:val="002B5C"/>
          <w:sz w:val="24"/>
        </w:rPr>
        <w:t>IV</w:t>
      </w:r>
      <w:proofErr w:type="gramStart"/>
      <w:r>
        <w:rPr>
          <w:rFonts w:ascii="Calibri" w:hAnsi="Calibri"/>
          <w:b/>
          <w:color w:val="002B5C"/>
          <w:sz w:val="24"/>
        </w:rPr>
        <w:t>.  MARKET</w:t>
      </w:r>
      <w:proofErr w:type="gramEnd"/>
      <w:r>
        <w:rPr>
          <w:rFonts w:ascii="Calibri" w:hAnsi="Calibri"/>
          <w:b/>
          <w:color w:val="002B5C"/>
          <w:sz w:val="24"/>
        </w:rPr>
        <w:t xml:space="preserve"> COMPARABLES</w:t>
      </w:r>
    </w:p>
    <w:p w14:paraId="399513A5" w14:textId="77777777" w:rsidR="00F65DC7" w:rsidRDefault="00F65DC7" w:rsidP="00F65DC7">
      <w:pPr>
        <w:spacing w:after="160"/>
      </w:pPr>
      <w:r>
        <w:rPr>
          <w:rFonts w:ascii="Calibri" w:hAnsi="Calibri"/>
          <w:color w:val="1A1A1A"/>
          <w:sz w:val="21"/>
        </w:rPr>
        <w:t>Compensation benchmarks for privately held businesses of comparable scale and complexity support the following ranges for a CEO/Managing Member role:</w:t>
      </w:r>
    </w:p>
    <w:p w14:paraId="271F6833" w14:textId="77777777" w:rsidR="00F65DC7" w:rsidRDefault="00F65DC7" w:rsidP="00F65DC7">
      <w:pPr>
        <w:spacing w:before="60" w:after="100"/>
        <w:ind w:left="288"/>
      </w:pPr>
      <w:r>
        <w:rPr>
          <w:rFonts w:ascii="Calibri" w:hAnsi="Calibri"/>
          <w:b/>
          <w:color w:val="002B5C"/>
          <w:sz w:val="21"/>
        </w:rPr>
        <w:t xml:space="preserve">Independent Hardware &amp; Lumber Dealer </w:t>
      </w:r>
      <w:proofErr w:type="gramStart"/>
      <w:r>
        <w:rPr>
          <w:rFonts w:ascii="Calibri" w:hAnsi="Calibri"/>
          <w:b/>
          <w:color w:val="002B5C"/>
          <w:sz w:val="21"/>
        </w:rPr>
        <w:t xml:space="preserve">CEO  </w:t>
      </w:r>
      <w:r>
        <w:rPr>
          <w:rFonts w:ascii="Calibri" w:hAnsi="Calibri"/>
          <w:i/>
          <w:color w:val="404040"/>
          <w:sz w:val="20"/>
        </w:rPr>
        <w:t>(</w:t>
      </w:r>
      <w:proofErr w:type="gramEnd"/>
      <w:r>
        <w:rPr>
          <w:rFonts w:ascii="Calibri" w:hAnsi="Calibri"/>
          <w:i/>
          <w:color w:val="404040"/>
          <w:sz w:val="20"/>
        </w:rPr>
        <w:t>~$15–20M revenue, NRHA Retail Compensation Study)</w:t>
      </w:r>
      <w:r>
        <w:rPr>
          <w:rFonts w:ascii="Calibri" w:hAnsi="Calibri"/>
          <w:i/>
          <w:color w:val="404040"/>
          <w:sz w:val="20"/>
        </w:rPr>
        <w:br/>
      </w:r>
      <w:r>
        <w:rPr>
          <w:rFonts w:ascii="Calibri" w:hAnsi="Calibri"/>
          <w:color w:val="1A1A1A"/>
          <w:sz w:val="21"/>
        </w:rPr>
        <w:t xml:space="preserve">    Market Range:  </w:t>
      </w:r>
      <w:r>
        <w:rPr>
          <w:rFonts w:ascii="Calibri" w:hAnsi="Calibri"/>
          <w:b/>
          <w:color w:val="C59E3C"/>
          <w:sz w:val="21"/>
        </w:rPr>
        <w:t>$225,000 – $325,000</w:t>
      </w:r>
    </w:p>
    <w:p w14:paraId="7AED3C66" w14:textId="77777777" w:rsidR="00F65DC7" w:rsidRDefault="00F65DC7" w:rsidP="00F65DC7">
      <w:pPr>
        <w:spacing w:before="60" w:after="100"/>
        <w:ind w:left="288"/>
      </w:pPr>
      <w:r>
        <w:rPr>
          <w:rFonts w:ascii="Calibri" w:hAnsi="Calibri"/>
          <w:b/>
          <w:color w:val="002B5C"/>
          <w:sz w:val="21"/>
        </w:rPr>
        <w:t xml:space="preserve">Regional Portable Storage Company </w:t>
      </w:r>
      <w:proofErr w:type="gramStart"/>
      <w:r>
        <w:rPr>
          <w:rFonts w:ascii="Calibri" w:hAnsi="Calibri"/>
          <w:b/>
          <w:color w:val="002B5C"/>
          <w:sz w:val="21"/>
        </w:rPr>
        <w:t xml:space="preserve">CEO  </w:t>
      </w:r>
      <w:r>
        <w:rPr>
          <w:rFonts w:ascii="Calibri" w:hAnsi="Calibri"/>
          <w:i/>
          <w:color w:val="404040"/>
          <w:sz w:val="20"/>
        </w:rPr>
        <w:t>(</w:t>
      </w:r>
      <w:proofErr w:type="gramEnd"/>
      <w:r>
        <w:rPr>
          <w:rFonts w:ascii="Calibri" w:hAnsi="Calibri"/>
          <w:i/>
          <w:color w:val="404040"/>
          <w:sz w:val="20"/>
        </w:rPr>
        <w:t>$1M–$5M revenue, industry composite)</w:t>
      </w:r>
      <w:r>
        <w:rPr>
          <w:rFonts w:ascii="Calibri" w:hAnsi="Calibri"/>
          <w:i/>
          <w:color w:val="404040"/>
          <w:sz w:val="20"/>
        </w:rPr>
        <w:br/>
      </w:r>
      <w:r>
        <w:rPr>
          <w:rFonts w:ascii="Calibri" w:hAnsi="Calibri"/>
          <w:color w:val="1A1A1A"/>
          <w:sz w:val="21"/>
        </w:rPr>
        <w:t xml:space="preserve">    Market Range:  </w:t>
      </w:r>
      <w:r>
        <w:rPr>
          <w:rFonts w:ascii="Calibri" w:hAnsi="Calibri"/>
          <w:b/>
          <w:color w:val="C59E3C"/>
          <w:sz w:val="21"/>
        </w:rPr>
        <w:t>$175,000 – $250,000</w:t>
      </w:r>
    </w:p>
    <w:p w14:paraId="7A330704" w14:textId="77777777" w:rsidR="00F65DC7" w:rsidRDefault="00F65DC7" w:rsidP="00F65DC7">
      <w:pPr>
        <w:spacing w:before="60" w:after="100"/>
        <w:ind w:left="288"/>
      </w:pPr>
      <w:r>
        <w:rPr>
          <w:rFonts w:ascii="Calibri" w:hAnsi="Calibri"/>
          <w:b/>
          <w:color w:val="002B5C"/>
          <w:sz w:val="21"/>
        </w:rPr>
        <w:t xml:space="preserve">Multi-Entity LLC Managing </w:t>
      </w:r>
      <w:proofErr w:type="gramStart"/>
      <w:r>
        <w:rPr>
          <w:rFonts w:ascii="Calibri" w:hAnsi="Calibri"/>
          <w:b/>
          <w:color w:val="002B5C"/>
          <w:sz w:val="21"/>
        </w:rPr>
        <w:t xml:space="preserve">Member  </w:t>
      </w:r>
      <w:r>
        <w:rPr>
          <w:rFonts w:ascii="Calibri" w:hAnsi="Calibri"/>
          <w:i/>
          <w:color w:val="404040"/>
          <w:sz w:val="20"/>
        </w:rPr>
        <w:t>(</w:t>
      </w:r>
      <w:proofErr w:type="gramEnd"/>
      <w:r>
        <w:rPr>
          <w:rFonts w:ascii="Calibri" w:hAnsi="Calibri"/>
          <w:i/>
          <w:color w:val="404040"/>
          <w:sz w:val="20"/>
        </w:rPr>
        <w:t>real estate + operations, market composite)</w:t>
      </w:r>
      <w:r>
        <w:rPr>
          <w:rFonts w:ascii="Calibri" w:hAnsi="Calibri"/>
          <w:i/>
          <w:color w:val="404040"/>
          <w:sz w:val="20"/>
        </w:rPr>
        <w:br/>
      </w:r>
      <w:r>
        <w:rPr>
          <w:rFonts w:ascii="Calibri" w:hAnsi="Calibri"/>
          <w:color w:val="1A1A1A"/>
          <w:sz w:val="21"/>
        </w:rPr>
        <w:t xml:space="preserve">    Market Range:  </w:t>
      </w:r>
      <w:r>
        <w:rPr>
          <w:rFonts w:ascii="Calibri" w:hAnsi="Calibri"/>
          <w:b/>
          <w:color w:val="C59E3C"/>
          <w:sz w:val="21"/>
        </w:rPr>
        <w:t>$200,000 – $300,000</w:t>
      </w:r>
    </w:p>
    <w:p w14:paraId="4CA0406A" w14:textId="53D7BD68" w:rsidR="00F65DC7" w:rsidRDefault="00F65DC7" w:rsidP="00F65DC7">
      <w:pPr>
        <w:spacing w:before="200" w:after="160"/>
      </w:pPr>
      <w:r>
        <w:rPr>
          <w:rFonts w:ascii="Calibri" w:hAnsi="Calibri"/>
          <w:color w:val="1A1A1A"/>
          <w:sz w:val="21"/>
        </w:rPr>
        <w:t>At $</w:t>
      </w:r>
      <w:r w:rsidR="00C86FD1">
        <w:rPr>
          <w:rFonts w:ascii="Calibri" w:hAnsi="Calibri"/>
          <w:color w:val="1A1A1A"/>
          <w:sz w:val="21"/>
        </w:rPr>
        <w:t>168</w:t>
      </w:r>
      <w:r>
        <w:rPr>
          <w:rFonts w:ascii="Calibri" w:hAnsi="Calibri"/>
          <w:color w:val="1A1A1A"/>
          <w:sz w:val="21"/>
        </w:rPr>
        <w:t xml:space="preserve">,000, my current management fee represents approximately </w:t>
      </w:r>
      <w:r w:rsidR="00C86FD1">
        <w:rPr>
          <w:rFonts w:ascii="Calibri" w:hAnsi="Calibri"/>
          <w:color w:val="1A1A1A"/>
          <w:sz w:val="21"/>
        </w:rPr>
        <w:t>4</w:t>
      </w:r>
      <w:r>
        <w:rPr>
          <w:rFonts w:ascii="Calibri" w:hAnsi="Calibri"/>
          <w:color w:val="1A1A1A"/>
          <w:sz w:val="21"/>
        </w:rPr>
        <w:t>0–</w:t>
      </w:r>
      <w:r w:rsidR="00C86FD1">
        <w:rPr>
          <w:rFonts w:ascii="Calibri" w:hAnsi="Calibri"/>
          <w:color w:val="1A1A1A"/>
          <w:sz w:val="21"/>
        </w:rPr>
        <w:t>5</w:t>
      </w:r>
      <w:r>
        <w:rPr>
          <w:rFonts w:ascii="Calibri" w:hAnsi="Calibri"/>
          <w:color w:val="1A1A1A"/>
          <w:sz w:val="21"/>
        </w:rPr>
        <w:t xml:space="preserve">0% of the market rate for a CEO of comparable scope and complexity. </w:t>
      </w:r>
    </w:p>
    <w:p w14:paraId="2A9478DC" w14:textId="77777777" w:rsidR="002A7D06" w:rsidRDefault="00C914FB">
      <w:pPr>
        <w:spacing w:after="140" w:line="276" w:lineRule="auto"/>
      </w:pPr>
      <w:r>
        <w:rPr>
          <w:rFonts w:ascii="Calibri" w:hAnsi="Calibri"/>
          <w:sz w:val="21"/>
        </w:rPr>
        <w:t>Based on this data, the following median market rates were established: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860"/>
      </w:tblGrid>
      <w:tr w:rsidR="002A7D06" w14:paraId="288D0E02" w14:textId="77777777">
        <w:tc>
          <w:tcPr>
            <w:tcW w:w="6500" w:type="dxa"/>
            <w:tcBorders>
              <w:bottom w:val="single" w:sz="2" w:space="0" w:color="1F3864"/>
            </w:tcBorders>
            <w:tcMar>
              <w:top w:w="50" w:type="dxa"/>
              <w:left w:w="100" w:type="dxa"/>
              <w:bottom w:w="50" w:type="dxa"/>
              <w:right w:w="100" w:type="dxa"/>
            </w:tcMar>
          </w:tcPr>
          <w:p w14:paraId="1CED6185" w14:textId="77777777" w:rsidR="002A7D06" w:rsidRDefault="00C914FB">
            <w:r>
              <w:rPr>
                <w:rFonts w:ascii="Calibri" w:hAnsi="Calibri"/>
                <w:b/>
                <w:bCs/>
                <w:color w:val="1F3864"/>
                <w:sz w:val="20"/>
                <w:szCs w:val="20"/>
              </w:rPr>
              <w:t>Role</w:t>
            </w:r>
          </w:p>
        </w:tc>
        <w:tc>
          <w:tcPr>
            <w:tcW w:w="2860" w:type="dxa"/>
            <w:tcBorders>
              <w:bottom w:val="single" w:sz="2" w:space="0" w:color="1F3864"/>
            </w:tcBorders>
            <w:tcMar>
              <w:top w:w="50" w:type="dxa"/>
              <w:left w:w="100" w:type="dxa"/>
              <w:bottom w:w="50" w:type="dxa"/>
              <w:right w:w="100" w:type="dxa"/>
            </w:tcMar>
          </w:tcPr>
          <w:p w14:paraId="59C2FDBC" w14:textId="77777777" w:rsidR="002A7D06" w:rsidRDefault="00C914FB">
            <w:pPr>
              <w:jc w:val="right"/>
            </w:pPr>
            <w:r>
              <w:rPr>
                <w:rFonts w:ascii="Calibri" w:hAnsi="Calibri"/>
                <w:b/>
                <w:bCs/>
                <w:color w:val="1F3864"/>
                <w:sz w:val="20"/>
                <w:szCs w:val="20"/>
              </w:rPr>
              <w:t>Median Market Rate</w:t>
            </w:r>
          </w:p>
        </w:tc>
      </w:tr>
      <w:tr w:rsidR="002A7D06" w14:paraId="486B52D3" w14:textId="77777777">
        <w:tc>
          <w:tcPr>
            <w:tcW w:w="6500" w:type="dxa"/>
            <w:tcBorders>
              <w:bottom w:val="single" w:sz="1" w:space="0" w:color="CCCCCC"/>
            </w:tcBorders>
            <w:tcMar>
              <w:top w:w="50" w:type="dxa"/>
              <w:left w:w="100" w:type="dxa"/>
              <w:bottom w:w="50" w:type="dxa"/>
              <w:right w:w="100" w:type="dxa"/>
            </w:tcMar>
          </w:tcPr>
          <w:p w14:paraId="465F2E1B" w14:textId="77777777" w:rsidR="002A7D06" w:rsidRDefault="00C914FB">
            <w:r>
              <w:rPr>
                <w:rFonts w:ascii="Calibri" w:hAnsi="Calibri"/>
                <w:b/>
                <w:bCs/>
                <w:sz w:val="20"/>
                <w:szCs w:val="20"/>
              </w:rPr>
              <w:t>CEO/President — Tuckerton Lumber (2 locations, $16.5M revenue)</w:t>
            </w:r>
          </w:p>
        </w:tc>
        <w:tc>
          <w:tcPr>
            <w:tcW w:w="2860" w:type="dxa"/>
            <w:tcBorders>
              <w:bottom w:val="single" w:sz="1" w:space="0" w:color="CCCCCC"/>
            </w:tcBorders>
            <w:tcMar>
              <w:top w:w="50" w:type="dxa"/>
              <w:left w:w="100" w:type="dxa"/>
              <w:bottom w:w="50" w:type="dxa"/>
              <w:right w:w="100" w:type="dxa"/>
            </w:tcMar>
          </w:tcPr>
          <w:p w14:paraId="4C78914F" w14:textId="77777777" w:rsidR="002A7D06" w:rsidRDefault="00C914FB">
            <w:pPr>
              <w:jc w:val="right"/>
            </w:pPr>
            <w:r>
              <w:rPr>
                <w:rFonts w:ascii="Calibri" w:hAnsi="Calibri"/>
                <w:sz w:val="20"/>
                <w:szCs w:val="20"/>
              </w:rPr>
              <w:t>$250,000/year</w:t>
            </w:r>
          </w:p>
        </w:tc>
      </w:tr>
      <w:tr w:rsidR="002A7D06" w14:paraId="5A77124C" w14:textId="77777777">
        <w:tc>
          <w:tcPr>
            <w:tcW w:w="6500" w:type="dxa"/>
            <w:tcBorders>
              <w:bottom w:val="single" w:sz="1" w:space="0" w:color="CCCCCC"/>
            </w:tcBorders>
            <w:tcMar>
              <w:top w:w="50" w:type="dxa"/>
              <w:left w:w="100" w:type="dxa"/>
              <w:bottom w:w="50" w:type="dxa"/>
              <w:right w:w="100" w:type="dxa"/>
            </w:tcMar>
          </w:tcPr>
          <w:p w14:paraId="58553B4C" w14:textId="77777777" w:rsidR="002A7D06" w:rsidRDefault="00C914FB">
            <w:r>
              <w:rPr>
                <w:rFonts w:ascii="Calibri" w:hAnsi="Calibri"/>
                <w:b/>
                <w:bCs/>
                <w:sz w:val="20"/>
                <w:szCs w:val="20"/>
              </w:rPr>
              <w:t>CEO/Managing Member — Surfbox (285 units, $708K+ revenue)</w:t>
            </w:r>
          </w:p>
        </w:tc>
        <w:tc>
          <w:tcPr>
            <w:tcW w:w="2860" w:type="dxa"/>
            <w:tcBorders>
              <w:bottom w:val="single" w:sz="1" w:space="0" w:color="CCCCCC"/>
            </w:tcBorders>
            <w:tcMar>
              <w:top w:w="50" w:type="dxa"/>
              <w:left w:w="100" w:type="dxa"/>
              <w:bottom w:w="50" w:type="dxa"/>
              <w:right w:w="100" w:type="dxa"/>
            </w:tcMar>
          </w:tcPr>
          <w:p w14:paraId="58D0B9DC" w14:textId="77777777" w:rsidR="002A7D06" w:rsidRDefault="00C914FB">
            <w:pPr>
              <w:jc w:val="right"/>
            </w:pPr>
            <w:r>
              <w:rPr>
                <w:rFonts w:ascii="Calibri" w:hAnsi="Calibri"/>
                <w:sz w:val="20"/>
                <w:szCs w:val="20"/>
              </w:rPr>
              <w:t>$115,000/year</w:t>
            </w:r>
          </w:p>
        </w:tc>
      </w:tr>
      <w:tr w:rsidR="002A7D06" w14:paraId="4A69F4A2" w14:textId="77777777">
        <w:tc>
          <w:tcPr>
            <w:tcW w:w="6500" w:type="dxa"/>
            <w:tcBorders>
              <w:bottom w:val="single" w:sz="1" w:space="0" w:color="CCCCCC"/>
            </w:tcBorders>
            <w:tcMar>
              <w:top w:w="50" w:type="dxa"/>
              <w:left w:w="100" w:type="dxa"/>
              <w:bottom w:w="50" w:type="dxa"/>
              <w:right w:w="100" w:type="dxa"/>
            </w:tcMar>
          </w:tcPr>
          <w:p w14:paraId="2505E499" w14:textId="77777777" w:rsidR="002A7D06" w:rsidRDefault="00C914FB">
            <w:r>
              <w:rPr>
                <w:rFonts w:ascii="Calibri" w:hAnsi="Calibri"/>
                <w:b/>
                <w:bCs/>
                <w:sz w:val="20"/>
                <w:szCs w:val="20"/>
              </w:rPr>
              <w:t>Combined Median Cash Market Rate</w:t>
            </w:r>
          </w:p>
        </w:tc>
        <w:tc>
          <w:tcPr>
            <w:tcW w:w="2860" w:type="dxa"/>
            <w:tcBorders>
              <w:bottom w:val="single" w:sz="1" w:space="0" w:color="CCCCCC"/>
            </w:tcBorders>
            <w:tcMar>
              <w:top w:w="50" w:type="dxa"/>
              <w:left w:w="100" w:type="dxa"/>
              <w:bottom w:w="50" w:type="dxa"/>
              <w:right w:w="100" w:type="dxa"/>
            </w:tcMar>
          </w:tcPr>
          <w:p w14:paraId="6E1F8624" w14:textId="77777777" w:rsidR="002A7D06" w:rsidRDefault="00C914FB">
            <w:pPr>
              <w:jc w:val="right"/>
            </w:pPr>
            <w:r>
              <w:rPr>
                <w:rFonts w:ascii="Calibri" w:hAnsi="Calibri"/>
                <w:sz w:val="20"/>
                <w:szCs w:val="20"/>
              </w:rPr>
              <w:t>$365,000/year</w:t>
            </w:r>
          </w:p>
        </w:tc>
      </w:tr>
    </w:tbl>
    <w:p w14:paraId="26BE0510" w14:textId="77777777" w:rsidR="00C86FD1" w:rsidRDefault="00C86FD1">
      <w:pPr>
        <w:spacing w:after="140" w:line="276" w:lineRule="auto"/>
        <w:rPr>
          <w:rFonts w:ascii="Calibri" w:hAnsi="Calibri"/>
          <w:color w:val="1A1A1A"/>
          <w:sz w:val="21"/>
        </w:rPr>
      </w:pPr>
    </w:p>
    <w:p w14:paraId="6C8978AA" w14:textId="3F0D4A75" w:rsidR="002A7D06" w:rsidRPr="00C86FD1" w:rsidRDefault="00C86FD1">
      <w:pPr>
        <w:spacing w:after="140" w:line="276" w:lineRule="auto"/>
        <w:rPr>
          <w:b/>
          <w:bCs/>
          <w:color w:val="1F3864"/>
          <w:sz w:val="24"/>
          <w:szCs w:val="24"/>
        </w:rPr>
      </w:pPr>
      <w:r>
        <w:rPr>
          <w:rFonts w:ascii="Calibri" w:hAnsi="Calibri"/>
          <w:color w:val="1A1A1A"/>
          <w:sz w:val="21"/>
        </w:rPr>
        <w:t>The adjustment proposed below closes that gap in a measured, financially defensible way</w:t>
      </w:r>
      <w:r w:rsidR="00C914FB">
        <w:rPr>
          <w:rFonts w:ascii="Calibri" w:hAnsi="Calibri"/>
          <w:sz w:val="21"/>
        </w:rPr>
        <w:t xml:space="preserve"> which counts the value of benefits inside the 75</w:t>
      </w:r>
      <w:proofErr w:type="gramStart"/>
      <w:r w:rsidR="00C914FB">
        <w:rPr>
          <w:rFonts w:ascii="Calibri" w:hAnsi="Calibri"/>
          <w:sz w:val="21"/>
        </w:rPr>
        <w:t>%</w:t>
      </w:r>
      <w:r>
        <w:rPr>
          <w:rFonts w:ascii="Calibri" w:hAnsi="Calibri"/>
          <w:color w:val="1A1A1A"/>
          <w:sz w:val="21"/>
        </w:rPr>
        <w:t>.</w:t>
      </w:r>
      <w:r w:rsidR="00F65DC7">
        <w:rPr>
          <w:rFonts w:ascii="Calibri" w:hAnsi="Calibri"/>
          <w:sz w:val="21"/>
        </w:rPr>
        <w:t>median</w:t>
      </w:r>
      <w:proofErr w:type="gramEnd"/>
      <w:r w:rsidR="00F65DC7">
        <w:rPr>
          <w:rFonts w:ascii="Calibri" w:hAnsi="Calibri"/>
          <w:sz w:val="21"/>
        </w:rPr>
        <w:t xml:space="preserve"> </w:t>
      </w:r>
      <w:r w:rsidR="00C914FB">
        <w:rPr>
          <w:rFonts w:ascii="Calibri" w:hAnsi="Calibri"/>
          <w:sz w:val="21"/>
        </w:rPr>
        <w:t>target rather than on top of it. This means I am effectively taking a lower cash salary to account for the benefits I already receive. I made this choice deliberately to prioritize the companies’ growth and to leave more cash available for operations, debt service, distributions, and reinvestment. It is the more conservative approach and reflects my continued commitment to building these businesses alongside the shareholders.</w:t>
      </w:r>
    </w:p>
    <w:p w14:paraId="70E6F0EA" w14:textId="5C65E3D4" w:rsidR="002A7D06" w:rsidRDefault="00C914FB">
      <w:pPr>
        <w:spacing w:before="320" w:after="140" w:line="276" w:lineRule="auto"/>
      </w:pPr>
      <w:r>
        <w:rPr>
          <w:rFonts w:ascii="Calibri" w:hAnsi="Calibri"/>
          <w:b/>
          <w:bCs/>
          <w:color w:val="1F3864"/>
          <w:sz w:val="24"/>
          <w:szCs w:val="24"/>
        </w:rPr>
        <w:t>Proposed 2026 Compensation</w:t>
      </w:r>
      <w:r w:rsidR="00C86FD1">
        <w:rPr>
          <w:rFonts w:ascii="Calibri" w:hAnsi="Calibri"/>
          <w:b/>
          <w:bCs/>
          <w:color w:val="1F3864"/>
          <w:sz w:val="24"/>
          <w:szCs w:val="24"/>
        </w:rPr>
        <w:t xml:space="preserve"> (effective 5-1-</w:t>
      </w:r>
      <w:proofErr w:type="gramStart"/>
      <w:r w:rsidR="00C86FD1">
        <w:rPr>
          <w:rFonts w:ascii="Calibri" w:hAnsi="Calibri"/>
          <w:b/>
          <w:bCs/>
          <w:color w:val="1F3864"/>
          <w:sz w:val="24"/>
          <w:szCs w:val="24"/>
        </w:rPr>
        <w:t>2026)</w:t>
      </w:r>
      <w:r>
        <w:rPr>
          <w:rFonts w:ascii="Calibri" w:hAnsi="Calibri"/>
          <w:b/>
          <w:bCs/>
          <w:color w:val="1F3864"/>
          <w:sz w:val="24"/>
          <w:szCs w:val="24"/>
        </w:rPr>
        <w:t xml:space="preserve"> —</w:t>
      </w:r>
      <w:proofErr w:type="gramEnd"/>
      <w:r>
        <w:rPr>
          <w:rFonts w:ascii="Calibri" w:hAnsi="Calibri"/>
          <w:b/>
          <w:bCs/>
          <w:color w:val="1F3864"/>
          <w:sz w:val="24"/>
          <w:szCs w:val="24"/>
        </w:rPr>
        <w:t xml:space="preserve"> at </w:t>
      </w:r>
      <w:r w:rsidR="00C86FD1">
        <w:rPr>
          <w:rFonts w:ascii="Calibri" w:hAnsi="Calibri"/>
          <w:b/>
          <w:bCs/>
          <w:color w:val="1F3864"/>
          <w:sz w:val="24"/>
          <w:szCs w:val="24"/>
        </w:rPr>
        <w:t>68</w:t>
      </w:r>
      <w:r>
        <w:rPr>
          <w:rFonts w:ascii="Calibri" w:hAnsi="Calibri"/>
          <w:b/>
          <w:bCs/>
          <w:color w:val="1F3864"/>
          <w:sz w:val="24"/>
          <w:szCs w:val="24"/>
        </w:rPr>
        <w:t>% of Median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2280"/>
        <w:gridCol w:w="2280"/>
      </w:tblGrid>
      <w:tr w:rsidR="002A7D06" w14:paraId="18BFFB1B" w14:textId="77777777">
        <w:tc>
          <w:tcPr>
            <w:tcW w:w="4800" w:type="dxa"/>
            <w:tcBorders>
              <w:bottom w:val="single" w:sz="2" w:space="0" w:color="1F3864"/>
            </w:tcBorders>
            <w:tcMar>
              <w:top w:w="50" w:type="dxa"/>
              <w:left w:w="100" w:type="dxa"/>
              <w:bottom w:w="50" w:type="dxa"/>
              <w:right w:w="100" w:type="dxa"/>
            </w:tcMar>
          </w:tcPr>
          <w:p w14:paraId="66B53538" w14:textId="77777777" w:rsidR="002A7D06" w:rsidRDefault="00C914FB">
            <w:r>
              <w:rPr>
                <w:rFonts w:ascii="Calibri" w:hAnsi="Calibri"/>
                <w:b/>
                <w:bCs/>
                <w:color w:val="1F3864"/>
                <w:sz w:val="20"/>
                <w:szCs w:val="20"/>
              </w:rPr>
              <w:t>Component</w:t>
            </w:r>
          </w:p>
        </w:tc>
        <w:tc>
          <w:tcPr>
            <w:tcW w:w="2280" w:type="dxa"/>
            <w:tcBorders>
              <w:bottom w:val="single" w:sz="2" w:space="0" w:color="1F3864"/>
            </w:tcBorders>
            <w:tcMar>
              <w:top w:w="50" w:type="dxa"/>
              <w:left w:w="100" w:type="dxa"/>
              <w:bottom w:w="50" w:type="dxa"/>
              <w:right w:w="100" w:type="dxa"/>
            </w:tcMar>
          </w:tcPr>
          <w:p w14:paraId="50C79B0E" w14:textId="77777777" w:rsidR="002A7D06" w:rsidRDefault="00C914FB">
            <w:pPr>
              <w:jc w:val="right"/>
            </w:pPr>
            <w:r>
              <w:rPr>
                <w:rFonts w:ascii="Calibri" w:hAnsi="Calibri"/>
                <w:b/>
                <w:bCs/>
                <w:color w:val="1F3864"/>
                <w:sz w:val="20"/>
                <w:szCs w:val="20"/>
              </w:rPr>
              <w:t>Market (100%)</w:t>
            </w:r>
          </w:p>
        </w:tc>
        <w:tc>
          <w:tcPr>
            <w:tcW w:w="2280" w:type="dxa"/>
            <w:tcBorders>
              <w:bottom w:val="single" w:sz="2" w:space="0" w:color="1F3864"/>
            </w:tcBorders>
            <w:tcMar>
              <w:top w:w="50" w:type="dxa"/>
              <w:left w:w="100" w:type="dxa"/>
              <w:bottom w:w="50" w:type="dxa"/>
              <w:right w:w="100" w:type="dxa"/>
            </w:tcMar>
          </w:tcPr>
          <w:p w14:paraId="14944FA4" w14:textId="77777777" w:rsidR="002A7D06" w:rsidRDefault="00C914FB">
            <w:pPr>
              <w:jc w:val="right"/>
            </w:pPr>
            <w:r>
              <w:rPr>
                <w:rFonts w:ascii="Calibri" w:hAnsi="Calibri"/>
                <w:b/>
                <w:bCs/>
                <w:color w:val="1F3864"/>
                <w:sz w:val="20"/>
                <w:szCs w:val="20"/>
              </w:rPr>
              <w:t>At 75%</w:t>
            </w:r>
          </w:p>
        </w:tc>
      </w:tr>
      <w:tr w:rsidR="002A7D06" w14:paraId="0836DD4C" w14:textId="77777777">
        <w:tc>
          <w:tcPr>
            <w:tcW w:w="4800" w:type="dxa"/>
            <w:tcBorders>
              <w:bottom w:val="single" w:sz="1" w:space="0" w:color="CCCCCC"/>
            </w:tcBorders>
            <w:tcMar>
              <w:top w:w="50" w:type="dxa"/>
              <w:left w:w="100" w:type="dxa"/>
              <w:bottom w:w="50" w:type="dxa"/>
              <w:right w:w="100" w:type="dxa"/>
            </w:tcMar>
          </w:tcPr>
          <w:p w14:paraId="1810FAF3" w14:textId="77777777" w:rsidR="002A7D06" w:rsidRDefault="00C914FB">
            <w:r>
              <w:rPr>
                <w:rFonts w:ascii="Calibri" w:hAnsi="Calibri"/>
                <w:b/>
                <w:bCs/>
                <w:sz w:val="20"/>
                <w:szCs w:val="20"/>
              </w:rPr>
              <w:t>TLC CEO cash</w:t>
            </w:r>
          </w:p>
        </w:tc>
        <w:tc>
          <w:tcPr>
            <w:tcW w:w="2280" w:type="dxa"/>
            <w:tcBorders>
              <w:bottom w:val="single" w:sz="1" w:space="0" w:color="CCCCCC"/>
            </w:tcBorders>
            <w:tcMar>
              <w:top w:w="50" w:type="dxa"/>
              <w:left w:w="100" w:type="dxa"/>
              <w:bottom w:w="50" w:type="dxa"/>
              <w:right w:w="100" w:type="dxa"/>
            </w:tcMar>
          </w:tcPr>
          <w:p w14:paraId="5E780255" w14:textId="77777777" w:rsidR="002A7D06" w:rsidRDefault="00C914FB">
            <w:pPr>
              <w:jc w:val="right"/>
            </w:pPr>
            <w:r>
              <w:rPr>
                <w:rFonts w:ascii="Calibri" w:hAnsi="Calibri"/>
                <w:sz w:val="20"/>
                <w:szCs w:val="20"/>
              </w:rPr>
              <w:t>$250,000</w:t>
            </w:r>
          </w:p>
        </w:tc>
        <w:tc>
          <w:tcPr>
            <w:tcW w:w="2280" w:type="dxa"/>
            <w:tcBorders>
              <w:bottom w:val="single" w:sz="1" w:space="0" w:color="CCCCCC"/>
            </w:tcBorders>
            <w:tcMar>
              <w:top w:w="50" w:type="dxa"/>
              <w:left w:w="100" w:type="dxa"/>
              <w:bottom w:w="50" w:type="dxa"/>
              <w:right w:w="100" w:type="dxa"/>
            </w:tcMar>
          </w:tcPr>
          <w:p w14:paraId="3CFE70B6" w14:textId="77777777" w:rsidR="002A7D06" w:rsidRDefault="00C914FB">
            <w:pPr>
              <w:jc w:val="right"/>
            </w:pPr>
            <w:r>
              <w:rPr>
                <w:rFonts w:ascii="Calibri" w:hAnsi="Calibri"/>
                <w:sz w:val="20"/>
                <w:szCs w:val="20"/>
              </w:rPr>
              <w:t>—</w:t>
            </w:r>
          </w:p>
        </w:tc>
      </w:tr>
      <w:tr w:rsidR="002A7D06" w14:paraId="6FB56865" w14:textId="77777777">
        <w:tc>
          <w:tcPr>
            <w:tcW w:w="4800" w:type="dxa"/>
            <w:tcBorders>
              <w:bottom w:val="single" w:sz="1" w:space="0" w:color="CCCCCC"/>
            </w:tcBorders>
            <w:tcMar>
              <w:top w:w="50" w:type="dxa"/>
              <w:left w:w="100" w:type="dxa"/>
              <w:bottom w:w="50" w:type="dxa"/>
              <w:right w:w="100" w:type="dxa"/>
            </w:tcMar>
          </w:tcPr>
          <w:p w14:paraId="3BD464A8" w14:textId="77777777" w:rsidR="002A7D06" w:rsidRDefault="00C914FB">
            <w:r>
              <w:rPr>
                <w:rFonts w:ascii="Calibri" w:hAnsi="Calibri"/>
                <w:b/>
                <w:bCs/>
                <w:sz w:val="20"/>
                <w:szCs w:val="20"/>
              </w:rPr>
              <w:t>Surfbox CEO cash</w:t>
            </w:r>
          </w:p>
        </w:tc>
        <w:tc>
          <w:tcPr>
            <w:tcW w:w="2280" w:type="dxa"/>
            <w:tcBorders>
              <w:bottom w:val="single" w:sz="1" w:space="0" w:color="CCCCCC"/>
            </w:tcBorders>
            <w:tcMar>
              <w:top w:w="50" w:type="dxa"/>
              <w:left w:w="100" w:type="dxa"/>
              <w:bottom w:w="50" w:type="dxa"/>
              <w:right w:w="100" w:type="dxa"/>
            </w:tcMar>
          </w:tcPr>
          <w:p w14:paraId="5E2655C6" w14:textId="77777777" w:rsidR="002A7D06" w:rsidRDefault="00C914FB">
            <w:pPr>
              <w:jc w:val="right"/>
            </w:pPr>
            <w:r>
              <w:rPr>
                <w:rFonts w:ascii="Calibri" w:hAnsi="Calibri"/>
                <w:sz w:val="20"/>
                <w:szCs w:val="20"/>
              </w:rPr>
              <w:t>$115,000</w:t>
            </w:r>
          </w:p>
        </w:tc>
        <w:tc>
          <w:tcPr>
            <w:tcW w:w="2280" w:type="dxa"/>
            <w:tcBorders>
              <w:bottom w:val="single" w:sz="1" w:space="0" w:color="CCCCCC"/>
            </w:tcBorders>
            <w:tcMar>
              <w:top w:w="50" w:type="dxa"/>
              <w:left w:w="100" w:type="dxa"/>
              <w:bottom w:w="50" w:type="dxa"/>
              <w:right w:w="100" w:type="dxa"/>
            </w:tcMar>
          </w:tcPr>
          <w:p w14:paraId="7FB57779" w14:textId="77777777" w:rsidR="002A7D06" w:rsidRDefault="00C914FB">
            <w:pPr>
              <w:jc w:val="right"/>
            </w:pPr>
            <w:r>
              <w:rPr>
                <w:rFonts w:ascii="Calibri" w:hAnsi="Calibri"/>
                <w:sz w:val="20"/>
                <w:szCs w:val="20"/>
              </w:rPr>
              <w:t>—</w:t>
            </w:r>
          </w:p>
        </w:tc>
      </w:tr>
      <w:tr w:rsidR="002A7D06" w14:paraId="3151C79D" w14:textId="77777777">
        <w:tc>
          <w:tcPr>
            <w:tcW w:w="4800" w:type="dxa"/>
            <w:tcBorders>
              <w:bottom w:val="single" w:sz="1" w:space="0" w:color="CCCCCC"/>
            </w:tcBorders>
            <w:tcMar>
              <w:top w:w="50" w:type="dxa"/>
              <w:left w:w="100" w:type="dxa"/>
              <w:bottom w:w="50" w:type="dxa"/>
              <w:right w:w="100" w:type="dxa"/>
            </w:tcMar>
          </w:tcPr>
          <w:p w14:paraId="1D72EC3F" w14:textId="77777777" w:rsidR="002A7D06" w:rsidRDefault="00C914FB">
            <w:r>
              <w:rPr>
                <w:rFonts w:ascii="Calibri" w:hAnsi="Calibri"/>
                <w:b/>
                <w:bCs/>
                <w:sz w:val="20"/>
                <w:szCs w:val="20"/>
              </w:rPr>
              <w:t>Combined market rate</w:t>
            </w:r>
          </w:p>
        </w:tc>
        <w:tc>
          <w:tcPr>
            <w:tcW w:w="2280" w:type="dxa"/>
            <w:tcBorders>
              <w:bottom w:val="single" w:sz="1" w:space="0" w:color="CCCCCC"/>
            </w:tcBorders>
            <w:tcMar>
              <w:top w:w="50" w:type="dxa"/>
              <w:left w:w="100" w:type="dxa"/>
              <w:bottom w:w="50" w:type="dxa"/>
              <w:right w:w="100" w:type="dxa"/>
            </w:tcMar>
          </w:tcPr>
          <w:p w14:paraId="5CDDE29C" w14:textId="77777777" w:rsidR="002A7D06" w:rsidRDefault="00C914FB">
            <w:pPr>
              <w:jc w:val="right"/>
            </w:pPr>
            <w:r>
              <w:rPr>
                <w:rFonts w:ascii="Calibri" w:hAnsi="Calibri"/>
                <w:sz w:val="20"/>
                <w:szCs w:val="20"/>
              </w:rPr>
              <w:t>$365,000</w:t>
            </w:r>
          </w:p>
        </w:tc>
        <w:tc>
          <w:tcPr>
            <w:tcW w:w="2280" w:type="dxa"/>
            <w:tcBorders>
              <w:bottom w:val="single" w:sz="1" w:space="0" w:color="CCCCCC"/>
            </w:tcBorders>
            <w:tcMar>
              <w:top w:w="50" w:type="dxa"/>
              <w:left w:w="100" w:type="dxa"/>
              <w:bottom w:w="50" w:type="dxa"/>
              <w:right w:w="100" w:type="dxa"/>
            </w:tcMar>
          </w:tcPr>
          <w:p w14:paraId="474B5D94" w14:textId="1C267956" w:rsidR="002A7D06" w:rsidRDefault="00C914FB">
            <w:pPr>
              <w:jc w:val="right"/>
            </w:pPr>
            <w:r>
              <w:rPr>
                <w:rFonts w:ascii="Calibri" w:hAnsi="Calibri"/>
                <w:sz w:val="20"/>
                <w:szCs w:val="20"/>
              </w:rPr>
              <w:t>$2</w:t>
            </w:r>
            <w:r w:rsidR="00F65DC7">
              <w:rPr>
                <w:rFonts w:ascii="Calibri" w:hAnsi="Calibri"/>
                <w:sz w:val="20"/>
                <w:szCs w:val="20"/>
              </w:rPr>
              <w:t>50,00</w:t>
            </w:r>
            <w:r>
              <w:rPr>
                <w:rFonts w:ascii="Calibri" w:hAnsi="Calibri"/>
                <w:sz w:val="20"/>
                <w:szCs w:val="20"/>
              </w:rPr>
              <w:t>0</w:t>
            </w:r>
          </w:p>
        </w:tc>
      </w:tr>
      <w:tr w:rsidR="002A7D06" w14:paraId="1C8905F7" w14:textId="77777777">
        <w:tc>
          <w:tcPr>
            <w:tcW w:w="4800" w:type="dxa"/>
            <w:tcBorders>
              <w:bottom w:val="single" w:sz="1" w:space="0" w:color="CCCCCC"/>
            </w:tcBorders>
            <w:tcMar>
              <w:top w:w="50" w:type="dxa"/>
              <w:left w:w="100" w:type="dxa"/>
              <w:bottom w:w="50" w:type="dxa"/>
              <w:right w:w="100" w:type="dxa"/>
            </w:tcMar>
          </w:tcPr>
          <w:p w14:paraId="2963AB80" w14:textId="2D765F44" w:rsidR="002A7D06" w:rsidRDefault="00C914FB">
            <w:r>
              <w:rPr>
                <w:rFonts w:ascii="Calibri" w:hAnsi="Calibri"/>
                <w:b/>
                <w:bCs/>
                <w:sz w:val="20"/>
                <w:szCs w:val="20"/>
              </w:rPr>
              <w:lastRenderedPageBreak/>
              <w:t>benefits (health, vehicle, misc.)</w:t>
            </w:r>
          </w:p>
        </w:tc>
        <w:tc>
          <w:tcPr>
            <w:tcW w:w="2280" w:type="dxa"/>
            <w:tcBorders>
              <w:bottom w:val="single" w:sz="1" w:space="0" w:color="CCCCCC"/>
            </w:tcBorders>
            <w:tcMar>
              <w:top w:w="50" w:type="dxa"/>
              <w:left w:w="100" w:type="dxa"/>
              <w:bottom w:w="50" w:type="dxa"/>
              <w:right w:w="100" w:type="dxa"/>
            </w:tcMar>
          </w:tcPr>
          <w:p w14:paraId="6FB722B1" w14:textId="10E93745" w:rsidR="002A7D06" w:rsidRPr="00F65DC7" w:rsidRDefault="00F65DC7">
            <w:pPr>
              <w:jc w:val="right"/>
              <w:rPr>
                <w:sz w:val="16"/>
                <w:szCs w:val="16"/>
              </w:rPr>
            </w:pPr>
            <w:r w:rsidRPr="00F65DC7">
              <w:rPr>
                <w:rFonts w:ascii="Calibri" w:hAnsi="Calibri"/>
                <w:sz w:val="16"/>
                <w:szCs w:val="16"/>
              </w:rPr>
              <w:t>included</w:t>
            </w:r>
          </w:p>
        </w:tc>
        <w:tc>
          <w:tcPr>
            <w:tcW w:w="2280" w:type="dxa"/>
            <w:tcBorders>
              <w:bottom w:val="single" w:sz="1" w:space="0" w:color="CCCCCC"/>
            </w:tcBorders>
            <w:tcMar>
              <w:top w:w="50" w:type="dxa"/>
              <w:left w:w="100" w:type="dxa"/>
              <w:bottom w:w="50" w:type="dxa"/>
              <w:right w:w="100" w:type="dxa"/>
            </w:tcMar>
          </w:tcPr>
          <w:p w14:paraId="5FBACE4B" w14:textId="63D1A007" w:rsidR="002A7D06" w:rsidRPr="00F65DC7" w:rsidRDefault="00F65DC7">
            <w:pPr>
              <w:jc w:val="right"/>
              <w:rPr>
                <w:sz w:val="16"/>
                <w:szCs w:val="16"/>
              </w:rPr>
            </w:pPr>
            <w:r w:rsidRPr="00F65DC7">
              <w:rPr>
                <w:rFonts w:ascii="Calibri" w:hAnsi="Calibri"/>
                <w:sz w:val="16"/>
                <w:szCs w:val="16"/>
              </w:rPr>
              <w:t>included</w:t>
            </w:r>
          </w:p>
        </w:tc>
      </w:tr>
      <w:tr w:rsidR="002A7D06" w14:paraId="59D9062A" w14:textId="77777777">
        <w:tc>
          <w:tcPr>
            <w:tcW w:w="4800" w:type="dxa"/>
            <w:tcBorders>
              <w:bottom w:val="single" w:sz="1" w:space="0" w:color="CCCCCC"/>
            </w:tcBorders>
            <w:tcMar>
              <w:top w:w="50" w:type="dxa"/>
              <w:left w:w="100" w:type="dxa"/>
              <w:bottom w:w="50" w:type="dxa"/>
              <w:right w:w="100" w:type="dxa"/>
            </w:tcMar>
          </w:tcPr>
          <w:p w14:paraId="4FB68BBA" w14:textId="3131756B" w:rsidR="002A7D06" w:rsidRDefault="002A7D06"/>
        </w:tc>
        <w:tc>
          <w:tcPr>
            <w:tcW w:w="2280" w:type="dxa"/>
            <w:tcBorders>
              <w:bottom w:val="single" w:sz="1" w:space="0" w:color="CCCCCC"/>
            </w:tcBorders>
            <w:tcMar>
              <w:top w:w="50" w:type="dxa"/>
              <w:left w:w="100" w:type="dxa"/>
              <w:bottom w:w="50" w:type="dxa"/>
              <w:right w:w="100" w:type="dxa"/>
            </w:tcMar>
          </w:tcPr>
          <w:p w14:paraId="291B44D9" w14:textId="77777777" w:rsidR="002A7D06" w:rsidRDefault="002A7D06">
            <w:pPr>
              <w:jc w:val="right"/>
            </w:pPr>
          </w:p>
        </w:tc>
        <w:tc>
          <w:tcPr>
            <w:tcW w:w="2280" w:type="dxa"/>
            <w:tcBorders>
              <w:bottom w:val="single" w:sz="1" w:space="0" w:color="CCCCCC"/>
            </w:tcBorders>
            <w:tcMar>
              <w:top w:w="50" w:type="dxa"/>
              <w:left w:w="100" w:type="dxa"/>
              <w:bottom w:w="50" w:type="dxa"/>
              <w:right w:w="100" w:type="dxa"/>
            </w:tcMar>
          </w:tcPr>
          <w:p w14:paraId="162D105A" w14:textId="176DD1E9" w:rsidR="002A7D06" w:rsidRDefault="002A7D06">
            <w:pPr>
              <w:jc w:val="right"/>
            </w:pPr>
          </w:p>
        </w:tc>
      </w:tr>
    </w:tbl>
    <w:p w14:paraId="03D6305A" w14:textId="77777777" w:rsidR="002A7D06" w:rsidRDefault="002A7D06">
      <w:pPr>
        <w:spacing w:after="140" w:line="276" w:lineRule="auto"/>
      </w:pPr>
    </w:p>
    <w:p w14:paraId="54A49E78" w14:textId="77777777" w:rsidR="002A7D06" w:rsidRDefault="00C914FB">
      <w:pPr>
        <w:spacing w:before="320" w:after="140" w:line="276" w:lineRule="auto"/>
      </w:pPr>
      <w:r>
        <w:rPr>
          <w:rFonts w:ascii="Calibri" w:hAnsi="Calibri"/>
          <w:b/>
          <w:bCs/>
          <w:color w:val="1F3864"/>
          <w:sz w:val="24"/>
          <w:szCs w:val="24"/>
        </w:rPr>
        <w:t>Glide Path to 90%</w:t>
      </w:r>
    </w:p>
    <w:p w14:paraId="4A605582" w14:textId="3CACA082" w:rsidR="002A7D06" w:rsidRDefault="00C914FB">
      <w:pPr>
        <w:spacing w:after="140" w:line="276" w:lineRule="auto"/>
      </w:pPr>
      <w:r>
        <w:rPr>
          <w:rFonts w:ascii="Calibri" w:hAnsi="Calibri"/>
          <w:sz w:val="21"/>
        </w:rPr>
        <w:t xml:space="preserve">The </w:t>
      </w:r>
      <w:r w:rsidR="00C86FD1">
        <w:rPr>
          <w:rFonts w:ascii="Calibri" w:hAnsi="Calibri"/>
          <w:sz w:val="21"/>
        </w:rPr>
        <w:t>68</w:t>
      </w:r>
      <w:r>
        <w:rPr>
          <w:rFonts w:ascii="Calibri" w:hAnsi="Calibri"/>
          <w:sz w:val="21"/>
        </w:rPr>
        <w:t xml:space="preserve">% target is a starting point. My intention is to move toward 90% of median market rate over the next </w:t>
      </w:r>
      <w:r w:rsidR="00F65DC7">
        <w:rPr>
          <w:rFonts w:ascii="Calibri" w:hAnsi="Calibri"/>
          <w:sz w:val="21"/>
        </w:rPr>
        <w:t>three</w:t>
      </w:r>
      <w:r>
        <w:rPr>
          <w:rFonts w:ascii="Calibri" w:hAnsi="Calibri"/>
          <w:sz w:val="21"/>
        </w:rPr>
        <w:t xml:space="preserve"> to </w:t>
      </w:r>
      <w:r w:rsidR="00F65DC7">
        <w:rPr>
          <w:rFonts w:ascii="Calibri" w:hAnsi="Calibri"/>
          <w:sz w:val="21"/>
        </w:rPr>
        <w:t>five</w:t>
      </w:r>
      <w:r>
        <w:rPr>
          <w:rFonts w:ascii="Calibri" w:hAnsi="Calibri"/>
          <w:sz w:val="21"/>
        </w:rPr>
        <w:t xml:space="preserve"> years as the businesses continue to grow. This glide path allows the companies to absorb the adjustment gradually and ensures that each increase is earned through demonstrated growth in revenue, margins, and equity value.</w:t>
      </w:r>
    </w:p>
    <w:p w14:paraId="55CF204F" w14:textId="77777777" w:rsidR="002A7D06" w:rsidRDefault="00C914FB">
      <w:pPr>
        <w:spacing w:before="320" w:after="140" w:line="276" w:lineRule="auto"/>
      </w:pPr>
      <w:r>
        <w:rPr>
          <w:rFonts w:ascii="Calibri" w:hAnsi="Calibri"/>
          <w:b/>
          <w:bCs/>
          <w:color w:val="1F3864"/>
          <w:sz w:val="24"/>
          <w:szCs w:val="24"/>
        </w:rPr>
        <w:t>A Note on Future Business Valuation</w:t>
      </w:r>
    </w:p>
    <w:p w14:paraId="06176526" w14:textId="77777777" w:rsidR="002A7D06" w:rsidRDefault="00C914FB">
      <w:pPr>
        <w:spacing w:after="140" w:line="276" w:lineRule="auto"/>
      </w:pPr>
      <w:r>
        <w:rPr>
          <w:rFonts w:ascii="Calibri" w:hAnsi="Calibri"/>
          <w:sz w:val="21"/>
        </w:rPr>
        <w:t xml:space="preserve">One additional consideration worth noting: when the time comes to sell or transition these businesses, a buyer will normalize management compensation to market rate in their valuation model. If management compensation is significantly below market, a buyer adjusts EBITDA downward because they know a replacement will cost more. In other words, below-market compensation artificially inflates EBITDA today but reduces the sale price tomorrow. Moving toward market rate over time is not only fair to management — it produces cleaner, </w:t>
      </w:r>
      <w:proofErr w:type="gramStart"/>
      <w:r>
        <w:rPr>
          <w:rFonts w:ascii="Calibri" w:hAnsi="Calibri"/>
          <w:sz w:val="21"/>
        </w:rPr>
        <w:t>more accurate financials</w:t>
      </w:r>
      <w:proofErr w:type="gramEnd"/>
      <w:r>
        <w:rPr>
          <w:rFonts w:ascii="Calibri" w:hAnsi="Calibri"/>
          <w:sz w:val="21"/>
        </w:rPr>
        <w:t xml:space="preserve"> that will ultimately benefit all shareholders at the point of exit.</w:t>
      </w:r>
    </w:p>
    <w:p w14:paraId="4A900C3D" w14:textId="77777777" w:rsidR="002A7D06" w:rsidRDefault="00C914FB">
      <w:pPr>
        <w:spacing w:before="320" w:after="140" w:line="276" w:lineRule="auto"/>
      </w:pPr>
      <w:r>
        <w:rPr>
          <w:rFonts w:ascii="Calibri" w:hAnsi="Calibri"/>
          <w:b/>
          <w:bCs/>
          <w:color w:val="1F3864"/>
          <w:sz w:val="24"/>
          <w:szCs w:val="24"/>
        </w:rPr>
        <w:t>Deferred Surfbox Management Compensation</w:t>
      </w:r>
    </w:p>
    <w:p w14:paraId="13326B29" w14:textId="391D379A" w:rsidR="002A7D06" w:rsidRDefault="00C914FB">
      <w:pPr>
        <w:spacing w:after="140" w:line="276" w:lineRule="auto"/>
      </w:pPr>
      <w:r>
        <w:rPr>
          <w:rFonts w:ascii="Calibri" w:hAnsi="Calibri"/>
          <w:sz w:val="21"/>
        </w:rPr>
        <w:t xml:space="preserve">For </w:t>
      </w:r>
      <w:r w:rsidR="00F920B1">
        <w:rPr>
          <w:rFonts w:ascii="Calibri" w:hAnsi="Calibri"/>
          <w:sz w:val="21"/>
        </w:rPr>
        <w:t>six</w:t>
      </w:r>
      <w:r w:rsidR="00F65DC7">
        <w:rPr>
          <w:rFonts w:ascii="Calibri" w:hAnsi="Calibri"/>
          <w:sz w:val="21"/>
        </w:rPr>
        <w:t xml:space="preserve"> and half </w:t>
      </w:r>
      <w:r>
        <w:rPr>
          <w:rFonts w:ascii="Calibri" w:hAnsi="Calibri"/>
          <w:sz w:val="21"/>
        </w:rPr>
        <w:t>years (202</w:t>
      </w:r>
      <w:r w:rsidR="00F65DC7">
        <w:rPr>
          <w:rFonts w:ascii="Calibri" w:hAnsi="Calibri"/>
          <w:sz w:val="21"/>
        </w:rPr>
        <w:t>0</w:t>
      </w:r>
      <w:r>
        <w:rPr>
          <w:rFonts w:ascii="Calibri" w:hAnsi="Calibri"/>
          <w:sz w:val="21"/>
        </w:rPr>
        <w:t>-202</w:t>
      </w:r>
      <w:r w:rsidR="00F65DC7">
        <w:rPr>
          <w:rFonts w:ascii="Calibri" w:hAnsi="Calibri"/>
          <w:sz w:val="21"/>
        </w:rPr>
        <w:t>6</w:t>
      </w:r>
      <w:r>
        <w:rPr>
          <w:rFonts w:ascii="Calibri" w:hAnsi="Calibri"/>
          <w:sz w:val="21"/>
        </w:rPr>
        <w:t>), I received $0 in compensation for managing the Surfbox business. Rather than claiming the full current-scale compensation retroactively, I am proposing</w:t>
      </w:r>
      <w:r w:rsidR="00F65DC7">
        <w:rPr>
          <w:rFonts w:ascii="Calibri" w:hAnsi="Calibri"/>
          <w:sz w:val="21"/>
        </w:rPr>
        <w:t xml:space="preserve"> the below for </w:t>
      </w:r>
      <w:r>
        <w:rPr>
          <w:rFonts w:ascii="Calibri" w:hAnsi="Calibri"/>
          <w:sz w:val="21"/>
        </w:rPr>
        <w:t>the workload of building the business from scratch — site selection, vendor sourcing, logistics setup, marketing, customer acquisition, and regulatory groundwork — was substantial even though unit counts were lower:</w:t>
      </w:r>
    </w:p>
    <w:tbl>
      <w:tblPr>
        <w:tblW w:w="4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2"/>
        <w:gridCol w:w="1603"/>
        <w:gridCol w:w="2160"/>
      </w:tblGrid>
      <w:tr w:rsidR="00CB03AE" w14:paraId="506DB59E" w14:textId="77777777" w:rsidTr="00CB03AE">
        <w:tc>
          <w:tcPr>
            <w:tcW w:w="732" w:type="dxa"/>
            <w:tcBorders>
              <w:bottom w:val="single" w:sz="2" w:space="0" w:color="1F3864"/>
            </w:tcBorders>
            <w:tcMar>
              <w:top w:w="50" w:type="dxa"/>
              <w:left w:w="100" w:type="dxa"/>
              <w:bottom w:w="50" w:type="dxa"/>
              <w:right w:w="100" w:type="dxa"/>
            </w:tcMar>
          </w:tcPr>
          <w:p w14:paraId="1045C60F" w14:textId="77777777" w:rsidR="00CB03AE" w:rsidRDefault="00CB03AE">
            <w:r>
              <w:rPr>
                <w:rFonts w:ascii="Calibri" w:hAnsi="Calibri"/>
                <w:b/>
                <w:bCs/>
                <w:color w:val="1F3864"/>
                <w:sz w:val="20"/>
                <w:szCs w:val="20"/>
              </w:rPr>
              <w:t>Year</w:t>
            </w:r>
          </w:p>
        </w:tc>
        <w:tc>
          <w:tcPr>
            <w:tcW w:w="1603" w:type="dxa"/>
            <w:tcBorders>
              <w:bottom w:val="single" w:sz="2" w:space="0" w:color="1F3864"/>
            </w:tcBorders>
            <w:tcMar>
              <w:top w:w="50" w:type="dxa"/>
              <w:left w:w="100" w:type="dxa"/>
              <w:bottom w:w="50" w:type="dxa"/>
              <w:right w:w="100" w:type="dxa"/>
            </w:tcMar>
          </w:tcPr>
          <w:p w14:paraId="3C867033" w14:textId="77777777" w:rsidR="00CB03AE" w:rsidRDefault="00CB03AE">
            <w:pPr>
              <w:jc w:val="right"/>
            </w:pPr>
            <w:r>
              <w:rPr>
                <w:rFonts w:ascii="Calibri" w:hAnsi="Calibri"/>
                <w:b/>
                <w:bCs/>
                <w:color w:val="1F3864"/>
                <w:sz w:val="20"/>
                <w:szCs w:val="20"/>
              </w:rPr>
              <w:t>Paid</w:t>
            </w:r>
          </w:p>
        </w:tc>
        <w:tc>
          <w:tcPr>
            <w:tcW w:w="2160" w:type="dxa"/>
            <w:tcBorders>
              <w:bottom w:val="single" w:sz="2" w:space="0" w:color="1F3864"/>
            </w:tcBorders>
            <w:tcMar>
              <w:top w:w="50" w:type="dxa"/>
              <w:left w:w="100" w:type="dxa"/>
              <w:bottom w:w="50" w:type="dxa"/>
              <w:right w:w="100" w:type="dxa"/>
            </w:tcMar>
          </w:tcPr>
          <w:p w14:paraId="0C8B2095" w14:textId="77777777" w:rsidR="00CB03AE" w:rsidRDefault="00CB03AE">
            <w:pPr>
              <w:jc w:val="right"/>
            </w:pPr>
            <w:r>
              <w:rPr>
                <w:rFonts w:ascii="Calibri" w:hAnsi="Calibri"/>
                <w:b/>
                <w:bCs/>
                <w:color w:val="1F3864"/>
                <w:sz w:val="20"/>
                <w:szCs w:val="20"/>
              </w:rPr>
              <w:t>Deferred</w:t>
            </w:r>
          </w:p>
        </w:tc>
      </w:tr>
      <w:tr w:rsidR="00CB03AE" w14:paraId="1E65B345" w14:textId="77777777" w:rsidTr="00CB03AE">
        <w:tc>
          <w:tcPr>
            <w:tcW w:w="732" w:type="dxa"/>
            <w:tcBorders>
              <w:bottom w:val="single" w:sz="1" w:space="0" w:color="CCCCCC"/>
            </w:tcBorders>
            <w:tcMar>
              <w:top w:w="50" w:type="dxa"/>
              <w:left w:w="100" w:type="dxa"/>
              <w:bottom w:w="50" w:type="dxa"/>
              <w:right w:w="100" w:type="dxa"/>
            </w:tcMar>
          </w:tcPr>
          <w:p w14:paraId="1BDD3ECD" w14:textId="77777777" w:rsidR="00CB03AE" w:rsidRDefault="00CB03AE">
            <w:r>
              <w:rPr>
                <w:rFonts w:ascii="Calibri" w:hAnsi="Calibri"/>
                <w:b/>
                <w:bCs/>
                <w:sz w:val="20"/>
                <w:szCs w:val="20"/>
              </w:rPr>
              <w:t>2020</w:t>
            </w:r>
          </w:p>
        </w:tc>
        <w:tc>
          <w:tcPr>
            <w:tcW w:w="1603" w:type="dxa"/>
            <w:tcBorders>
              <w:bottom w:val="single" w:sz="1" w:space="0" w:color="CCCCCC"/>
            </w:tcBorders>
            <w:tcMar>
              <w:top w:w="50" w:type="dxa"/>
              <w:left w:w="100" w:type="dxa"/>
              <w:bottom w:w="50" w:type="dxa"/>
              <w:right w:w="100" w:type="dxa"/>
            </w:tcMar>
          </w:tcPr>
          <w:p w14:paraId="08A6D33F" w14:textId="77777777" w:rsidR="00CB03AE" w:rsidRDefault="00CB03AE">
            <w:pPr>
              <w:jc w:val="right"/>
            </w:pPr>
            <w:r>
              <w:rPr>
                <w:rFonts w:ascii="Calibri" w:hAnsi="Calibri"/>
                <w:sz w:val="20"/>
                <w:szCs w:val="20"/>
              </w:rPr>
              <w:t>$0</w:t>
            </w:r>
          </w:p>
        </w:tc>
        <w:tc>
          <w:tcPr>
            <w:tcW w:w="2160" w:type="dxa"/>
            <w:tcBorders>
              <w:bottom w:val="single" w:sz="1" w:space="0" w:color="CCCCCC"/>
            </w:tcBorders>
            <w:tcMar>
              <w:top w:w="50" w:type="dxa"/>
              <w:left w:w="100" w:type="dxa"/>
              <w:bottom w:w="50" w:type="dxa"/>
              <w:right w:w="100" w:type="dxa"/>
            </w:tcMar>
          </w:tcPr>
          <w:p w14:paraId="0302D302" w14:textId="5C6B2543" w:rsidR="00CB03AE" w:rsidRDefault="00CB03AE">
            <w:pPr>
              <w:jc w:val="right"/>
            </w:pPr>
            <w:r>
              <w:rPr>
                <w:rFonts w:ascii="Calibri" w:hAnsi="Calibri"/>
                <w:sz w:val="20"/>
                <w:szCs w:val="20"/>
              </w:rPr>
              <w:t>$0</w:t>
            </w:r>
          </w:p>
        </w:tc>
      </w:tr>
      <w:tr w:rsidR="00CB03AE" w14:paraId="648DBB79" w14:textId="77777777" w:rsidTr="00CB03AE">
        <w:tc>
          <w:tcPr>
            <w:tcW w:w="732" w:type="dxa"/>
            <w:tcBorders>
              <w:bottom w:val="single" w:sz="1" w:space="0" w:color="CCCCCC"/>
            </w:tcBorders>
            <w:tcMar>
              <w:top w:w="50" w:type="dxa"/>
              <w:left w:w="100" w:type="dxa"/>
              <w:bottom w:w="50" w:type="dxa"/>
              <w:right w:w="100" w:type="dxa"/>
            </w:tcMar>
          </w:tcPr>
          <w:p w14:paraId="3E9B12BE" w14:textId="77777777" w:rsidR="00CB03AE" w:rsidRDefault="00CB03AE" w:rsidP="00CB03AE">
            <w:r>
              <w:rPr>
                <w:rFonts w:ascii="Calibri" w:hAnsi="Calibri"/>
                <w:b/>
                <w:bCs/>
                <w:sz w:val="20"/>
                <w:szCs w:val="20"/>
              </w:rPr>
              <w:t>2021</w:t>
            </w:r>
          </w:p>
        </w:tc>
        <w:tc>
          <w:tcPr>
            <w:tcW w:w="1603" w:type="dxa"/>
            <w:tcBorders>
              <w:bottom w:val="single" w:sz="1" w:space="0" w:color="CCCCCC"/>
            </w:tcBorders>
            <w:tcMar>
              <w:top w:w="50" w:type="dxa"/>
              <w:left w:w="100" w:type="dxa"/>
              <w:bottom w:w="50" w:type="dxa"/>
              <w:right w:w="100" w:type="dxa"/>
            </w:tcMar>
          </w:tcPr>
          <w:p w14:paraId="21B02AFF" w14:textId="77777777" w:rsidR="00CB03AE" w:rsidRDefault="00CB03AE" w:rsidP="00CB03AE">
            <w:pPr>
              <w:jc w:val="right"/>
            </w:pPr>
            <w:r>
              <w:rPr>
                <w:rFonts w:ascii="Calibri" w:hAnsi="Calibri"/>
                <w:sz w:val="20"/>
                <w:szCs w:val="20"/>
              </w:rPr>
              <w:t>$0</w:t>
            </w:r>
          </w:p>
        </w:tc>
        <w:tc>
          <w:tcPr>
            <w:tcW w:w="2160" w:type="dxa"/>
            <w:tcBorders>
              <w:bottom w:val="single" w:sz="1" w:space="0" w:color="CCCCCC"/>
            </w:tcBorders>
            <w:tcMar>
              <w:top w:w="50" w:type="dxa"/>
              <w:left w:w="100" w:type="dxa"/>
              <w:bottom w:w="50" w:type="dxa"/>
              <w:right w:w="100" w:type="dxa"/>
            </w:tcMar>
          </w:tcPr>
          <w:p w14:paraId="7E6E3254" w14:textId="2219156D" w:rsidR="00CB03AE" w:rsidRDefault="00CB03AE" w:rsidP="00CB03AE">
            <w:pPr>
              <w:jc w:val="right"/>
            </w:pPr>
            <w:r w:rsidRPr="00CB03AE">
              <w:rPr>
                <w:rFonts w:ascii="Calibri" w:hAnsi="Calibri"/>
                <w:sz w:val="20"/>
              </w:rPr>
              <w:t>$0</w:t>
            </w:r>
          </w:p>
        </w:tc>
      </w:tr>
      <w:tr w:rsidR="00CB03AE" w14:paraId="0A921250" w14:textId="77777777" w:rsidTr="00CB03AE">
        <w:tc>
          <w:tcPr>
            <w:tcW w:w="732" w:type="dxa"/>
            <w:tcBorders>
              <w:bottom w:val="single" w:sz="1" w:space="0" w:color="CCCCCC"/>
            </w:tcBorders>
            <w:tcMar>
              <w:top w:w="50" w:type="dxa"/>
              <w:left w:w="100" w:type="dxa"/>
              <w:bottom w:w="50" w:type="dxa"/>
              <w:right w:w="100" w:type="dxa"/>
            </w:tcMar>
          </w:tcPr>
          <w:p w14:paraId="2C5DEDA5" w14:textId="77777777" w:rsidR="00CB03AE" w:rsidRDefault="00CB03AE" w:rsidP="00CB03AE">
            <w:r>
              <w:rPr>
                <w:rFonts w:ascii="Calibri" w:hAnsi="Calibri"/>
                <w:b/>
                <w:bCs/>
                <w:sz w:val="20"/>
                <w:szCs w:val="20"/>
              </w:rPr>
              <w:t>2022</w:t>
            </w:r>
          </w:p>
        </w:tc>
        <w:tc>
          <w:tcPr>
            <w:tcW w:w="1603" w:type="dxa"/>
            <w:tcBorders>
              <w:bottom w:val="single" w:sz="1" w:space="0" w:color="CCCCCC"/>
            </w:tcBorders>
            <w:tcMar>
              <w:top w:w="50" w:type="dxa"/>
              <w:left w:w="100" w:type="dxa"/>
              <w:bottom w:w="50" w:type="dxa"/>
              <w:right w:w="100" w:type="dxa"/>
            </w:tcMar>
          </w:tcPr>
          <w:p w14:paraId="26EA194B" w14:textId="77777777" w:rsidR="00CB03AE" w:rsidRDefault="00CB03AE" w:rsidP="00CB03AE">
            <w:pPr>
              <w:jc w:val="right"/>
            </w:pPr>
            <w:r>
              <w:rPr>
                <w:rFonts w:ascii="Calibri" w:hAnsi="Calibri"/>
                <w:sz w:val="20"/>
                <w:szCs w:val="20"/>
              </w:rPr>
              <w:t>$0</w:t>
            </w:r>
          </w:p>
        </w:tc>
        <w:tc>
          <w:tcPr>
            <w:tcW w:w="2160" w:type="dxa"/>
            <w:tcBorders>
              <w:bottom w:val="single" w:sz="1" w:space="0" w:color="CCCCCC"/>
            </w:tcBorders>
            <w:tcMar>
              <w:top w:w="50" w:type="dxa"/>
              <w:left w:w="100" w:type="dxa"/>
              <w:bottom w:w="50" w:type="dxa"/>
              <w:right w:w="100" w:type="dxa"/>
            </w:tcMar>
          </w:tcPr>
          <w:p w14:paraId="7DD90B43" w14:textId="7FAB0249" w:rsidR="00CB03AE" w:rsidRDefault="00CB03AE" w:rsidP="00CB03AE">
            <w:pPr>
              <w:jc w:val="right"/>
            </w:pPr>
            <w:r w:rsidRPr="00772C70">
              <w:rPr>
                <w:rFonts w:ascii="Calibri" w:hAnsi="Calibri"/>
                <w:sz w:val="20"/>
              </w:rPr>
              <w:t>$75,000</w:t>
            </w:r>
          </w:p>
        </w:tc>
      </w:tr>
      <w:tr w:rsidR="00CB03AE" w14:paraId="5589B8E4" w14:textId="77777777" w:rsidTr="00CB03AE">
        <w:tc>
          <w:tcPr>
            <w:tcW w:w="732" w:type="dxa"/>
            <w:tcBorders>
              <w:bottom w:val="single" w:sz="1" w:space="0" w:color="CCCCCC"/>
            </w:tcBorders>
            <w:tcMar>
              <w:top w:w="50" w:type="dxa"/>
              <w:left w:w="100" w:type="dxa"/>
              <w:bottom w:w="50" w:type="dxa"/>
              <w:right w:w="100" w:type="dxa"/>
            </w:tcMar>
          </w:tcPr>
          <w:p w14:paraId="20D53C0A" w14:textId="77777777" w:rsidR="00CB03AE" w:rsidRDefault="00CB03AE" w:rsidP="00CB03AE">
            <w:r>
              <w:rPr>
                <w:rFonts w:ascii="Calibri" w:hAnsi="Calibri"/>
                <w:b/>
                <w:bCs/>
                <w:sz w:val="20"/>
                <w:szCs w:val="20"/>
              </w:rPr>
              <w:t>2023</w:t>
            </w:r>
          </w:p>
        </w:tc>
        <w:tc>
          <w:tcPr>
            <w:tcW w:w="1603" w:type="dxa"/>
            <w:tcBorders>
              <w:bottom w:val="single" w:sz="1" w:space="0" w:color="CCCCCC"/>
            </w:tcBorders>
            <w:tcMar>
              <w:top w:w="50" w:type="dxa"/>
              <w:left w:w="100" w:type="dxa"/>
              <w:bottom w:w="50" w:type="dxa"/>
              <w:right w:w="100" w:type="dxa"/>
            </w:tcMar>
          </w:tcPr>
          <w:p w14:paraId="09C7745B" w14:textId="77777777" w:rsidR="00CB03AE" w:rsidRDefault="00CB03AE" w:rsidP="00CB03AE">
            <w:pPr>
              <w:jc w:val="right"/>
            </w:pPr>
            <w:r>
              <w:rPr>
                <w:rFonts w:ascii="Calibri" w:hAnsi="Calibri"/>
                <w:sz w:val="20"/>
                <w:szCs w:val="20"/>
              </w:rPr>
              <w:t>$0</w:t>
            </w:r>
          </w:p>
        </w:tc>
        <w:tc>
          <w:tcPr>
            <w:tcW w:w="2160" w:type="dxa"/>
            <w:tcBorders>
              <w:bottom w:val="single" w:sz="1" w:space="0" w:color="CCCCCC"/>
            </w:tcBorders>
            <w:tcMar>
              <w:top w:w="50" w:type="dxa"/>
              <w:left w:w="100" w:type="dxa"/>
              <w:bottom w:w="50" w:type="dxa"/>
              <w:right w:w="100" w:type="dxa"/>
            </w:tcMar>
          </w:tcPr>
          <w:p w14:paraId="43C772BE" w14:textId="7DD73A54" w:rsidR="00CB03AE" w:rsidRDefault="00CB03AE" w:rsidP="00CB03AE">
            <w:pPr>
              <w:jc w:val="right"/>
            </w:pPr>
            <w:r w:rsidRPr="00772C70">
              <w:rPr>
                <w:rFonts w:ascii="Calibri" w:hAnsi="Calibri"/>
                <w:sz w:val="20"/>
              </w:rPr>
              <w:t>$75,000</w:t>
            </w:r>
          </w:p>
        </w:tc>
      </w:tr>
      <w:tr w:rsidR="00CB03AE" w14:paraId="623EC48B" w14:textId="77777777" w:rsidTr="00CB03AE">
        <w:tc>
          <w:tcPr>
            <w:tcW w:w="732" w:type="dxa"/>
            <w:tcBorders>
              <w:bottom w:val="single" w:sz="1" w:space="0" w:color="CCCCCC"/>
            </w:tcBorders>
            <w:tcMar>
              <w:top w:w="50" w:type="dxa"/>
              <w:left w:w="100" w:type="dxa"/>
              <w:bottom w:w="50" w:type="dxa"/>
              <w:right w:w="100" w:type="dxa"/>
            </w:tcMar>
          </w:tcPr>
          <w:p w14:paraId="77EEDED3" w14:textId="2A207BC3" w:rsidR="00CB03AE" w:rsidRDefault="00CB03AE" w:rsidP="00CB03AE">
            <w:pPr>
              <w:rPr>
                <w:b/>
                <w:bCs/>
                <w:sz w:val="20"/>
                <w:szCs w:val="20"/>
              </w:rPr>
            </w:pPr>
            <w:r>
              <w:rPr>
                <w:rFonts w:ascii="Calibri" w:hAnsi="Calibri"/>
                <w:b/>
                <w:bCs/>
                <w:sz w:val="20"/>
                <w:szCs w:val="20"/>
              </w:rPr>
              <w:t>2024</w:t>
            </w:r>
          </w:p>
        </w:tc>
        <w:tc>
          <w:tcPr>
            <w:tcW w:w="1603" w:type="dxa"/>
            <w:tcBorders>
              <w:bottom w:val="single" w:sz="1" w:space="0" w:color="CCCCCC"/>
            </w:tcBorders>
            <w:tcMar>
              <w:top w:w="50" w:type="dxa"/>
              <w:left w:w="100" w:type="dxa"/>
              <w:bottom w:w="50" w:type="dxa"/>
              <w:right w:w="100" w:type="dxa"/>
            </w:tcMar>
          </w:tcPr>
          <w:p w14:paraId="41716A0F" w14:textId="0AE8E3C9" w:rsidR="00CB03AE" w:rsidRDefault="00CB03AE" w:rsidP="00CB03AE">
            <w:pPr>
              <w:jc w:val="right"/>
              <w:rPr>
                <w:sz w:val="20"/>
                <w:szCs w:val="20"/>
              </w:rPr>
            </w:pPr>
            <w:r w:rsidRPr="00F65DC7">
              <w:rPr>
                <w:rFonts w:ascii="Calibri" w:hAnsi="Calibri"/>
                <w:sz w:val="20"/>
                <w:szCs w:val="20"/>
              </w:rPr>
              <w:t>$0</w:t>
            </w:r>
          </w:p>
        </w:tc>
        <w:tc>
          <w:tcPr>
            <w:tcW w:w="2160" w:type="dxa"/>
            <w:tcBorders>
              <w:bottom w:val="single" w:sz="1" w:space="0" w:color="CCCCCC"/>
            </w:tcBorders>
            <w:tcMar>
              <w:top w:w="50" w:type="dxa"/>
              <w:left w:w="100" w:type="dxa"/>
              <w:bottom w:w="50" w:type="dxa"/>
              <w:right w:w="100" w:type="dxa"/>
            </w:tcMar>
          </w:tcPr>
          <w:p w14:paraId="36FEA64E" w14:textId="44E59D41" w:rsidR="00CB03AE" w:rsidRDefault="00CB03AE" w:rsidP="00CB03AE">
            <w:pPr>
              <w:jc w:val="right"/>
              <w:rPr>
                <w:sz w:val="20"/>
                <w:szCs w:val="20"/>
              </w:rPr>
            </w:pPr>
            <w:r w:rsidRPr="00772C70">
              <w:rPr>
                <w:rFonts w:ascii="Calibri" w:hAnsi="Calibri"/>
                <w:sz w:val="20"/>
              </w:rPr>
              <w:t>$75,000</w:t>
            </w:r>
          </w:p>
        </w:tc>
      </w:tr>
      <w:tr w:rsidR="00CB03AE" w14:paraId="2F450162" w14:textId="77777777" w:rsidTr="00CB03AE">
        <w:tc>
          <w:tcPr>
            <w:tcW w:w="732" w:type="dxa"/>
            <w:tcBorders>
              <w:bottom w:val="single" w:sz="1" w:space="0" w:color="CCCCCC"/>
            </w:tcBorders>
            <w:tcMar>
              <w:top w:w="50" w:type="dxa"/>
              <w:left w:w="100" w:type="dxa"/>
              <w:bottom w:w="50" w:type="dxa"/>
              <w:right w:w="100" w:type="dxa"/>
            </w:tcMar>
          </w:tcPr>
          <w:p w14:paraId="1F86E2D0" w14:textId="4F5A4ECC" w:rsidR="00CB03AE" w:rsidRDefault="00CB03AE">
            <w:r>
              <w:rPr>
                <w:rFonts w:ascii="Calibri" w:hAnsi="Calibri"/>
                <w:b/>
                <w:bCs/>
                <w:sz w:val="20"/>
                <w:szCs w:val="20"/>
              </w:rPr>
              <w:t>2025</w:t>
            </w:r>
          </w:p>
        </w:tc>
        <w:tc>
          <w:tcPr>
            <w:tcW w:w="1603" w:type="dxa"/>
            <w:tcBorders>
              <w:bottom w:val="single" w:sz="1" w:space="0" w:color="CCCCCC"/>
            </w:tcBorders>
            <w:tcMar>
              <w:top w:w="50" w:type="dxa"/>
              <w:left w:w="100" w:type="dxa"/>
              <w:bottom w:w="50" w:type="dxa"/>
              <w:right w:w="100" w:type="dxa"/>
            </w:tcMar>
          </w:tcPr>
          <w:p w14:paraId="4397D391" w14:textId="77777777" w:rsidR="00CB03AE" w:rsidRDefault="00CB03AE">
            <w:pPr>
              <w:jc w:val="right"/>
            </w:pPr>
            <w:r>
              <w:rPr>
                <w:rFonts w:ascii="Calibri" w:hAnsi="Calibri"/>
                <w:sz w:val="20"/>
                <w:szCs w:val="20"/>
              </w:rPr>
              <w:t>$0</w:t>
            </w:r>
          </w:p>
        </w:tc>
        <w:tc>
          <w:tcPr>
            <w:tcW w:w="2160" w:type="dxa"/>
            <w:tcBorders>
              <w:bottom w:val="single" w:sz="1" w:space="0" w:color="CCCCCC"/>
            </w:tcBorders>
            <w:tcMar>
              <w:top w:w="50" w:type="dxa"/>
              <w:left w:w="100" w:type="dxa"/>
              <w:bottom w:w="50" w:type="dxa"/>
              <w:right w:w="100" w:type="dxa"/>
            </w:tcMar>
          </w:tcPr>
          <w:p w14:paraId="329C3FB6" w14:textId="5C9AF9E9" w:rsidR="00CB03AE" w:rsidRDefault="00CB03AE">
            <w:pPr>
              <w:jc w:val="right"/>
            </w:pPr>
            <w:r w:rsidRPr="00CB03AE">
              <w:rPr>
                <w:rFonts w:ascii="Calibri" w:hAnsi="Calibri"/>
                <w:sz w:val="20"/>
                <w:szCs w:val="20"/>
              </w:rPr>
              <w:t>$75,000</w:t>
            </w:r>
          </w:p>
        </w:tc>
      </w:tr>
      <w:tr w:rsidR="00CB03AE" w14:paraId="606A3291" w14:textId="77777777" w:rsidTr="00F920B1">
        <w:tc>
          <w:tcPr>
            <w:tcW w:w="732" w:type="dxa"/>
            <w:tcMar>
              <w:top w:w="50" w:type="dxa"/>
              <w:left w:w="100" w:type="dxa"/>
              <w:bottom w:w="50" w:type="dxa"/>
              <w:right w:w="100" w:type="dxa"/>
            </w:tcMar>
          </w:tcPr>
          <w:p w14:paraId="2C2A76DC" w14:textId="56540AB1" w:rsidR="00CB03AE" w:rsidRDefault="00CB03AE">
            <w:pPr>
              <w:rPr>
                <w:b/>
                <w:bCs/>
                <w:sz w:val="20"/>
                <w:szCs w:val="20"/>
              </w:rPr>
            </w:pPr>
            <w:r>
              <w:rPr>
                <w:rFonts w:ascii="Calibri" w:hAnsi="Calibri"/>
                <w:b/>
                <w:bCs/>
                <w:sz w:val="20"/>
                <w:szCs w:val="20"/>
              </w:rPr>
              <w:t>2026</w:t>
            </w:r>
          </w:p>
        </w:tc>
        <w:tc>
          <w:tcPr>
            <w:tcW w:w="1603" w:type="dxa"/>
            <w:tcMar>
              <w:top w:w="50" w:type="dxa"/>
              <w:left w:w="100" w:type="dxa"/>
              <w:bottom w:w="50" w:type="dxa"/>
              <w:right w:w="100" w:type="dxa"/>
            </w:tcMar>
          </w:tcPr>
          <w:p w14:paraId="741EA305" w14:textId="0F833FFD" w:rsidR="00CB03AE" w:rsidRDefault="00CB03AE">
            <w:pPr>
              <w:jc w:val="right"/>
            </w:pPr>
            <w:r>
              <w:rPr>
                <w:rFonts w:ascii="Calibri" w:hAnsi="Calibri"/>
                <w:sz w:val="20"/>
              </w:rPr>
              <w:t>$0</w:t>
            </w:r>
          </w:p>
        </w:tc>
        <w:tc>
          <w:tcPr>
            <w:tcW w:w="2160" w:type="dxa"/>
            <w:tcMar>
              <w:top w:w="50" w:type="dxa"/>
              <w:left w:w="100" w:type="dxa"/>
              <w:bottom w:w="50" w:type="dxa"/>
              <w:right w:w="100" w:type="dxa"/>
            </w:tcMar>
          </w:tcPr>
          <w:p w14:paraId="5660F37F" w14:textId="2B03E5EB" w:rsidR="00CB03AE" w:rsidRDefault="00CB03AE">
            <w:pPr>
              <w:jc w:val="right"/>
              <w:rPr>
                <w:sz w:val="20"/>
                <w:szCs w:val="20"/>
              </w:rPr>
            </w:pPr>
            <w:r w:rsidRPr="00CB03AE">
              <w:rPr>
                <w:rFonts w:ascii="Calibri" w:hAnsi="Calibri"/>
                <w:sz w:val="20"/>
                <w:szCs w:val="20"/>
              </w:rPr>
              <w:t>$</w:t>
            </w:r>
            <w:r>
              <w:rPr>
                <w:rFonts w:ascii="Calibri" w:hAnsi="Calibri"/>
                <w:sz w:val="20"/>
                <w:szCs w:val="20"/>
              </w:rPr>
              <w:t>37</w:t>
            </w:r>
            <w:r w:rsidRPr="00CB03AE">
              <w:rPr>
                <w:rFonts w:ascii="Calibri" w:hAnsi="Calibri"/>
                <w:sz w:val="20"/>
                <w:szCs w:val="20"/>
              </w:rPr>
              <w:t>,</w:t>
            </w:r>
            <w:r w:rsidR="00F920B1">
              <w:rPr>
                <w:rFonts w:ascii="Calibri" w:hAnsi="Calibri"/>
                <w:sz w:val="20"/>
                <w:szCs w:val="20"/>
              </w:rPr>
              <w:t>5</w:t>
            </w:r>
            <w:r w:rsidRPr="00CB03AE">
              <w:rPr>
                <w:rFonts w:ascii="Calibri" w:hAnsi="Calibri"/>
                <w:sz w:val="20"/>
                <w:szCs w:val="20"/>
              </w:rPr>
              <w:t>00</w:t>
            </w:r>
          </w:p>
        </w:tc>
      </w:tr>
      <w:tr w:rsidR="00F920B1" w14:paraId="5E062424" w14:textId="77777777" w:rsidTr="00CB03AE">
        <w:tc>
          <w:tcPr>
            <w:tcW w:w="732" w:type="dxa"/>
            <w:tcBorders>
              <w:bottom w:val="single" w:sz="1" w:space="0" w:color="CCCCCC"/>
            </w:tcBorders>
            <w:tcMar>
              <w:top w:w="50" w:type="dxa"/>
              <w:left w:w="100" w:type="dxa"/>
              <w:bottom w:w="50" w:type="dxa"/>
              <w:right w:w="100" w:type="dxa"/>
            </w:tcMar>
          </w:tcPr>
          <w:p w14:paraId="7B315538" w14:textId="0AB010D0" w:rsidR="00F920B1" w:rsidRDefault="00F920B1">
            <w:pPr>
              <w:rPr>
                <w:b/>
                <w:bCs/>
                <w:sz w:val="20"/>
                <w:szCs w:val="20"/>
              </w:rPr>
            </w:pPr>
            <w:r>
              <w:rPr>
                <w:rFonts w:ascii="Calibri" w:hAnsi="Calibri"/>
                <w:b/>
                <w:bCs/>
                <w:sz w:val="20"/>
                <w:szCs w:val="20"/>
              </w:rPr>
              <w:t>Total</w:t>
            </w:r>
          </w:p>
        </w:tc>
        <w:tc>
          <w:tcPr>
            <w:tcW w:w="1603" w:type="dxa"/>
            <w:tcBorders>
              <w:bottom w:val="single" w:sz="1" w:space="0" w:color="CCCCCC"/>
            </w:tcBorders>
            <w:tcMar>
              <w:top w:w="50" w:type="dxa"/>
              <w:left w:w="100" w:type="dxa"/>
              <w:bottom w:w="50" w:type="dxa"/>
              <w:right w:w="100" w:type="dxa"/>
            </w:tcMar>
          </w:tcPr>
          <w:p w14:paraId="2E9F3E48" w14:textId="77777777" w:rsidR="00F920B1" w:rsidRDefault="00F920B1">
            <w:pPr>
              <w:jc w:val="right"/>
            </w:pPr>
          </w:p>
        </w:tc>
        <w:tc>
          <w:tcPr>
            <w:tcW w:w="2160" w:type="dxa"/>
            <w:tcBorders>
              <w:bottom w:val="single" w:sz="1" w:space="0" w:color="CCCCCC"/>
            </w:tcBorders>
            <w:tcMar>
              <w:top w:w="50" w:type="dxa"/>
              <w:left w:w="100" w:type="dxa"/>
              <w:bottom w:w="50" w:type="dxa"/>
              <w:right w:w="100" w:type="dxa"/>
            </w:tcMar>
          </w:tcPr>
          <w:p w14:paraId="2E250A3A" w14:textId="2AAF84F7" w:rsidR="00F920B1" w:rsidRPr="00CB03AE" w:rsidRDefault="00F920B1">
            <w:pPr>
              <w:jc w:val="right"/>
              <w:rPr>
                <w:sz w:val="20"/>
                <w:szCs w:val="20"/>
              </w:rPr>
            </w:pPr>
            <w:r>
              <w:rPr>
                <w:rFonts w:ascii="Calibri" w:hAnsi="Calibri"/>
                <w:sz w:val="20"/>
                <w:szCs w:val="20"/>
              </w:rPr>
              <w:t>$337,500</w:t>
            </w:r>
          </w:p>
        </w:tc>
      </w:tr>
    </w:tbl>
    <w:p w14:paraId="15B9D71F" w14:textId="77777777" w:rsidR="002A7D06" w:rsidRDefault="002A7D06">
      <w:pPr>
        <w:spacing w:after="140" w:line="276" w:lineRule="auto"/>
      </w:pPr>
    </w:p>
    <w:p w14:paraId="157E7EC1" w14:textId="09D6572C" w:rsidR="002A7D06" w:rsidRDefault="00C914FB">
      <w:pPr>
        <w:spacing w:before="240" w:after="100" w:line="276" w:lineRule="auto"/>
      </w:pPr>
      <w:r>
        <w:rPr>
          <w:rFonts w:ascii="Calibri" w:hAnsi="Calibri"/>
          <w:b/>
          <w:bCs/>
          <w:sz w:val="21"/>
        </w:rPr>
        <w:t>Proposed structure — “Surfbox Back Pay” loan</w:t>
      </w:r>
      <w:r w:rsidR="00F920B1">
        <w:rPr>
          <w:rFonts w:ascii="Calibri" w:hAnsi="Calibri"/>
          <w:b/>
          <w:bCs/>
          <w:sz w:val="21"/>
        </w:rPr>
        <w:t xml:space="preserve"> plus remaining TLC deferred salary</w:t>
      </w:r>
      <w:r>
        <w:rPr>
          <w:rFonts w:ascii="Calibri" w:hAnsi="Calibri"/>
          <w:b/>
          <w:bCs/>
          <w:sz w:val="21"/>
        </w:rPr>
        <w:t>:</w:t>
      </w:r>
    </w:p>
    <w:p w14:paraId="65D5A26A" w14:textId="77777777" w:rsidR="00CB03AE" w:rsidRDefault="00CB03AE" w:rsidP="00CB03AE">
      <w:pPr>
        <w:spacing w:after="140" w:line="276" w:lineRule="auto"/>
      </w:pPr>
    </w:p>
    <w:p w14:paraId="4FC4B152" w14:textId="300A000E" w:rsidR="00CB03AE" w:rsidRDefault="00F920B1" w:rsidP="00CB03AE">
      <w:pPr>
        <w:spacing w:after="140" w:line="276" w:lineRule="auto"/>
      </w:pPr>
      <w:r>
        <w:t xml:space="preserve"> </w:t>
      </w:r>
    </w:p>
    <w:p w14:paraId="206EFC25" w14:textId="77777777" w:rsidR="00F920B1" w:rsidRDefault="00CB03AE" w:rsidP="00CB03AE">
      <w:pPr>
        <w:spacing w:after="140" w:line="276" w:lineRule="auto"/>
      </w:pPr>
      <w:r>
        <w:rPr>
          <w:rFonts w:ascii="Calibri" w:hAnsi="Calibri"/>
          <w:b/>
          <w:sz w:val="21"/>
        </w:rPr>
        <w:t>Deferred compensation calculation:</w:t>
      </w:r>
    </w:p>
    <w:p w14:paraId="47D37772" w14:textId="141729CF" w:rsidR="00CB03AE" w:rsidRDefault="00CB03AE" w:rsidP="00CB03AE">
      <w:pPr>
        <w:spacing w:after="140" w:line="276" w:lineRule="auto"/>
      </w:pPr>
      <w:r>
        <w:rPr>
          <w:rFonts w:ascii="Calibri" w:hAnsi="Calibri"/>
          <w:sz w:val="21"/>
        </w:rPr>
        <w:t>$75,000/year × 4.5 years (Surfbox back pay) = $337,500</w:t>
      </w:r>
    </w:p>
    <w:p w14:paraId="169A3665" w14:textId="77777777" w:rsidR="00CB03AE" w:rsidRDefault="00CB03AE" w:rsidP="00CB03AE">
      <w:pPr>
        <w:spacing w:after="140" w:line="276" w:lineRule="auto"/>
      </w:pPr>
      <w:r>
        <w:rPr>
          <w:rFonts w:ascii="Calibri" w:hAnsi="Calibri"/>
          <w:sz w:val="21"/>
        </w:rPr>
        <w:t>Plus: ~$55,000 remaining on TLC deferred salary loan (as of 5/1/2026)</w:t>
      </w:r>
    </w:p>
    <w:p w14:paraId="35257C56" w14:textId="77777777" w:rsidR="00CB03AE" w:rsidRDefault="00CB03AE" w:rsidP="00CB03AE">
      <w:pPr>
        <w:spacing w:after="140" w:line="276" w:lineRule="auto"/>
      </w:pPr>
      <w:r>
        <w:rPr>
          <w:rFonts w:ascii="Calibri" w:hAnsi="Calibri"/>
          <w:b/>
          <w:sz w:val="21"/>
        </w:rPr>
        <w:t>Total deferred obligation: ~$393,000</w:t>
      </w:r>
    </w:p>
    <w:p w14:paraId="7A1FB931" w14:textId="77777777" w:rsidR="00CB03AE" w:rsidRDefault="00CB03AE" w:rsidP="00CB03AE">
      <w:pPr>
        <w:spacing w:after="140" w:line="276" w:lineRule="auto"/>
      </w:pPr>
      <w:r>
        <w:rPr>
          <w:rFonts w:ascii="Calibri" w:hAnsi="Calibri"/>
          <w:b/>
          <w:sz w:val="21"/>
        </w:rPr>
        <w:t>Proposed annual repayment schedule (beginning 5/1/2026):</w:t>
      </w:r>
    </w:p>
    <w:p w14:paraId="2E1097B8" w14:textId="77777777" w:rsidR="00CB03AE" w:rsidRDefault="00CB03AE" w:rsidP="00CB03AE">
      <w:pPr>
        <w:spacing w:after="140" w:line="276" w:lineRule="auto"/>
      </w:pPr>
      <w:r>
        <w:rPr>
          <w:rFonts w:ascii="Calibri" w:hAnsi="Calibri"/>
          <w:sz w:val="21"/>
        </w:rPr>
        <w:t>$45,000/year — $3,700 × 12 months (Loan #2 continuation, currently in progress)</w:t>
      </w:r>
    </w:p>
    <w:p w14:paraId="4D993EB1" w14:textId="77777777" w:rsidR="00CB03AE" w:rsidRDefault="00CB03AE" w:rsidP="00CB03AE">
      <w:pPr>
        <w:spacing w:after="140" w:line="276" w:lineRule="auto"/>
      </w:pPr>
      <w:r>
        <w:rPr>
          <w:rFonts w:ascii="Calibri" w:hAnsi="Calibri"/>
          <w:sz w:val="21"/>
        </w:rPr>
        <w:t>$32,000/year — $615 × 52 weeks (directed to Roth, Keli)</w:t>
      </w:r>
    </w:p>
    <w:p w14:paraId="0B06E5C5" w14:textId="77777777" w:rsidR="00CB03AE" w:rsidRDefault="00CB03AE" w:rsidP="00CB03AE">
      <w:pPr>
        <w:spacing w:after="140" w:line="276" w:lineRule="auto"/>
      </w:pPr>
      <w:r>
        <w:rPr>
          <w:rFonts w:ascii="Calibri" w:hAnsi="Calibri"/>
          <w:b/>
          <w:sz w:val="21"/>
        </w:rPr>
        <w:t>Total annual repayment: $77,000</w:t>
      </w:r>
    </w:p>
    <w:p w14:paraId="4E4FC726" w14:textId="77777777" w:rsidR="00CB03AE" w:rsidRDefault="00CB03AE">
      <w:pPr>
        <w:spacing w:after="140" w:line="276" w:lineRule="auto"/>
      </w:pPr>
      <w:r>
        <w:rPr>
          <w:rFonts w:ascii="Calibri" w:hAnsi="Calibri"/>
          <w:i/>
          <w:sz w:val="21"/>
        </w:rPr>
        <w:t>At $77,000/year over 5 years = $385,000 repaid. Remaining balance owed to Joe: ~$8,000.</w:t>
      </w:r>
    </w:p>
    <w:p w14:paraId="0E70F9D7" w14:textId="77777777" w:rsidR="00CB03AE" w:rsidRDefault="00CB03AE">
      <w:pPr>
        <w:spacing w:after="140" w:line="276" w:lineRule="auto"/>
      </w:pPr>
    </w:p>
    <w:p w14:paraId="6F01C331" w14:textId="77777777" w:rsidR="002A7D06" w:rsidRDefault="00C914FB">
      <w:pPr>
        <w:spacing w:before="320" w:after="140" w:line="276" w:lineRule="auto"/>
      </w:pPr>
      <w:r>
        <w:rPr>
          <w:rFonts w:ascii="Calibri" w:hAnsi="Calibri"/>
          <w:b/>
          <w:bCs/>
          <w:color w:val="1F3864"/>
          <w:sz w:val="24"/>
          <w:szCs w:val="24"/>
        </w:rPr>
        <w:t>Deferred Tuckerton Lumber Compensation</w:t>
      </w:r>
    </w:p>
    <w:p w14:paraId="31AA3419" w14:textId="77777777" w:rsidR="002A7D06" w:rsidRDefault="00C914FB">
      <w:pPr>
        <w:spacing w:after="140" w:line="276" w:lineRule="auto"/>
      </w:pPr>
      <w:r>
        <w:rPr>
          <w:rFonts w:ascii="Calibri" w:hAnsi="Calibri"/>
          <w:sz w:val="21"/>
        </w:rPr>
        <w:t xml:space="preserve">I am </w:t>
      </w:r>
      <w:r>
        <w:rPr>
          <w:rFonts w:ascii="Calibri" w:hAnsi="Calibri"/>
          <w:b/>
          <w:bCs/>
          <w:sz w:val="21"/>
        </w:rPr>
        <w:t>not</w:t>
      </w:r>
      <w:r>
        <w:rPr>
          <w:rFonts w:ascii="Calibri" w:hAnsi="Calibri"/>
          <w:sz w:val="21"/>
        </w:rPr>
        <w:t xml:space="preserve"> claiming any deferred compensation from Tuckerton Lumber, despite being approximately $50,000-$80,000 per year below market rate for five-plus years (estimated total: $250,000-$400,000 in foregone compensation). I consider this my investment in the business alongside the other shareholders.</w:t>
      </w:r>
    </w:p>
    <w:p w14:paraId="77B81B0D" w14:textId="77777777" w:rsidR="00F920B1" w:rsidRDefault="00F920B1">
      <w:pPr>
        <w:spacing w:after="140" w:line="276" w:lineRule="auto"/>
      </w:pPr>
    </w:p>
    <w:p w14:paraId="38B8AAD4" w14:textId="77777777" w:rsidR="00F920B1" w:rsidRDefault="00F920B1">
      <w:pPr>
        <w:spacing w:after="140" w:line="276" w:lineRule="auto"/>
      </w:pPr>
    </w:p>
    <w:p w14:paraId="699D8250" w14:textId="77777777" w:rsidR="002A7D06" w:rsidRDefault="00C914FB">
      <w:pPr>
        <w:spacing w:before="320" w:after="140" w:line="276" w:lineRule="auto"/>
      </w:pPr>
      <w:r>
        <w:rPr>
          <w:rFonts w:ascii="Calibri" w:hAnsi="Calibri"/>
          <w:b/>
          <w:bCs/>
          <w:color w:val="1F3864"/>
          <w:sz w:val="24"/>
          <w:szCs w:val="24"/>
        </w:rPr>
        <w:t>Summary of All Outstanding Obligations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0"/>
        <w:gridCol w:w="1774"/>
        <w:gridCol w:w="2342"/>
        <w:gridCol w:w="1290"/>
        <w:gridCol w:w="1404"/>
      </w:tblGrid>
      <w:tr w:rsidR="002A7D06" w14:paraId="0626066B" w14:textId="77777777">
        <w:tc>
          <w:tcPr>
            <w:tcW w:w="2600" w:type="dxa"/>
            <w:tcBorders>
              <w:bottom w:val="single" w:sz="2" w:space="0" w:color="1F3864"/>
            </w:tcBorders>
            <w:tcMar>
              <w:top w:w="50" w:type="dxa"/>
              <w:left w:w="100" w:type="dxa"/>
              <w:bottom w:w="50" w:type="dxa"/>
              <w:right w:w="100" w:type="dxa"/>
            </w:tcMar>
          </w:tcPr>
          <w:p w14:paraId="5A9D3218" w14:textId="77777777" w:rsidR="002A7D06" w:rsidRDefault="00C914FB">
            <w:r>
              <w:rPr>
                <w:rFonts w:ascii="Calibri" w:hAnsi="Calibri"/>
                <w:b/>
                <w:bCs/>
                <w:color w:val="1F3864"/>
                <w:sz w:val="20"/>
                <w:szCs w:val="20"/>
              </w:rPr>
              <w:t>Obligation</w:t>
            </w:r>
          </w:p>
        </w:tc>
        <w:tc>
          <w:tcPr>
            <w:tcW w:w="1800" w:type="dxa"/>
            <w:tcBorders>
              <w:bottom w:val="single" w:sz="2" w:space="0" w:color="1F3864"/>
            </w:tcBorders>
            <w:tcMar>
              <w:top w:w="50" w:type="dxa"/>
              <w:left w:w="100" w:type="dxa"/>
              <w:bottom w:w="50" w:type="dxa"/>
              <w:right w:w="100" w:type="dxa"/>
            </w:tcMar>
          </w:tcPr>
          <w:p w14:paraId="5B97A64C" w14:textId="77777777" w:rsidR="002A7D06" w:rsidRDefault="00C914FB">
            <w:pPr>
              <w:jc w:val="right"/>
            </w:pPr>
            <w:r>
              <w:rPr>
                <w:rFonts w:ascii="Calibri" w:hAnsi="Calibri"/>
                <w:b/>
                <w:bCs/>
                <w:color w:val="1F3864"/>
                <w:sz w:val="20"/>
                <w:szCs w:val="20"/>
              </w:rPr>
              <w:t>Amount</w:t>
            </w:r>
          </w:p>
        </w:tc>
        <w:tc>
          <w:tcPr>
            <w:tcW w:w="2400" w:type="dxa"/>
            <w:tcBorders>
              <w:bottom w:val="single" w:sz="2" w:space="0" w:color="1F3864"/>
            </w:tcBorders>
            <w:tcMar>
              <w:top w:w="50" w:type="dxa"/>
              <w:left w:w="100" w:type="dxa"/>
              <w:bottom w:w="50" w:type="dxa"/>
              <w:right w:w="100" w:type="dxa"/>
            </w:tcMar>
          </w:tcPr>
          <w:p w14:paraId="63D39ACF" w14:textId="77777777" w:rsidR="002A7D06" w:rsidRDefault="00C914FB">
            <w:pPr>
              <w:jc w:val="right"/>
            </w:pPr>
            <w:r>
              <w:rPr>
                <w:rFonts w:ascii="Calibri" w:hAnsi="Calibri"/>
                <w:b/>
                <w:bCs/>
                <w:color w:val="1F3864"/>
                <w:sz w:val="20"/>
                <w:szCs w:val="20"/>
              </w:rPr>
              <w:t>Status</w:t>
            </w:r>
          </w:p>
        </w:tc>
        <w:tc>
          <w:tcPr>
            <w:tcW w:w="1300" w:type="dxa"/>
            <w:tcBorders>
              <w:bottom w:val="single" w:sz="2" w:space="0" w:color="1F3864"/>
            </w:tcBorders>
            <w:tcMar>
              <w:top w:w="50" w:type="dxa"/>
              <w:left w:w="100" w:type="dxa"/>
              <w:bottom w:w="50" w:type="dxa"/>
              <w:right w:w="100" w:type="dxa"/>
            </w:tcMar>
          </w:tcPr>
          <w:p w14:paraId="47E6D1F0" w14:textId="77777777" w:rsidR="002A7D06" w:rsidRDefault="00C914FB">
            <w:pPr>
              <w:jc w:val="right"/>
            </w:pPr>
            <w:r>
              <w:rPr>
                <w:rFonts w:ascii="Calibri" w:hAnsi="Calibri"/>
                <w:b/>
                <w:bCs/>
                <w:color w:val="1F3864"/>
                <w:sz w:val="20"/>
                <w:szCs w:val="20"/>
              </w:rPr>
              <w:t xml:space="preserve">Monthly </w:t>
            </w:r>
            <w:proofErr w:type="spellStart"/>
            <w:r>
              <w:rPr>
                <w:rFonts w:ascii="Calibri" w:hAnsi="Calibri"/>
                <w:b/>
                <w:bCs/>
                <w:color w:val="1F3864"/>
                <w:sz w:val="20"/>
                <w:szCs w:val="20"/>
              </w:rPr>
              <w:t>Pmt</w:t>
            </w:r>
            <w:proofErr w:type="spellEnd"/>
          </w:p>
        </w:tc>
        <w:tc>
          <w:tcPr>
            <w:tcW w:w="1260" w:type="dxa"/>
            <w:tcBorders>
              <w:bottom w:val="single" w:sz="2" w:space="0" w:color="1F3864"/>
            </w:tcBorders>
            <w:tcMar>
              <w:top w:w="50" w:type="dxa"/>
              <w:left w:w="100" w:type="dxa"/>
              <w:bottom w:w="50" w:type="dxa"/>
              <w:right w:w="100" w:type="dxa"/>
            </w:tcMar>
          </w:tcPr>
          <w:p w14:paraId="7D10BCC0" w14:textId="77777777" w:rsidR="002A7D06" w:rsidRDefault="00C914FB">
            <w:pPr>
              <w:jc w:val="right"/>
            </w:pPr>
            <w:r>
              <w:rPr>
                <w:rFonts w:ascii="Calibri" w:hAnsi="Calibri"/>
                <w:b/>
                <w:bCs/>
                <w:color w:val="1F3864"/>
                <w:sz w:val="20"/>
                <w:szCs w:val="20"/>
              </w:rPr>
              <w:t>Est. Completion</w:t>
            </w:r>
          </w:p>
        </w:tc>
      </w:tr>
      <w:tr w:rsidR="002A7D06" w14:paraId="35CFB432" w14:textId="77777777">
        <w:tc>
          <w:tcPr>
            <w:tcW w:w="2600" w:type="dxa"/>
            <w:tcBorders>
              <w:bottom w:val="single" w:sz="1" w:space="0" w:color="CCCCCC"/>
            </w:tcBorders>
            <w:tcMar>
              <w:top w:w="50" w:type="dxa"/>
              <w:left w:w="100" w:type="dxa"/>
              <w:bottom w:w="50" w:type="dxa"/>
              <w:right w:w="100" w:type="dxa"/>
            </w:tcMar>
          </w:tcPr>
          <w:p w14:paraId="7BD0E34D" w14:textId="77777777" w:rsidR="002A7D06" w:rsidRDefault="00C914FB">
            <w:r>
              <w:rPr>
                <w:rFonts w:ascii="Calibri" w:hAnsi="Calibri"/>
                <w:b/>
                <w:bCs/>
                <w:sz w:val="20"/>
                <w:szCs w:val="20"/>
              </w:rPr>
              <w:t>Loan #1 (cash loan)</w:t>
            </w:r>
          </w:p>
        </w:tc>
        <w:tc>
          <w:tcPr>
            <w:tcW w:w="1800" w:type="dxa"/>
            <w:tcBorders>
              <w:bottom w:val="single" w:sz="1" w:space="0" w:color="CCCCCC"/>
            </w:tcBorders>
            <w:tcMar>
              <w:top w:w="50" w:type="dxa"/>
              <w:left w:w="100" w:type="dxa"/>
              <w:bottom w:w="50" w:type="dxa"/>
              <w:right w:w="100" w:type="dxa"/>
            </w:tcMar>
          </w:tcPr>
          <w:p w14:paraId="17ACF62A" w14:textId="77777777" w:rsidR="002A7D06" w:rsidRDefault="00C914FB">
            <w:pPr>
              <w:jc w:val="right"/>
            </w:pPr>
            <w:r>
              <w:rPr>
                <w:rFonts w:ascii="Calibri" w:hAnsi="Calibri"/>
                <w:sz w:val="20"/>
                <w:szCs w:val="20"/>
              </w:rPr>
              <w:t>~$300,000</w:t>
            </w:r>
          </w:p>
        </w:tc>
        <w:tc>
          <w:tcPr>
            <w:tcW w:w="2400" w:type="dxa"/>
            <w:tcBorders>
              <w:bottom w:val="single" w:sz="1" w:space="0" w:color="CCCCCC"/>
            </w:tcBorders>
            <w:tcMar>
              <w:top w:w="50" w:type="dxa"/>
              <w:left w:w="100" w:type="dxa"/>
              <w:bottom w:w="50" w:type="dxa"/>
              <w:right w:w="100" w:type="dxa"/>
            </w:tcMar>
          </w:tcPr>
          <w:p w14:paraId="616C6007" w14:textId="77777777" w:rsidR="002A7D06" w:rsidRDefault="00C914FB">
            <w:pPr>
              <w:jc w:val="right"/>
            </w:pPr>
            <w:r>
              <w:rPr>
                <w:rFonts w:ascii="Calibri" w:hAnsi="Calibri"/>
                <w:sz w:val="20"/>
                <w:szCs w:val="20"/>
              </w:rPr>
              <w:t>Paid in full (early 2025)</w:t>
            </w:r>
          </w:p>
        </w:tc>
        <w:tc>
          <w:tcPr>
            <w:tcW w:w="1300" w:type="dxa"/>
            <w:tcBorders>
              <w:bottom w:val="single" w:sz="1" w:space="0" w:color="CCCCCC"/>
            </w:tcBorders>
            <w:tcMar>
              <w:top w:w="50" w:type="dxa"/>
              <w:left w:w="100" w:type="dxa"/>
              <w:bottom w:w="50" w:type="dxa"/>
              <w:right w:w="100" w:type="dxa"/>
            </w:tcMar>
          </w:tcPr>
          <w:p w14:paraId="15ACE448" w14:textId="2458F8C2" w:rsidR="002A7D06" w:rsidRPr="00F920B1" w:rsidRDefault="00F920B1">
            <w:pPr>
              <w:jc w:val="right"/>
              <w:rPr>
                <w:strike/>
              </w:rPr>
            </w:pPr>
            <w:r w:rsidRPr="00F920B1">
              <w:rPr>
                <w:rFonts w:ascii="Calibri" w:hAnsi="Calibri"/>
                <w:strike/>
                <w:sz w:val="20"/>
                <w:szCs w:val="20"/>
              </w:rPr>
              <w:t>11k</w:t>
            </w:r>
          </w:p>
        </w:tc>
        <w:tc>
          <w:tcPr>
            <w:tcW w:w="1260" w:type="dxa"/>
            <w:tcBorders>
              <w:bottom w:val="single" w:sz="1" w:space="0" w:color="CCCCCC"/>
            </w:tcBorders>
            <w:tcMar>
              <w:top w:w="50" w:type="dxa"/>
              <w:left w:w="100" w:type="dxa"/>
              <w:bottom w:w="50" w:type="dxa"/>
              <w:right w:w="100" w:type="dxa"/>
            </w:tcMar>
          </w:tcPr>
          <w:p w14:paraId="24BE5BAD" w14:textId="77777777" w:rsidR="002A7D06" w:rsidRDefault="00C914FB">
            <w:pPr>
              <w:jc w:val="right"/>
            </w:pPr>
            <w:r>
              <w:rPr>
                <w:rFonts w:ascii="Calibri" w:hAnsi="Calibri"/>
                <w:sz w:val="20"/>
                <w:szCs w:val="20"/>
              </w:rPr>
              <w:t>Complete</w:t>
            </w:r>
          </w:p>
        </w:tc>
      </w:tr>
      <w:tr w:rsidR="002A7D06" w14:paraId="2C8B01CC" w14:textId="77777777">
        <w:tc>
          <w:tcPr>
            <w:tcW w:w="2600" w:type="dxa"/>
            <w:tcBorders>
              <w:bottom w:val="single" w:sz="1" w:space="0" w:color="CCCCCC"/>
            </w:tcBorders>
            <w:tcMar>
              <w:top w:w="50" w:type="dxa"/>
              <w:left w:w="100" w:type="dxa"/>
              <w:bottom w:w="50" w:type="dxa"/>
              <w:right w:w="100" w:type="dxa"/>
            </w:tcMar>
          </w:tcPr>
          <w:p w14:paraId="7C40AC6A" w14:textId="77777777" w:rsidR="002A7D06" w:rsidRDefault="00C914FB">
            <w:r>
              <w:rPr>
                <w:rFonts w:ascii="Calibri" w:hAnsi="Calibri"/>
                <w:b/>
                <w:bCs/>
                <w:sz w:val="20"/>
                <w:szCs w:val="20"/>
              </w:rPr>
              <w:t>Loan #2 (deferred Yr 1 comp)</w:t>
            </w:r>
          </w:p>
        </w:tc>
        <w:tc>
          <w:tcPr>
            <w:tcW w:w="1800" w:type="dxa"/>
            <w:tcBorders>
              <w:bottom w:val="single" w:sz="1" w:space="0" w:color="CCCCCC"/>
            </w:tcBorders>
            <w:tcMar>
              <w:top w:w="50" w:type="dxa"/>
              <w:left w:w="100" w:type="dxa"/>
              <w:bottom w:w="50" w:type="dxa"/>
              <w:right w:w="100" w:type="dxa"/>
            </w:tcMar>
          </w:tcPr>
          <w:p w14:paraId="58235EEF" w14:textId="77777777" w:rsidR="002A7D06" w:rsidRDefault="00C914FB">
            <w:pPr>
              <w:jc w:val="right"/>
            </w:pPr>
            <w:r>
              <w:rPr>
                <w:rFonts w:ascii="Calibri" w:hAnsi="Calibri"/>
                <w:sz w:val="20"/>
                <w:szCs w:val="20"/>
              </w:rPr>
              <w:t>~$150,000</w:t>
            </w:r>
          </w:p>
        </w:tc>
        <w:tc>
          <w:tcPr>
            <w:tcW w:w="2400" w:type="dxa"/>
            <w:tcBorders>
              <w:bottom w:val="single" w:sz="1" w:space="0" w:color="CCCCCC"/>
            </w:tcBorders>
            <w:tcMar>
              <w:top w:w="50" w:type="dxa"/>
              <w:left w:w="100" w:type="dxa"/>
              <w:bottom w:w="50" w:type="dxa"/>
              <w:right w:w="100" w:type="dxa"/>
            </w:tcMar>
          </w:tcPr>
          <w:p w14:paraId="5FFDDD8D" w14:textId="77777777" w:rsidR="002A7D06" w:rsidRDefault="00C914FB">
            <w:pPr>
              <w:jc w:val="right"/>
            </w:pPr>
            <w:r>
              <w:rPr>
                <w:rFonts w:ascii="Calibri" w:hAnsi="Calibri"/>
                <w:sz w:val="20"/>
                <w:szCs w:val="20"/>
              </w:rPr>
              <w:t>Active, ~15 mo. remaining</w:t>
            </w:r>
          </w:p>
        </w:tc>
        <w:tc>
          <w:tcPr>
            <w:tcW w:w="1300" w:type="dxa"/>
            <w:tcBorders>
              <w:bottom w:val="single" w:sz="1" w:space="0" w:color="CCCCCC"/>
            </w:tcBorders>
            <w:tcMar>
              <w:top w:w="50" w:type="dxa"/>
              <w:left w:w="100" w:type="dxa"/>
              <w:bottom w:w="50" w:type="dxa"/>
              <w:right w:w="100" w:type="dxa"/>
            </w:tcMar>
          </w:tcPr>
          <w:p w14:paraId="29294530" w14:textId="10791D25" w:rsidR="002A7D06" w:rsidRDefault="00C914FB">
            <w:pPr>
              <w:jc w:val="right"/>
            </w:pPr>
            <w:r>
              <w:rPr>
                <w:rFonts w:ascii="Calibri" w:hAnsi="Calibri"/>
                <w:sz w:val="20"/>
                <w:szCs w:val="20"/>
              </w:rPr>
              <w:t>~$</w:t>
            </w:r>
            <w:r w:rsidR="00F920B1">
              <w:rPr>
                <w:rFonts w:ascii="Calibri" w:hAnsi="Calibri"/>
                <w:sz w:val="20"/>
                <w:szCs w:val="20"/>
              </w:rPr>
              <w:t>37</w:t>
            </w:r>
            <w:r>
              <w:rPr>
                <w:rFonts w:ascii="Calibri" w:hAnsi="Calibri"/>
                <w:sz w:val="20"/>
                <w:szCs w:val="20"/>
              </w:rPr>
              <w:t>00</w:t>
            </w:r>
          </w:p>
        </w:tc>
        <w:tc>
          <w:tcPr>
            <w:tcW w:w="1260" w:type="dxa"/>
            <w:tcBorders>
              <w:bottom w:val="single" w:sz="1" w:space="0" w:color="CCCCCC"/>
            </w:tcBorders>
            <w:tcMar>
              <w:top w:w="50" w:type="dxa"/>
              <w:left w:w="100" w:type="dxa"/>
              <w:bottom w:w="50" w:type="dxa"/>
              <w:right w:w="100" w:type="dxa"/>
            </w:tcMar>
          </w:tcPr>
          <w:p w14:paraId="2F50098C" w14:textId="77777777" w:rsidR="002A7D06" w:rsidRDefault="00C914FB">
            <w:pPr>
              <w:jc w:val="right"/>
            </w:pPr>
            <w:r>
              <w:rPr>
                <w:rFonts w:ascii="Calibri" w:hAnsi="Calibri"/>
                <w:sz w:val="20"/>
                <w:szCs w:val="20"/>
              </w:rPr>
              <w:t>~Mid-2027</w:t>
            </w:r>
          </w:p>
        </w:tc>
      </w:tr>
      <w:tr w:rsidR="002A7D06" w14:paraId="300629DC" w14:textId="77777777">
        <w:tc>
          <w:tcPr>
            <w:tcW w:w="2600" w:type="dxa"/>
            <w:tcBorders>
              <w:bottom w:val="single" w:sz="1" w:space="0" w:color="CCCCCC"/>
            </w:tcBorders>
            <w:tcMar>
              <w:top w:w="50" w:type="dxa"/>
              <w:left w:w="100" w:type="dxa"/>
              <w:bottom w:w="50" w:type="dxa"/>
              <w:right w:w="100" w:type="dxa"/>
            </w:tcMar>
          </w:tcPr>
          <w:p w14:paraId="6BD0C2F4" w14:textId="77777777" w:rsidR="002A7D06" w:rsidRDefault="00C914FB">
            <w:r>
              <w:rPr>
                <w:rFonts w:ascii="Calibri" w:hAnsi="Calibri"/>
                <w:b/>
                <w:bCs/>
                <w:sz w:val="20"/>
                <w:szCs w:val="20"/>
              </w:rPr>
              <w:t>Surfbox Back Pay</w:t>
            </w:r>
          </w:p>
        </w:tc>
        <w:tc>
          <w:tcPr>
            <w:tcW w:w="1800" w:type="dxa"/>
            <w:tcBorders>
              <w:bottom w:val="single" w:sz="1" w:space="0" w:color="CCCCCC"/>
            </w:tcBorders>
            <w:tcMar>
              <w:top w:w="50" w:type="dxa"/>
              <w:left w:w="100" w:type="dxa"/>
              <w:bottom w:w="50" w:type="dxa"/>
              <w:right w:w="100" w:type="dxa"/>
            </w:tcMar>
          </w:tcPr>
          <w:p w14:paraId="42D3EE4C" w14:textId="715160BF" w:rsidR="002A7D06" w:rsidRDefault="00C914FB">
            <w:pPr>
              <w:jc w:val="right"/>
            </w:pPr>
            <w:r>
              <w:rPr>
                <w:rFonts w:ascii="Calibri" w:hAnsi="Calibri"/>
                <w:sz w:val="20"/>
                <w:szCs w:val="20"/>
              </w:rPr>
              <w:t>~$</w:t>
            </w:r>
            <w:r w:rsidR="00F920B1">
              <w:rPr>
                <w:rFonts w:ascii="Calibri" w:hAnsi="Calibri"/>
                <w:sz w:val="20"/>
                <w:szCs w:val="20"/>
              </w:rPr>
              <w:t>337</w:t>
            </w:r>
            <w:r>
              <w:rPr>
                <w:rFonts w:ascii="Calibri" w:hAnsi="Calibri"/>
                <w:sz w:val="20"/>
                <w:szCs w:val="20"/>
              </w:rPr>
              <w:t>,</w:t>
            </w:r>
            <w:r w:rsidR="00F920B1">
              <w:rPr>
                <w:rFonts w:ascii="Calibri" w:hAnsi="Calibri"/>
                <w:sz w:val="20"/>
                <w:szCs w:val="20"/>
              </w:rPr>
              <w:t>5</w:t>
            </w:r>
            <w:r>
              <w:rPr>
                <w:rFonts w:ascii="Calibri" w:hAnsi="Calibri"/>
                <w:sz w:val="20"/>
                <w:szCs w:val="20"/>
              </w:rPr>
              <w:t>00</w:t>
            </w:r>
          </w:p>
        </w:tc>
        <w:tc>
          <w:tcPr>
            <w:tcW w:w="2400" w:type="dxa"/>
            <w:tcBorders>
              <w:bottom w:val="single" w:sz="1" w:space="0" w:color="CCCCCC"/>
            </w:tcBorders>
            <w:tcMar>
              <w:top w:w="50" w:type="dxa"/>
              <w:left w:w="100" w:type="dxa"/>
              <w:bottom w:w="50" w:type="dxa"/>
              <w:right w:w="100" w:type="dxa"/>
            </w:tcMar>
          </w:tcPr>
          <w:p w14:paraId="5769A390" w14:textId="77777777" w:rsidR="002A7D06" w:rsidRDefault="00C914FB">
            <w:pPr>
              <w:jc w:val="right"/>
            </w:pPr>
            <w:r>
              <w:rPr>
                <w:rFonts w:ascii="Calibri" w:hAnsi="Calibri"/>
                <w:sz w:val="20"/>
                <w:szCs w:val="20"/>
              </w:rPr>
              <w:t>Begins after Loan #2 retires</w:t>
            </w:r>
          </w:p>
        </w:tc>
        <w:tc>
          <w:tcPr>
            <w:tcW w:w="1300" w:type="dxa"/>
            <w:tcBorders>
              <w:bottom w:val="single" w:sz="1" w:space="0" w:color="CCCCCC"/>
            </w:tcBorders>
            <w:tcMar>
              <w:top w:w="50" w:type="dxa"/>
              <w:left w:w="100" w:type="dxa"/>
              <w:bottom w:w="50" w:type="dxa"/>
              <w:right w:w="100" w:type="dxa"/>
            </w:tcMar>
          </w:tcPr>
          <w:p w14:paraId="0AB4AFDF" w14:textId="39E1CA28" w:rsidR="002A7D06" w:rsidRDefault="002A7D06">
            <w:pPr>
              <w:jc w:val="right"/>
            </w:pPr>
          </w:p>
        </w:tc>
        <w:tc>
          <w:tcPr>
            <w:tcW w:w="1260" w:type="dxa"/>
            <w:tcBorders>
              <w:bottom w:val="single" w:sz="1" w:space="0" w:color="CCCCCC"/>
            </w:tcBorders>
            <w:tcMar>
              <w:top w:w="50" w:type="dxa"/>
              <w:left w:w="100" w:type="dxa"/>
              <w:bottom w:w="50" w:type="dxa"/>
              <w:right w:w="100" w:type="dxa"/>
            </w:tcMar>
          </w:tcPr>
          <w:p w14:paraId="50CBA858" w14:textId="4596810E" w:rsidR="002A7D06" w:rsidRDefault="002A7D06">
            <w:pPr>
              <w:jc w:val="right"/>
            </w:pPr>
          </w:p>
        </w:tc>
      </w:tr>
      <w:tr w:rsidR="002A7D06" w14:paraId="5B0B8772" w14:textId="77777777">
        <w:tc>
          <w:tcPr>
            <w:tcW w:w="2600" w:type="dxa"/>
            <w:tcBorders>
              <w:bottom w:val="single" w:sz="1" w:space="0" w:color="CCCCCC"/>
            </w:tcBorders>
            <w:tcMar>
              <w:top w:w="50" w:type="dxa"/>
              <w:left w:w="100" w:type="dxa"/>
              <w:bottom w:w="50" w:type="dxa"/>
              <w:right w:w="100" w:type="dxa"/>
            </w:tcMar>
          </w:tcPr>
          <w:p w14:paraId="7780BA5B" w14:textId="77777777" w:rsidR="002A7D06" w:rsidRDefault="00C914FB">
            <w:r>
              <w:rPr>
                <w:rFonts w:ascii="Calibri" w:hAnsi="Calibri"/>
                <w:b/>
                <w:bCs/>
                <w:sz w:val="20"/>
                <w:szCs w:val="20"/>
              </w:rPr>
              <w:t>Distribution arrears (all)</w:t>
            </w:r>
          </w:p>
        </w:tc>
        <w:tc>
          <w:tcPr>
            <w:tcW w:w="1800" w:type="dxa"/>
            <w:tcBorders>
              <w:bottom w:val="single" w:sz="1" w:space="0" w:color="CCCCCC"/>
            </w:tcBorders>
            <w:tcMar>
              <w:top w:w="50" w:type="dxa"/>
              <w:left w:w="100" w:type="dxa"/>
              <w:bottom w:w="50" w:type="dxa"/>
              <w:right w:w="100" w:type="dxa"/>
            </w:tcMar>
          </w:tcPr>
          <w:p w14:paraId="207A224E" w14:textId="77777777" w:rsidR="002A7D06" w:rsidRDefault="00C914FB">
            <w:pPr>
              <w:jc w:val="right"/>
            </w:pPr>
            <w:r>
              <w:rPr>
                <w:rFonts w:ascii="Calibri" w:hAnsi="Calibri"/>
                <w:sz w:val="20"/>
                <w:szCs w:val="20"/>
              </w:rPr>
              <w:t>~$150,000 +/-</w:t>
            </w:r>
          </w:p>
        </w:tc>
        <w:tc>
          <w:tcPr>
            <w:tcW w:w="2400" w:type="dxa"/>
            <w:tcBorders>
              <w:bottom w:val="single" w:sz="1" w:space="0" w:color="CCCCCC"/>
            </w:tcBorders>
            <w:tcMar>
              <w:top w:w="50" w:type="dxa"/>
              <w:left w:w="100" w:type="dxa"/>
              <w:bottom w:w="50" w:type="dxa"/>
              <w:right w:w="100" w:type="dxa"/>
            </w:tcMar>
          </w:tcPr>
          <w:p w14:paraId="0882DDE2" w14:textId="77777777" w:rsidR="002A7D06" w:rsidRDefault="00C914FB">
            <w:pPr>
              <w:jc w:val="right"/>
            </w:pPr>
            <w:r>
              <w:rPr>
                <w:rFonts w:ascii="Calibri" w:hAnsi="Calibri"/>
                <w:sz w:val="20"/>
                <w:szCs w:val="20"/>
              </w:rPr>
              <w:t>Behind 2+ years</w:t>
            </w:r>
          </w:p>
        </w:tc>
        <w:tc>
          <w:tcPr>
            <w:tcW w:w="1300" w:type="dxa"/>
            <w:tcBorders>
              <w:bottom w:val="single" w:sz="1" w:space="0" w:color="CCCCCC"/>
            </w:tcBorders>
            <w:tcMar>
              <w:top w:w="50" w:type="dxa"/>
              <w:left w:w="100" w:type="dxa"/>
              <w:bottom w:w="50" w:type="dxa"/>
              <w:right w:w="100" w:type="dxa"/>
            </w:tcMar>
          </w:tcPr>
          <w:p w14:paraId="1F86EEE3" w14:textId="77777777" w:rsidR="002A7D06" w:rsidRDefault="00C914FB">
            <w:pPr>
              <w:jc w:val="right"/>
            </w:pPr>
            <w:r>
              <w:rPr>
                <w:rFonts w:ascii="Calibri" w:hAnsi="Calibri"/>
                <w:sz w:val="20"/>
                <w:szCs w:val="20"/>
              </w:rPr>
              <w:t>TBD</w:t>
            </w:r>
          </w:p>
        </w:tc>
        <w:tc>
          <w:tcPr>
            <w:tcW w:w="1260" w:type="dxa"/>
            <w:tcBorders>
              <w:bottom w:val="single" w:sz="1" w:space="0" w:color="CCCCCC"/>
            </w:tcBorders>
            <w:tcMar>
              <w:top w:w="50" w:type="dxa"/>
              <w:left w:w="100" w:type="dxa"/>
              <w:bottom w:w="50" w:type="dxa"/>
              <w:right w:w="100" w:type="dxa"/>
            </w:tcMar>
          </w:tcPr>
          <w:p w14:paraId="16872E65" w14:textId="77777777" w:rsidR="002A7D06" w:rsidRDefault="00C914FB">
            <w:pPr>
              <w:jc w:val="right"/>
            </w:pPr>
            <w:r>
              <w:rPr>
                <w:rFonts w:ascii="Calibri" w:hAnsi="Calibri"/>
                <w:sz w:val="20"/>
                <w:szCs w:val="20"/>
              </w:rPr>
              <w:t>TBD</w:t>
            </w:r>
          </w:p>
        </w:tc>
      </w:tr>
      <w:tr w:rsidR="002A7D06" w14:paraId="3E125EB7" w14:textId="77777777">
        <w:tc>
          <w:tcPr>
            <w:tcW w:w="2600" w:type="dxa"/>
            <w:tcBorders>
              <w:bottom w:val="single" w:sz="1" w:space="0" w:color="CCCCCC"/>
            </w:tcBorders>
            <w:tcMar>
              <w:top w:w="50" w:type="dxa"/>
              <w:left w:w="100" w:type="dxa"/>
              <w:bottom w:w="50" w:type="dxa"/>
              <w:right w:w="100" w:type="dxa"/>
            </w:tcMar>
          </w:tcPr>
          <w:p w14:paraId="64580770" w14:textId="7DE7C206" w:rsidR="002A7D06" w:rsidRDefault="002A7D06"/>
        </w:tc>
        <w:tc>
          <w:tcPr>
            <w:tcW w:w="1800" w:type="dxa"/>
            <w:tcBorders>
              <w:bottom w:val="single" w:sz="1" w:space="0" w:color="CCCCCC"/>
            </w:tcBorders>
            <w:tcMar>
              <w:top w:w="50" w:type="dxa"/>
              <w:left w:w="100" w:type="dxa"/>
              <w:bottom w:w="50" w:type="dxa"/>
              <w:right w:w="100" w:type="dxa"/>
            </w:tcMar>
          </w:tcPr>
          <w:p w14:paraId="20224A87" w14:textId="422AC581" w:rsidR="002A7D06" w:rsidRDefault="002A7D06">
            <w:pPr>
              <w:jc w:val="right"/>
            </w:pPr>
          </w:p>
        </w:tc>
        <w:tc>
          <w:tcPr>
            <w:tcW w:w="2400" w:type="dxa"/>
            <w:tcBorders>
              <w:bottom w:val="single" w:sz="1" w:space="0" w:color="CCCCCC"/>
            </w:tcBorders>
            <w:tcMar>
              <w:top w:w="50" w:type="dxa"/>
              <w:left w:w="100" w:type="dxa"/>
              <w:bottom w:w="50" w:type="dxa"/>
              <w:right w:w="100" w:type="dxa"/>
            </w:tcMar>
          </w:tcPr>
          <w:p w14:paraId="5E91D3AA" w14:textId="3D6E0E63" w:rsidR="002A7D06" w:rsidRDefault="002A7D06">
            <w:pPr>
              <w:jc w:val="right"/>
            </w:pPr>
          </w:p>
        </w:tc>
        <w:tc>
          <w:tcPr>
            <w:tcW w:w="1300" w:type="dxa"/>
            <w:tcBorders>
              <w:bottom w:val="single" w:sz="1" w:space="0" w:color="CCCCCC"/>
            </w:tcBorders>
            <w:tcMar>
              <w:top w:w="50" w:type="dxa"/>
              <w:left w:w="100" w:type="dxa"/>
              <w:bottom w:w="50" w:type="dxa"/>
              <w:right w:w="100" w:type="dxa"/>
            </w:tcMar>
          </w:tcPr>
          <w:p w14:paraId="1B720A8F" w14:textId="50A3F801" w:rsidR="002A7D06" w:rsidRDefault="002A7D06">
            <w:pPr>
              <w:jc w:val="right"/>
            </w:pPr>
          </w:p>
        </w:tc>
        <w:tc>
          <w:tcPr>
            <w:tcW w:w="1260" w:type="dxa"/>
            <w:tcBorders>
              <w:bottom w:val="single" w:sz="1" w:space="0" w:color="CCCCCC"/>
            </w:tcBorders>
            <w:tcMar>
              <w:top w:w="50" w:type="dxa"/>
              <w:left w:w="100" w:type="dxa"/>
              <w:bottom w:w="50" w:type="dxa"/>
              <w:right w:w="100" w:type="dxa"/>
            </w:tcMar>
          </w:tcPr>
          <w:p w14:paraId="010BD5B6" w14:textId="59F96BA8" w:rsidR="002A7D06" w:rsidRDefault="002A7D06">
            <w:pPr>
              <w:jc w:val="right"/>
            </w:pPr>
          </w:p>
        </w:tc>
      </w:tr>
    </w:tbl>
    <w:p w14:paraId="23B5E47E" w14:textId="3F0B4A0E" w:rsidR="002A7D06" w:rsidRDefault="002A7D06" w:rsidP="00F920B1">
      <w:pPr>
        <w:spacing w:before="320" w:after="140" w:line="276" w:lineRule="auto"/>
      </w:pPr>
    </w:p>
    <w:sectPr w:rsidR="002A7D06">
      <w:headerReference w:type="default" r:id="rId7"/>
      <w:pgSz w:w="12240" w:h="15840"/>
      <w:pgMar w:top="144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CA12D" w14:textId="77777777" w:rsidR="00A9464F" w:rsidRDefault="00A9464F" w:rsidP="00623D1A">
      <w:r>
        <w:separator/>
      </w:r>
    </w:p>
  </w:endnote>
  <w:endnote w:type="continuationSeparator" w:id="0">
    <w:p w14:paraId="1CC9938F" w14:textId="77777777" w:rsidR="00A9464F" w:rsidRDefault="00A9464F" w:rsidP="00623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9D15D" w14:textId="77777777" w:rsidR="00A9464F" w:rsidRDefault="00A9464F" w:rsidP="00623D1A">
      <w:r>
        <w:separator/>
      </w:r>
    </w:p>
  </w:footnote>
  <w:footnote w:type="continuationSeparator" w:id="0">
    <w:p w14:paraId="34E7F61A" w14:textId="77777777" w:rsidR="00A9464F" w:rsidRDefault="00A9464F" w:rsidP="00623D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5329545"/>
      <w:docPartObj>
        <w:docPartGallery w:val="Page Numbers (Top of Page)"/>
        <w:docPartUnique/>
      </w:docPartObj>
    </w:sdtPr>
    <w:sdtEndPr>
      <w:rPr>
        <w:noProof/>
      </w:rPr>
    </w:sdtEndPr>
    <w:sdtContent>
      <w:p w14:paraId="5C951525" w14:textId="77777777" w:rsidR="00623D1A" w:rsidRDefault="00623D1A" w:rsidP="00623D1A"/>
      <w:p w14:paraId="77B001FD" w14:textId="15FB1659" w:rsidR="00623D1A" w:rsidRDefault="00623D1A" w:rsidP="00623D1A">
        <w:r>
          <w:fldChar w:fldCharType="begin"/>
        </w:r>
        <w:r>
          <w:instrText xml:space="preserve"> PAGE   \* MERGEFORMAT </w:instrText>
        </w:r>
        <w:r>
          <w:fldChar w:fldCharType="separate"/>
        </w:r>
        <w:r>
          <w:rPr>
            <w:noProof/>
          </w:rPr>
          <w:t>2</w:t>
        </w:r>
        <w:r>
          <w:rPr>
            <w:noProof/>
          </w:rPr>
          <w:fldChar w:fldCharType="end"/>
        </w:r>
      </w:p>
    </w:sdtContent>
  </w:sdt>
  <w:p w14:paraId="10DF5C10" w14:textId="77777777" w:rsidR="00623D1A" w:rsidRDefault="00623D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1FC374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49B4E68"/>
    <w:multiLevelType w:val="hybridMultilevel"/>
    <w:tmpl w:val="6A7EEF2A"/>
    <w:lvl w:ilvl="0" w:tplc="B788943A">
      <w:start w:val="1"/>
      <w:numFmt w:val="bullet"/>
      <w:lvlText w:val="●"/>
      <w:lvlJc w:val="left"/>
      <w:pPr>
        <w:ind w:left="720" w:hanging="360"/>
      </w:pPr>
    </w:lvl>
    <w:lvl w:ilvl="1" w:tplc="20FCE926">
      <w:start w:val="1"/>
      <w:numFmt w:val="bullet"/>
      <w:lvlText w:val="○"/>
      <w:lvlJc w:val="left"/>
      <w:pPr>
        <w:ind w:left="1440" w:hanging="360"/>
      </w:pPr>
    </w:lvl>
    <w:lvl w:ilvl="2" w:tplc="D504A492">
      <w:start w:val="1"/>
      <w:numFmt w:val="bullet"/>
      <w:lvlText w:val="■"/>
      <w:lvlJc w:val="left"/>
      <w:pPr>
        <w:ind w:left="2160" w:hanging="360"/>
      </w:pPr>
    </w:lvl>
    <w:lvl w:ilvl="3" w:tplc="F358F690">
      <w:start w:val="1"/>
      <w:numFmt w:val="bullet"/>
      <w:lvlText w:val="●"/>
      <w:lvlJc w:val="left"/>
      <w:pPr>
        <w:ind w:left="2880" w:hanging="360"/>
      </w:pPr>
    </w:lvl>
    <w:lvl w:ilvl="4" w:tplc="BCEA0CAC">
      <w:start w:val="1"/>
      <w:numFmt w:val="bullet"/>
      <w:lvlText w:val="○"/>
      <w:lvlJc w:val="left"/>
      <w:pPr>
        <w:ind w:left="3600" w:hanging="360"/>
      </w:pPr>
    </w:lvl>
    <w:lvl w:ilvl="5" w:tplc="780027C8">
      <w:start w:val="1"/>
      <w:numFmt w:val="bullet"/>
      <w:lvlText w:val="■"/>
      <w:lvlJc w:val="left"/>
      <w:pPr>
        <w:ind w:left="4320" w:hanging="360"/>
      </w:pPr>
    </w:lvl>
    <w:lvl w:ilvl="6" w:tplc="92C642B8">
      <w:start w:val="1"/>
      <w:numFmt w:val="bullet"/>
      <w:lvlText w:val="●"/>
      <w:lvlJc w:val="left"/>
      <w:pPr>
        <w:ind w:left="5040" w:hanging="360"/>
      </w:pPr>
    </w:lvl>
    <w:lvl w:ilvl="7" w:tplc="E74CF030">
      <w:start w:val="1"/>
      <w:numFmt w:val="bullet"/>
      <w:lvlText w:val="●"/>
      <w:lvlJc w:val="left"/>
      <w:pPr>
        <w:ind w:left="5760" w:hanging="360"/>
      </w:pPr>
    </w:lvl>
    <w:lvl w:ilvl="8" w:tplc="E550CB6A">
      <w:start w:val="1"/>
      <w:numFmt w:val="bullet"/>
      <w:lvlText w:val="●"/>
      <w:lvlJc w:val="left"/>
      <w:pPr>
        <w:ind w:left="6480" w:hanging="360"/>
      </w:pPr>
    </w:lvl>
  </w:abstractNum>
  <w:num w:numId="1" w16cid:durableId="1247808976">
    <w:abstractNumId w:val="1"/>
    <w:lvlOverride w:ilvl="0">
      <w:startOverride w:val="1"/>
    </w:lvlOverride>
  </w:num>
  <w:num w:numId="2" w16cid:durableId="32926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D06"/>
    <w:rsid w:val="002A7D06"/>
    <w:rsid w:val="00623D1A"/>
    <w:rsid w:val="00643A54"/>
    <w:rsid w:val="00777018"/>
    <w:rsid w:val="00880C42"/>
    <w:rsid w:val="009A5BAD"/>
    <w:rsid w:val="00A9464F"/>
    <w:rsid w:val="00C86FD1"/>
    <w:rsid w:val="00C914FB"/>
    <w:rsid w:val="00CB03AE"/>
    <w:rsid w:val="00F65DC7"/>
    <w:rsid w:val="00F92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DE97F"/>
  <w15:docId w15:val="{314B3467-44DB-46AC-BFE7-8F7959D24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23D1A"/>
    <w:pPr>
      <w:tabs>
        <w:tab w:val="center" w:pos="4680"/>
        <w:tab w:val="right" w:pos="9360"/>
      </w:tabs>
    </w:pPr>
  </w:style>
  <w:style w:type="character" w:customStyle="1" w:styleId="HeaderChar">
    <w:name w:val="Header Char"/>
    <w:basedOn w:val="DefaultParagraphFont"/>
    <w:link w:val="Header"/>
    <w:uiPriority w:val="99"/>
    <w:rsid w:val="00623D1A"/>
  </w:style>
  <w:style w:type="paragraph" w:styleId="Footer">
    <w:name w:val="footer"/>
    <w:basedOn w:val="Normal"/>
    <w:link w:val="FooterChar"/>
    <w:uiPriority w:val="99"/>
    <w:unhideWhenUsed/>
    <w:rsid w:val="00623D1A"/>
    <w:pPr>
      <w:tabs>
        <w:tab w:val="center" w:pos="4680"/>
        <w:tab w:val="right" w:pos="9360"/>
      </w:tabs>
    </w:pPr>
  </w:style>
  <w:style w:type="character" w:customStyle="1" w:styleId="FooterChar">
    <w:name w:val="Footer Char"/>
    <w:basedOn w:val="DefaultParagraphFont"/>
    <w:link w:val="Footer"/>
    <w:uiPriority w:val="99"/>
    <w:rsid w:val="00623D1A"/>
  </w:style>
  <w:style w:type="paragraph" w:styleId="ListBullet">
    <w:name w:val="List Bullet"/>
    <w:basedOn w:val="Normal"/>
    <w:uiPriority w:val="99"/>
    <w:unhideWhenUsed/>
    <w:rsid w:val="00F65DC7"/>
    <w:pPr>
      <w:numPr>
        <w:numId w:val="2"/>
      </w:numPr>
      <w:tabs>
        <w:tab w:val="clear" w:pos="360"/>
      </w:tabs>
      <w:spacing w:after="200" w:line="276" w:lineRule="auto"/>
      <w:ind w:left="0" w:firstLine="0"/>
      <w:contextualSpacing/>
    </w:pPr>
    <w:rPr>
      <w:rFonts w:asciiTheme="minorHAnsi" w:eastAsiaTheme="minorEastAsia" w:hAnsiTheme="minorHAnsi" w:cstheme="minorBid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1632</Words>
  <Characters>9309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Lynch</cp:lastModifiedBy>
  <cp:revision>2</cp:revision>
  <cp:lastPrinted>2026-04-28T13:21:00Z</cp:lastPrinted>
  <dcterms:created xsi:type="dcterms:W3CDTF">2026-04-28T21:33:00Z</dcterms:created>
  <dcterms:modified xsi:type="dcterms:W3CDTF">2026-04-28T21:33:00Z</dcterms:modified>
</cp:coreProperties>
</file>