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3366"/>
          <w:sz w:val="34"/>
        </w:rPr>
        <w:t>ZONING CERTIFICATE OF COMPLIANCE</w:t>
      </w:r>
    </w:p>
    <w:p>
      <w:pPr>
        <w:jc w:val="center"/>
      </w:pPr>
      <w:r>
        <w:rPr>
          <w:rFonts w:ascii="Calibri" w:hAnsi="Calibri"/>
          <w:b w:val="0"/>
          <w:i w:val="0"/>
          <w:color w:val="333333"/>
          <w:sz w:val="26"/>
        </w:rPr>
        <w:t>Application Package — Cover Sheet &amp; Instructions</w:t>
      </w:r>
    </w:p>
    <w:p>
      <w:pPr>
        <w:jc w:val="center"/>
      </w:pPr>
      <w:r>
        <w:rPr>
          <w:rFonts w:ascii="Calibri" w:hAnsi="Calibri"/>
          <w:b/>
          <w:i w:val="0"/>
          <w:color w:val="003366"/>
          <w:sz w:val="22"/>
        </w:rPr>
        <w:t>138–150 Railroad Avenue, Tuckerton NJ  |  Block 46, Lots 7 &amp; 9</w:t>
      </w:r>
    </w:p>
    <w:p>
      <w:pPr>
        <w:jc w:val="center"/>
      </w:pPr>
      <w:r>
        <w:rPr>
          <w:rFonts w:ascii="Calibri" w:hAnsi="Calibri"/>
          <w:b w:val="0"/>
          <w:i/>
          <w:color w:val="333333"/>
          <w:sz w:val="20"/>
        </w:rPr>
        <w:t>B-2 Highway Business District  ·  Prepared: April 21, 2026</w:t>
      </w:r>
    </w:p>
    <w:p/>
    <w:p>
      <w:pPr>
        <w:spacing w:before="80" w:after="80"/>
      </w:pPr>
      <w:r>
        <w:rPr>
          <w:rFonts w:ascii="Calibri" w:hAnsi="Calibri"/>
          <w:b w:val="0"/>
          <w:i w:val="0"/>
          <w:color w:val="CCCCCC"/>
          <w:sz w:val="18"/>
        </w:rPr>
        <w:t>────────────────────────────────────────────────────────────────────────</w:t>
      </w:r>
    </w:p>
    <w:p/>
    <w:p>
      <w:pPr>
        <w:spacing w:before="240" w:after="80"/>
      </w:pPr>
      <w:r>
        <w:rPr>
          <w:rFonts w:ascii="Calibri" w:hAnsi="Calibri"/>
          <w:b/>
          <w:i w:val="0"/>
          <w:color w:val="003366"/>
          <w:sz w:val="28"/>
        </w:rPr>
        <w:t>PROPERTY SUMMARY</w:t>
      </w:r>
    </w:p>
    <w:p>
      <w:pPr>
        <w:spacing w:before="40" w:after="40"/>
      </w:pPr>
      <w:r>
        <w:rPr>
          <w:rFonts w:ascii="Calibri" w:hAnsi="Calibri"/>
          <w:b/>
          <w:i w:val="0"/>
          <w:color w:val="003366"/>
          <w:sz w:val="22"/>
        </w:rPr>
        <w:t xml:space="preserve">  Applicant:  </w:t>
      </w:r>
      <w:r>
        <w:rPr>
          <w:rFonts w:ascii="Calibri" w:hAnsi="Calibri"/>
          <w:b w:val="0"/>
          <w:i w:val="0"/>
          <w:color w:val="000000"/>
          <w:sz w:val="22"/>
        </w:rPr>
        <w:t>TLC Landholding LLC (Joseph Lynch, Managing Member)</w:t>
      </w:r>
    </w:p>
    <w:p>
      <w:pPr>
        <w:spacing w:before="40" w:after="40"/>
      </w:pPr>
      <w:r>
        <w:rPr>
          <w:rFonts w:ascii="Calibri" w:hAnsi="Calibri"/>
          <w:b/>
          <w:i w:val="0"/>
          <w:color w:val="003366"/>
          <w:sz w:val="22"/>
        </w:rPr>
        <w:t xml:space="preserve">  Owner of Record:  </w:t>
      </w:r>
      <w:r>
        <w:rPr>
          <w:rFonts w:ascii="Calibri" w:hAnsi="Calibri"/>
          <w:b w:val="0"/>
          <w:i w:val="0"/>
          <w:color w:val="000000"/>
          <w:sz w:val="22"/>
        </w:rPr>
        <w:t>Tuckerton Lumber Co</w:t>
      </w:r>
    </w:p>
    <w:p>
      <w:pPr>
        <w:spacing w:before="40" w:after="40"/>
      </w:pPr>
      <w:r>
        <w:rPr>
          <w:rFonts w:ascii="Calibri" w:hAnsi="Calibri"/>
          <w:b/>
          <w:i w:val="0"/>
          <w:color w:val="003366"/>
          <w:sz w:val="22"/>
        </w:rPr>
        <w:t xml:space="preserve">  Site Addresses:  </w:t>
      </w:r>
      <w:r>
        <w:rPr>
          <w:rFonts w:ascii="Calibri" w:hAnsi="Calibri"/>
          <w:b w:val="0"/>
          <w:i w:val="0"/>
          <w:color w:val="000000"/>
          <w:sz w:val="22"/>
        </w:rPr>
        <w:t>138 Railroad Avenue (Lot 7)  and  150 Railroad Avenue (Lot 9)</w:t>
      </w:r>
    </w:p>
    <w:p>
      <w:pPr>
        <w:spacing w:before="40" w:after="40"/>
      </w:pPr>
      <w:r>
        <w:rPr>
          <w:rFonts w:ascii="Calibri" w:hAnsi="Calibri"/>
          <w:b/>
          <w:i w:val="0"/>
          <w:color w:val="003366"/>
          <w:sz w:val="22"/>
        </w:rPr>
        <w:t xml:space="preserve">  Block / Lots:  </w:t>
      </w:r>
      <w:r>
        <w:rPr>
          <w:rFonts w:ascii="Calibri" w:hAnsi="Calibri"/>
          <w:b w:val="0"/>
          <w:i w:val="0"/>
          <w:color w:val="000000"/>
          <w:sz w:val="22"/>
        </w:rPr>
        <w:t>Block 46, Lot 7  and  Block 46, Lot 9</w:t>
      </w:r>
    </w:p>
    <w:p>
      <w:pPr>
        <w:spacing w:before="40" w:after="40"/>
      </w:pPr>
      <w:r>
        <w:rPr>
          <w:rFonts w:ascii="Calibri" w:hAnsi="Calibri"/>
          <w:b/>
          <w:i w:val="0"/>
          <w:color w:val="003366"/>
          <w:sz w:val="22"/>
        </w:rPr>
        <w:t xml:space="preserve">  Zoning District:  </w:t>
      </w:r>
      <w:r>
        <w:rPr>
          <w:rFonts w:ascii="Calibri" w:hAnsi="Calibri"/>
          <w:b w:val="0"/>
          <w:i w:val="0"/>
          <w:color w:val="000000"/>
          <w:sz w:val="22"/>
        </w:rPr>
        <w:t>B-2 Highway Business District</w:t>
      </w:r>
    </w:p>
    <w:p>
      <w:pPr>
        <w:spacing w:before="40" w:after="40"/>
      </w:pPr>
      <w:r>
        <w:rPr>
          <w:rFonts w:ascii="Calibri" w:hAnsi="Calibri"/>
          <w:b/>
          <w:i w:val="0"/>
          <w:color w:val="003366"/>
          <w:sz w:val="22"/>
        </w:rPr>
        <w:t xml:space="preserve">  Zoning Officer:  </w:t>
      </w:r>
      <w:r>
        <w:rPr>
          <w:rFonts w:ascii="Calibri" w:hAnsi="Calibri"/>
          <w:b w:val="0"/>
          <w:i w:val="0"/>
          <w:color w:val="000000"/>
          <w:sz w:val="22"/>
        </w:rPr>
        <w:t>Phil Reed, Tuckerton Borough</w:t>
      </w:r>
    </w:p>
    <w:p>
      <w:pPr>
        <w:spacing w:before="40" w:after="40"/>
      </w:pPr>
      <w:r>
        <w:rPr>
          <w:rFonts w:ascii="Calibri" w:hAnsi="Calibri"/>
          <w:b/>
          <w:i w:val="0"/>
          <w:color w:val="003366"/>
          <w:sz w:val="22"/>
        </w:rPr>
        <w:t xml:space="preserve">  Borough Office:  </w:t>
      </w:r>
      <w:r>
        <w:rPr>
          <w:rFonts w:ascii="Calibri" w:hAnsi="Calibri"/>
          <w:b w:val="0"/>
          <w:i w:val="0"/>
          <w:color w:val="000000"/>
          <w:sz w:val="22"/>
        </w:rPr>
        <w:t>Tuckerton Borough Construction Dept., 420 East Main Street, Tuckerton, NJ 08087</w:t>
      </w:r>
    </w:p>
    <w:p>
      <w:pPr>
        <w:spacing w:before="40" w:after="40"/>
      </w:pPr>
      <w:r>
        <w:rPr>
          <w:rFonts w:ascii="Calibri" w:hAnsi="Calibri"/>
          <w:b/>
          <w:i w:val="0"/>
          <w:color w:val="003366"/>
          <w:sz w:val="22"/>
        </w:rPr>
        <w:t xml:space="preserve">  Borough Phone:  </w:t>
      </w:r>
      <w:r>
        <w:rPr>
          <w:rFonts w:ascii="Calibri" w:hAnsi="Calibri"/>
          <w:b w:val="0"/>
          <w:i w:val="0"/>
          <w:color w:val="000000"/>
          <w:sz w:val="22"/>
        </w:rPr>
        <w:t>609-296-4916</w:t>
      </w:r>
    </w:p>
    <w:p>
      <w:pPr>
        <w:spacing w:before="40" w:after="40"/>
      </w:pPr>
      <w:r>
        <w:rPr>
          <w:rFonts w:ascii="Calibri" w:hAnsi="Calibri"/>
          <w:b/>
          <w:i w:val="0"/>
          <w:color w:val="003366"/>
          <w:sz w:val="22"/>
        </w:rPr>
        <w:t xml:space="preserve">  Applicant Phone:  </w:t>
      </w:r>
      <w:r>
        <w:rPr>
          <w:rFonts w:ascii="Calibri" w:hAnsi="Calibri"/>
          <w:b w:val="0"/>
          <w:i w:val="0"/>
          <w:color w:val="000000"/>
          <w:sz w:val="22"/>
        </w:rPr>
        <w:t>201-725-5606</w:t>
      </w:r>
    </w:p>
    <w:p>
      <w:pPr>
        <w:spacing w:before="40" w:after="40"/>
      </w:pPr>
      <w:r>
        <w:rPr>
          <w:rFonts w:ascii="Calibri" w:hAnsi="Calibri"/>
          <w:b/>
          <w:i w:val="0"/>
          <w:color w:val="003366"/>
          <w:sz w:val="22"/>
        </w:rPr>
        <w:t xml:space="preserve">  Applicant Address:  </w:t>
      </w:r>
      <w:r>
        <w:rPr>
          <w:rFonts w:ascii="Calibri" w:hAnsi="Calibri"/>
          <w:b w:val="0"/>
          <w:i w:val="0"/>
          <w:color w:val="000000"/>
          <w:sz w:val="22"/>
        </w:rPr>
        <w:t>200 N Long Beach Blvd, Surf City, NJ 08008</w:t>
      </w:r>
    </w:p>
    <w:p/>
    <w:p>
      <w:pPr>
        <w:spacing w:before="80" w:after="80"/>
      </w:pPr>
      <w:r>
        <w:rPr>
          <w:rFonts w:ascii="Calibri" w:hAnsi="Calibri"/>
          <w:b w:val="0"/>
          <w:i w:val="0"/>
          <w:color w:val="CCCCCC"/>
          <w:sz w:val="18"/>
        </w:rPr>
        <w:t>────────────────────────────────────────────────────────────────────────</w:t>
      </w:r>
    </w:p>
    <w:p/>
    <w:p>
      <w:pPr>
        <w:spacing w:before="240" w:after="80"/>
      </w:pPr>
      <w:r>
        <w:rPr>
          <w:rFonts w:ascii="Calibri" w:hAnsi="Calibri"/>
          <w:b/>
          <w:i w:val="0"/>
          <w:color w:val="003366"/>
          <w:sz w:val="28"/>
        </w:rPr>
        <w:t>1.  APPLICATION CHECKLIST</w:t>
      </w:r>
    </w:p>
    <w:p>
      <w:pPr>
        <w:spacing w:before="40" w:after="40"/>
      </w:pPr>
      <w:r>
        <w:rPr>
          <w:rFonts w:ascii="Calibri" w:hAnsi="Calibri"/>
          <w:b w:val="0"/>
          <w:i w:val="0"/>
          <w:color w:val="000000"/>
          <w:sz w:val="22"/>
        </w:rPr>
        <w:t>The following items must be included with each application submission (Lot 7 and Lot 9):</w:t>
      </w:r>
    </w:p>
    <w:p/>
    <w:p>
      <w:pPr>
        <w:spacing w:before="60" w:after="60"/>
        <w:ind w:left="360"/>
      </w:pPr>
      <w:r>
        <w:rPr>
          <w:rFonts w:ascii="Calibri" w:hAnsi="Calibri"/>
          <w:b w:val="0"/>
          <w:i w:val="0"/>
          <w:color w:val="003366"/>
          <w:sz w:val="24"/>
        </w:rPr>
        <w:t xml:space="preserve">☐   </w:t>
      </w:r>
      <w:r>
        <w:rPr>
          <w:rFonts w:ascii="Calibri" w:hAnsi="Calibri"/>
          <w:b w:val="0"/>
          <w:i w:val="0"/>
          <w:color w:val="000000"/>
          <w:sz w:val="22"/>
        </w:rPr>
        <w:t>Certificate of Compliance Application Form — Lot 7 (138 Railroad Ave)  [ATTACHED]</w:t>
      </w:r>
    </w:p>
    <w:p>
      <w:pPr>
        <w:spacing w:before="60" w:after="60"/>
        <w:ind w:left="360"/>
      </w:pPr>
      <w:r>
        <w:rPr>
          <w:rFonts w:ascii="Calibri" w:hAnsi="Calibri"/>
          <w:b w:val="0"/>
          <w:i w:val="0"/>
          <w:color w:val="003366"/>
          <w:sz w:val="24"/>
        </w:rPr>
        <w:t xml:space="preserve">☐   </w:t>
      </w:r>
      <w:r>
        <w:rPr>
          <w:rFonts w:ascii="Calibri" w:hAnsi="Calibri"/>
          <w:b w:val="0"/>
          <w:i w:val="0"/>
          <w:color w:val="000000"/>
          <w:sz w:val="22"/>
        </w:rPr>
        <w:t>Certificate of Compliance Application Form — Lot 9 (150 Railroad Ave)  [ATTACHED]</w:t>
      </w:r>
    </w:p>
    <w:p>
      <w:pPr>
        <w:spacing w:before="60" w:after="60"/>
        <w:ind w:left="360"/>
      </w:pPr>
      <w:r>
        <w:rPr>
          <w:rFonts w:ascii="Calibri" w:hAnsi="Calibri"/>
          <w:b w:val="0"/>
          <w:i w:val="0"/>
          <w:color w:val="003366"/>
          <w:sz w:val="24"/>
        </w:rPr>
        <w:t xml:space="preserve">☐   </w:t>
      </w:r>
      <w:r>
        <w:rPr>
          <w:rFonts w:ascii="Calibri" w:hAnsi="Calibri"/>
          <w:b w:val="0"/>
          <w:i w:val="0"/>
          <w:color w:val="000000"/>
          <w:sz w:val="22"/>
        </w:rPr>
        <w:t>$150 application fee — check payable to: Borough of Tuckerton (per lot; $300 total for both lots)</w:t>
      </w:r>
    </w:p>
    <w:p>
      <w:pPr>
        <w:spacing w:before="60" w:after="60"/>
        <w:ind w:left="360"/>
      </w:pPr>
      <w:r>
        <w:rPr>
          <w:rFonts w:ascii="Calibri" w:hAnsi="Calibri"/>
          <w:b w:val="0"/>
          <w:i w:val="0"/>
          <w:color w:val="003366"/>
          <w:sz w:val="24"/>
        </w:rPr>
        <w:t xml:space="preserve">☐   </w:t>
      </w:r>
      <w:r>
        <w:rPr>
          <w:rFonts w:ascii="Calibri" w:hAnsi="Calibri"/>
          <w:b w:val="0"/>
          <w:i w:val="0"/>
          <w:color w:val="000000"/>
          <w:sz w:val="22"/>
        </w:rPr>
        <w:t>Property survey / site plan for each lot  [to be attached]</w:t>
      </w:r>
    </w:p>
    <w:p>
      <w:pPr>
        <w:spacing w:before="60" w:after="60"/>
        <w:ind w:left="360"/>
      </w:pPr>
      <w:r>
        <w:rPr>
          <w:rFonts w:ascii="Calibri" w:hAnsi="Calibri"/>
          <w:b w:val="0"/>
          <w:i w:val="0"/>
          <w:color w:val="003366"/>
          <w:sz w:val="24"/>
        </w:rPr>
        <w:t xml:space="preserve">☐   </w:t>
      </w:r>
      <w:r>
        <w:rPr>
          <w:rFonts w:ascii="Calibri" w:hAnsi="Calibri"/>
          <w:b w:val="0"/>
          <w:i w:val="0"/>
          <w:color w:val="000000"/>
          <w:sz w:val="22"/>
        </w:rPr>
        <w:t>Description of current and proposed uses (see below)</w:t>
      </w:r>
    </w:p>
    <w:p>
      <w:pPr>
        <w:spacing w:before="60" w:after="60"/>
        <w:ind w:left="360"/>
      </w:pPr>
      <w:r>
        <w:rPr>
          <w:rFonts w:ascii="Calibri" w:hAnsi="Calibri"/>
          <w:b w:val="0"/>
          <w:i w:val="0"/>
          <w:color w:val="003366"/>
          <w:sz w:val="24"/>
        </w:rPr>
        <w:t xml:space="preserve">☐   </w:t>
      </w:r>
      <w:r>
        <w:rPr>
          <w:rFonts w:ascii="Calibri" w:hAnsi="Calibri"/>
          <w:b w:val="0"/>
          <w:i w:val="0"/>
          <w:color w:val="000000"/>
          <w:sz w:val="22"/>
        </w:rPr>
        <w:t>Proof of ownership / deed for Block 46, Lot 7 and Lot 9</w:t>
      </w:r>
    </w:p>
    <w:p>
      <w:pPr>
        <w:spacing w:before="60" w:after="60"/>
        <w:ind w:left="360"/>
      </w:pPr>
      <w:r>
        <w:rPr>
          <w:rFonts w:ascii="Calibri" w:hAnsi="Calibri"/>
          <w:b w:val="0"/>
          <w:i w:val="0"/>
          <w:color w:val="003366"/>
          <w:sz w:val="24"/>
        </w:rPr>
        <w:t xml:space="preserve">☐   </w:t>
      </w:r>
      <w:r>
        <w:rPr>
          <w:rFonts w:ascii="Calibri" w:hAnsi="Calibri"/>
          <w:b w:val="0"/>
          <w:i w:val="0"/>
          <w:color w:val="000000"/>
          <w:sz w:val="22"/>
        </w:rPr>
        <w:t>Any other required attachments per Tuckerton Borough zoning ordinance</w:t>
      </w:r>
    </w:p>
    <w:p/>
    <w:p>
      <w:pPr>
        <w:spacing w:before="160" w:after="40"/>
      </w:pPr>
      <w:r>
        <w:rPr>
          <w:rFonts w:ascii="Calibri" w:hAnsi="Calibri"/>
          <w:b/>
          <w:i w:val="0"/>
          <w:color w:val="333333"/>
          <w:sz w:val="22"/>
        </w:rPr>
        <w:t>Description of Current and Proposed Uses</w:t>
      </w:r>
    </w:p>
    <w:p>
      <w:pPr>
        <w:spacing w:before="40" w:after="40"/>
      </w:pPr>
      <w:r>
        <w:rPr>
          <w:rFonts w:ascii="Calibri" w:hAnsi="Calibri"/>
          <w:b w:val="0"/>
          <w:i w:val="0"/>
          <w:color w:val="000000"/>
          <w:sz w:val="22"/>
        </w:rPr>
        <w:t>Portable storage container rental operations (Surfbox Portable Storage) as an accessory use to the established lumber yard and building supply operations of Tuckerton Lumber Company. Operations include storage, staging, delivery, and retrieval of portable storage containers, consistent with existing commercial and outdoor storage uses on the property. No new construction or site modifications are proposed. Primary use: lumber/hardware/paint retail. Accessory use: outdoor storage and portable container rental (Surfbox).</w:t>
      </w:r>
    </w:p>
    <w:p>
      <w:pPr>
        <w:spacing w:before="80" w:after="80"/>
      </w:pPr>
      <w:r>
        <w:rPr>
          <w:rFonts w:ascii="Calibri" w:hAnsi="Calibri"/>
          <w:b w:val="0"/>
          <w:i w:val="0"/>
          <w:color w:val="CCCCCC"/>
          <w:sz w:val="18"/>
        </w:rPr>
        <w:t>────────────────────────────────────────────────────────────────────────</w:t>
      </w:r>
    </w:p>
    <w:p/>
    <w:p>
      <w:pPr>
        <w:spacing w:before="240" w:after="80"/>
      </w:pPr>
      <w:r>
        <w:rPr>
          <w:rFonts w:ascii="Calibri" w:hAnsi="Calibri"/>
          <w:b/>
          <w:i w:val="0"/>
          <w:color w:val="003366"/>
          <w:sz w:val="28"/>
        </w:rPr>
        <w:t>2.  SUBMISSION INSTRUCTIONS</w:t>
      </w:r>
    </w:p>
    <w:p>
      <w:pPr>
        <w:spacing w:before="80" w:after="40"/>
        <w:ind w:left="288"/>
      </w:pPr>
      <w:r>
        <w:rPr>
          <w:rFonts w:ascii="Calibri" w:hAnsi="Calibri"/>
          <w:b/>
          <w:i w:val="0"/>
          <w:color w:val="003366"/>
          <w:sz w:val="22"/>
        </w:rPr>
        <w:t xml:space="preserve">►  Submit To:  </w:t>
      </w:r>
      <w:r>
        <w:rPr>
          <w:rFonts w:ascii="Calibri" w:hAnsi="Calibri"/>
          <w:b w:val="0"/>
          <w:i w:val="0"/>
          <w:color w:val="000000"/>
          <w:sz w:val="22"/>
        </w:rPr>
        <w:t>Phil Reed, Zoning Officer</w:t>
      </w:r>
    </w:p>
    <w:p>
      <w:pPr>
        <w:spacing w:before="80" w:after="40"/>
        <w:ind w:left="288"/>
      </w:pPr>
      <w:r>
        <w:rPr>
          <w:rFonts w:ascii="Calibri" w:hAnsi="Calibri"/>
          <w:b/>
          <w:i w:val="0"/>
          <w:color w:val="003366"/>
          <w:sz w:val="22"/>
        </w:rPr>
        <w:t xml:space="preserve">►  Address:  </w:t>
      </w:r>
      <w:r>
        <w:rPr>
          <w:rFonts w:ascii="Calibri" w:hAnsi="Calibri"/>
          <w:b w:val="0"/>
          <w:i w:val="0"/>
          <w:color w:val="000000"/>
          <w:sz w:val="22"/>
        </w:rPr>
        <w:t>Tuckerton Borough Construction Department</w:t>
        <w:br/>
        <w:t>420 East Main Street, Tuckerton, NJ 08087</w:t>
      </w:r>
    </w:p>
    <w:p>
      <w:pPr>
        <w:spacing w:before="80" w:after="40"/>
        <w:ind w:left="288"/>
      </w:pPr>
      <w:r>
        <w:rPr>
          <w:rFonts w:ascii="Calibri" w:hAnsi="Calibri"/>
          <w:b/>
          <w:i w:val="0"/>
          <w:color w:val="003366"/>
          <w:sz w:val="22"/>
        </w:rPr>
        <w:t xml:space="preserve">►  Reference:  </w:t>
      </w:r>
      <w:r>
        <w:rPr>
          <w:rFonts w:ascii="Calibri" w:hAnsi="Calibri"/>
          <w:b w:val="0"/>
          <w:i w:val="0"/>
          <w:color w:val="000000"/>
          <w:sz w:val="22"/>
        </w:rPr>
        <w:t>Block 46, Lots 7 &amp; 9 — Certificate of Compliance Application</w:t>
      </w:r>
    </w:p>
    <w:p>
      <w:pPr>
        <w:spacing w:before="80" w:after="40"/>
        <w:ind w:left="288"/>
      </w:pPr>
      <w:r>
        <w:rPr>
          <w:rFonts w:ascii="Calibri" w:hAnsi="Calibri"/>
          <w:b/>
          <w:i w:val="0"/>
          <w:color w:val="003366"/>
          <w:sz w:val="22"/>
        </w:rPr>
        <w:t xml:space="preserve">►  Uses to be Covered:  </w:t>
      </w:r>
      <w:r>
        <w:rPr>
          <w:rFonts w:ascii="Calibri" w:hAnsi="Calibri"/>
          <w:b w:val="0"/>
          <w:i w:val="0"/>
          <w:color w:val="000000"/>
          <w:sz w:val="22"/>
        </w:rPr>
        <w:t>Lumber/hardware/paint retail + outdoor storage + Surfbox as accessory use</w:t>
      </w:r>
    </w:p>
    <w:p>
      <w:pPr>
        <w:spacing w:before="80" w:after="40"/>
        <w:ind w:left="288"/>
      </w:pPr>
      <w:r>
        <w:rPr>
          <w:rFonts w:ascii="Calibri" w:hAnsi="Calibri"/>
          <w:b/>
          <w:i w:val="0"/>
          <w:color w:val="003366"/>
          <w:sz w:val="22"/>
        </w:rPr>
        <w:t xml:space="preserve">►  Fee Payment:  </w:t>
      </w:r>
      <w:r>
        <w:rPr>
          <w:rFonts w:ascii="Calibri" w:hAnsi="Calibri"/>
          <w:b w:val="0"/>
          <w:i w:val="0"/>
          <w:color w:val="000000"/>
          <w:sz w:val="22"/>
        </w:rPr>
        <w:t>$150 per application (check payable to Borough of Tuckerton); $300 total for two lots</w:t>
      </w:r>
    </w:p>
    <w:p>
      <w:pPr>
        <w:spacing w:before="80" w:after="40"/>
        <w:ind w:left="288"/>
      </w:pPr>
      <w:r>
        <w:rPr>
          <w:rFonts w:ascii="Calibri" w:hAnsi="Calibri"/>
          <w:b/>
          <w:i w:val="0"/>
          <w:color w:val="003366"/>
          <w:sz w:val="22"/>
        </w:rPr>
        <w:t xml:space="preserve">►  Attachments:  </w:t>
      </w:r>
      <w:r>
        <w:rPr>
          <w:rFonts w:ascii="Calibri" w:hAnsi="Calibri"/>
          <w:b w:val="0"/>
          <w:i w:val="0"/>
          <w:color w:val="000000"/>
          <w:sz w:val="22"/>
        </w:rPr>
        <w:t>Complete application form for each lot + survey/site plan + proof of ownership</w:t>
      </w:r>
    </w:p>
    <w:p>
      <w:pPr>
        <w:spacing w:before="80" w:after="40"/>
        <w:ind w:left="288"/>
      </w:pPr>
      <w:r>
        <w:rPr>
          <w:rFonts w:ascii="Calibri" w:hAnsi="Calibri"/>
          <w:b/>
          <w:i w:val="0"/>
          <w:color w:val="003366"/>
          <w:sz w:val="22"/>
        </w:rPr>
        <w:t xml:space="preserve">►  Follow-Up Contact:  </w:t>
      </w:r>
      <w:r>
        <w:rPr>
          <w:rFonts w:ascii="Calibri" w:hAnsi="Calibri"/>
          <w:b w:val="0"/>
          <w:i w:val="0"/>
          <w:color w:val="000000"/>
          <w:sz w:val="22"/>
        </w:rPr>
        <w:t>Phil Reed — 609-296-4916 (Borough offices, 420 East Main Street, Tuckerton)</w:t>
      </w:r>
    </w:p>
    <w:p>
      <w:pPr>
        <w:spacing w:before="80" w:after="80"/>
      </w:pPr>
      <w:r>
        <w:rPr>
          <w:rFonts w:ascii="Calibri" w:hAnsi="Calibri"/>
          <w:b w:val="0"/>
          <w:i w:val="0"/>
          <w:color w:val="CCCCCC"/>
          <w:sz w:val="18"/>
        </w:rPr>
        <w:t>────────────────────────────────────────────────────────────────────────</w:t>
      </w:r>
    </w:p>
    <w:p/>
    <w:p>
      <w:pPr>
        <w:spacing w:before="240" w:after="80"/>
      </w:pPr>
      <w:r>
        <w:rPr>
          <w:rFonts w:ascii="Calibri" w:hAnsi="Calibri"/>
          <w:b/>
          <w:i w:val="0"/>
          <w:color w:val="003366"/>
          <w:sz w:val="28"/>
        </w:rPr>
        <w:t>3.  STRATEGY NOTES  ★  FOR JOE ONLY — DO NOT SUBMIT</w:t>
      </w:r>
    </w:p>
    <w:p>
      <w:pPr>
        <w:spacing w:before="80" w:after="160"/>
      </w:pPr>
      <w:r>
        <w:rPr>
          <w:rFonts w:ascii="Calibri" w:hAnsi="Calibri"/>
          <w:b/>
          <w:i/>
          <w:color w:val="CC3300"/>
          <w:sz w:val="20"/>
        </w:rPr>
        <w:t xml:space="preserve">  ⚠  This section is internal only. Do not include with the borough submission.</w:t>
      </w:r>
    </w:p>
    <w:p>
      <w:pPr>
        <w:spacing w:before="160" w:after="40"/>
      </w:pPr>
      <w:r>
        <w:rPr>
          <w:rFonts w:ascii="Calibri" w:hAnsi="Calibri"/>
          <w:b/>
          <w:i w:val="0"/>
          <w:color w:val="333333"/>
          <w:sz w:val="22"/>
        </w:rPr>
        <w:t>→  Certificate of Compliance &gt; C/O Amendment</w:t>
      </w:r>
    </w:p>
    <w:p>
      <w:pPr>
        <w:spacing w:before="40" w:after="40"/>
      </w:pPr>
      <w:r>
        <w:rPr>
          <w:rFonts w:ascii="Calibri" w:hAnsi="Calibri"/>
          <w:b w:val="0"/>
          <w:i w:val="0"/>
          <w:color w:val="000000"/>
          <w:sz w:val="22"/>
        </w:rPr>
        <w:t>A Zoning Certificate of Compliance is the preferred vehicle — it is easier to obtain than a Certificate of Occupancy amendment, and under N.J.S.A. 40:55D-68 it is bankable, transferable, and survives ownership changes. This is the right instrument for your situation.</w:t>
      </w:r>
    </w:p>
    <w:p/>
    <w:p>
      <w:pPr>
        <w:spacing w:before="160" w:after="40"/>
      </w:pPr>
      <w:r>
        <w:rPr>
          <w:rFonts w:ascii="Calibri" w:hAnsi="Calibri"/>
          <w:b/>
          <w:i w:val="0"/>
          <w:color w:val="333333"/>
          <w:sz w:val="22"/>
        </w:rPr>
        <w:t>→  ALTA 3.1 Title Insurance Endorsement</w:t>
      </w:r>
    </w:p>
    <w:p>
      <w:pPr>
        <w:spacing w:before="40" w:after="40"/>
      </w:pPr>
      <w:r>
        <w:rPr>
          <w:rFonts w:ascii="Calibri" w:hAnsi="Calibri"/>
          <w:b w:val="0"/>
          <w:i w:val="0"/>
          <w:color w:val="000000"/>
          <w:sz w:val="22"/>
        </w:rPr>
        <w:t>Pair the Zoning Certificate of Compliance with an ALTA 3.1 (Zoning) title insurance endorsement. Together, these two documents satisfy bank underwriting requirements and provide clean title coverage for lender due diligence — critical if you ever seek financing secured by the Railroad Avenue parcels.</w:t>
      </w:r>
    </w:p>
    <w:p/>
    <w:p>
      <w:pPr>
        <w:spacing w:before="160" w:after="40"/>
      </w:pPr>
      <w:r>
        <w:rPr>
          <w:rFonts w:ascii="Calibri" w:hAnsi="Calibri"/>
          <w:b/>
          <w:i w:val="0"/>
          <w:color w:val="333333"/>
          <w:sz w:val="22"/>
        </w:rPr>
        <w:t>→  Surfbox as Accessory Use — Regulatory Strategy</w:t>
      </w:r>
    </w:p>
    <w:p>
      <w:pPr>
        <w:spacing w:before="40" w:after="40"/>
      </w:pPr>
      <w:r>
        <w:rPr>
          <w:rFonts w:ascii="Calibri" w:hAnsi="Calibri"/>
          <w:b w:val="0"/>
          <w:i w:val="0"/>
          <w:color w:val="000000"/>
          <w:sz w:val="22"/>
        </w:rPr>
        <w:t>Framing Surfbox operations as an accessory use to the established lumberyard is the strategically correct approach. It ties Surfbox to a long-standing, fully permitted commercial operation (Tuckerton Lumber), reduces standalone regulatory exposure, and is legally defensible under the B-2 zoning district's accessory use provisions. Avoid framing Surfbox as a primary or independent use on these parcels.</w:t>
      </w:r>
    </w:p>
    <w:p/>
    <w:p>
      <w:pPr>
        <w:spacing w:before="160" w:after="40"/>
      </w:pPr>
      <w:r>
        <w:rPr>
          <w:rFonts w:ascii="Calibri" w:hAnsi="Calibri"/>
          <w:b/>
          <w:i w:val="0"/>
          <w:color w:val="333333"/>
          <w:sz w:val="22"/>
        </w:rPr>
        <w:t>→  Phil Reed Relationship</w:t>
      </w:r>
    </w:p>
    <w:p>
      <w:pPr>
        <w:spacing w:before="40" w:after="40"/>
      </w:pPr>
      <w:r>
        <w:rPr>
          <w:rFonts w:ascii="Calibri" w:hAnsi="Calibri"/>
          <w:b w:val="0"/>
          <w:i w:val="0"/>
          <w:color w:val="000000"/>
          <w:sz w:val="22"/>
        </w:rPr>
        <w:t>Phil Reed was receptive at the March 26 meeting. Maintain a cooperative, straightforward approach. Submit clean paperwork, pay the fee, and follow up professionally. No need to over-engineer the application — keep the language simple and consistent with the existing permit applications.</w:t>
      </w:r>
    </w:p>
    <w:p/>
    <w:p>
      <w:pPr>
        <w:spacing w:before="160" w:after="40"/>
      </w:pPr>
      <w:r>
        <w:rPr>
          <w:rFonts w:ascii="Calibri" w:hAnsi="Calibri"/>
          <w:b/>
          <w:i w:val="0"/>
          <w:color w:val="333333"/>
          <w:sz w:val="22"/>
        </w:rPr>
        <w:t>→  Two-Lot Strategy</w:t>
      </w:r>
    </w:p>
    <w:p>
      <w:pPr>
        <w:spacing w:before="40" w:after="40"/>
      </w:pPr>
      <w:r>
        <w:rPr>
          <w:rFonts w:ascii="Calibri" w:hAnsi="Calibri"/>
          <w:b w:val="0"/>
          <w:i w:val="0"/>
          <w:color w:val="000000"/>
          <w:sz w:val="22"/>
        </w:rPr>
        <w:t>Filing separately for Lot 7 and Lot 9 (rather than a combined application) preserves flexibility — each lot gets its own certification, which is cleaner for future financing, sale, or lease of either parcel independently.</w:t>
      </w:r>
    </w:p>
    <w:p/>
    <w:p>
      <w:pPr>
        <w:jc w:val="center"/>
      </w:pPr>
      <w:r>
        <w:rPr>
          <w:rFonts w:ascii="Calibri" w:hAnsi="Calibri"/>
          <w:b w:val="0"/>
          <w:i/>
          <w:color w:val="999999"/>
          <w:sz w:val="18"/>
        </w:rPr>
        <w:t>Tuckerton Group  ·  Confidential &amp; Internal  ·  Zoning Application Package  ·  April 21,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