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2">
      <w:pPr>
        <w:jc w:val="center"/>
        <w:rPr>
          <w:b w:val="1"/>
          <w:sz w:val="52"/>
          <w:szCs w:val="52"/>
        </w:rPr>
      </w:pPr>
      <w:r w:rsidDel="00000000" w:rsidR="00000000" w:rsidRPr="00000000">
        <w:rPr>
          <w:b w:val="1"/>
          <w:sz w:val="52"/>
          <w:szCs w:val="52"/>
          <w:rtl w:val="0"/>
        </w:rPr>
        <w:t xml:space="preserve">MGH OB/Gyn Diversity Committee Strategic Plan</w:t>
      </w:r>
    </w:p>
    <w:p w:rsidR="00000000" w:rsidDel="00000000" w:rsidP="00000000" w:rsidRDefault="00000000" w:rsidRPr="00000000" w14:paraId="00000003">
      <w:pPr>
        <w:jc w:val="center"/>
        <w:rPr>
          <w:b w:val="1"/>
          <w:sz w:val="52"/>
          <w:szCs w:val="52"/>
        </w:rPr>
      </w:pPr>
      <w:r w:rsidDel="00000000" w:rsidR="00000000" w:rsidRPr="00000000">
        <w:rPr>
          <w:b w:val="1"/>
          <w:sz w:val="52"/>
          <w:szCs w:val="52"/>
          <w:rtl w:val="0"/>
        </w:rPr>
        <w:t xml:space="preserve">2020-2023</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Mission Statement:</w:t>
      </w:r>
      <w:r w:rsidDel="00000000" w:rsidR="00000000" w:rsidRPr="00000000">
        <w:rPr>
          <w:sz w:val="28"/>
          <w:szCs w:val="28"/>
          <w:rtl w:val="0"/>
        </w:rPr>
        <w:t xml:space="preserve"> The mission of the OB/Gyn Department diversity committee is to make real the promise of inclusive excellence by embracing our differences and promoting equitable treatment of all.</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Priority Areas &amp; Broad goals:</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Based on meetings in January/February 2020 to discuss priorities for the committee and broad goals for the department, the committee identified four broad areas where we would like to focus over the next three years.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addition, we want to ensure that all efforts reach a wide variety of department members and role groups. We will provide at least twice yearly updates on committee progress across the department, sites, job categories, and will solicit membership and input at the same time.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tbl>
      <w:tblPr>
        <w:tblStyle w:val="Table1"/>
        <w:tblW w:w="10335.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580"/>
        <w:gridCol w:w="2715"/>
        <w:gridCol w:w="2880"/>
        <w:tblGridChange w:id="0">
          <w:tblGrid>
            <w:gridCol w:w="2160"/>
            <w:gridCol w:w="2580"/>
            <w:gridCol w:w="2715"/>
            <w:gridCol w:w="2880"/>
          </w:tblGrid>
        </w:tblGridChange>
      </w:tblGrid>
      <w:tr>
        <w:trPr>
          <w:trHeight w:val="485" w:hRule="atLeast"/>
        </w:trPr>
        <w:tc>
          <w:tcPr>
            <w:tcBorders>
              <w:top w:color="000000" w:space="0" w:sz="0" w:val="nil"/>
              <w:left w:color="000000" w:space="0" w:sz="0" w:val="nil"/>
              <w:bottom w:color="8eaadb"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Area</w:t>
            </w:r>
          </w:p>
        </w:tc>
        <w:tc>
          <w:tcPr>
            <w:tcBorders>
              <w:top w:color="000000" w:space="0" w:sz="0" w:val="nil"/>
              <w:left w:color="000000" w:space="0" w:sz="0" w:val="nil"/>
              <w:bottom w:color="8eaadb"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Year 1</w:t>
            </w:r>
          </w:p>
        </w:tc>
        <w:tc>
          <w:tcPr>
            <w:tcBorders>
              <w:top w:color="000000" w:space="0" w:sz="0" w:val="nil"/>
              <w:left w:color="000000" w:space="0" w:sz="0" w:val="nil"/>
              <w:bottom w:color="8eaadb"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Year 2</w:t>
            </w:r>
          </w:p>
        </w:tc>
        <w:tc>
          <w:tcPr>
            <w:tcBorders>
              <w:top w:color="000000" w:space="0" w:sz="0" w:val="nil"/>
              <w:left w:color="000000" w:space="0" w:sz="0" w:val="nil"/>
              <w:bottom w:color="8eaadb"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Year 3</w:t>
            </w:r>
          </w:p>
        </w:tc>
      </w:tr>
      <w:tr>
        <w:trPr>
          <w:trHeight w:val="1295" w:hRule="atLeast"/>
        </w:trPr>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Hiring practices &amp; Work Environment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Best hiring practices</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Disseminate information about actual hiring practices (from Inbox) and hiring best practices</w:t>
            </w:r>
          </w:p>
        </w:tc>
        <w:tc>
          <w:tcPr>
            <w:tcBorders>
              <w:top w:color="000000" w:space="0" w:sz="0" w:val="nil"/>
              <w:left w:color="000000" w:space="0" w:sz="0" w:val="nil"/>
              <w:bottom w:color="8eaadb" w:space="0" w:sz="8" w:val="single"/>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Evaluate implementation of hiring best practices</w:t>
            </w:r>
          </w:p>
        </w:tc>
      </w:tr>
      <w:tr>
        <w:trPr>
          <w:trHeight w:val="1545" w:hRule="atLeast"/>
        </w:trPr>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Departmental Awareness and Skills Building</w:t>
            </w:r>
          </w:p>
          <w:p w:rsidR="00000000" w:rsidDel="00000000" w:rsidP="00000000" w:rsidRDefault="00000000" w:rsidRPr="00000000" w14:paraId="0000001F">
            <w:pPr>
              <w:rPr>
                <w:b w:val="1"/>
              </w:rPr>
            </w:pPr>
            <w:r w:rsidDel="00000000" w:rsidR="00000000" w:rsidRPr="00000000">
              <w:rPr>
                <w:b w:val="1"/>
                <w:rtl w:val="0"/>
              </w:rPr>
              <w:t xml:space="preserve">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Health Equity Rounds </w:t>
            </w:r>
          </w:p>
          <w:p w:rsidR="00000000" w:rsidDel="00000000" w:rsidP="00000000" w:rsidRDefault="00000000" w:rsidRPr="00000000" w14:paraId="00000021">
            <w:pPr>
              <w:rPr/>
            </w:pPr>
            <w:r w:rsidDel="00000000" w:rsidR="00000000" w:rsidRPr="00000000">
              <w:rPr>
                <w:rtl w:val="0"/>
              </w:rPr>
              <w:t xml:space="preserve">Town Halls </w:t>
            </w:r>
          </w:p>
          <w:p w:rsidR="00000000" w:rsidDel="00000000" w:rsidP="00000000" w:rsidRDefault="00000000" w:rsidRPr="00000000" w14:paraId="00000022">
            <w:pPr>
              <w:rPr/>
            </w:pPr>
            <w:r w:rsidDel="00000000" w:rsidR="00000000" w:rsidRPr="00000000">
              <w:rPr>
                <w:rtl w:val="0"/>
              </w:rPr>
              <w:t xml:space="preserve">Inequity Inbox reporting </w:t>
            </w:r>
          </w:p>
          <w:p w:rsidR="00000000" w:rsidDel="00000000" w:rsidP="00000000" w:rsidRDefault="00000000" w:rsidRPr="00000000" w14:paraId="00000023">
            <w:pPr>
              <w:rPr/>
            </w:pPr>
            <w:r w:rsidDel="00000000" w:rsidR="00000000" w:rsidRPr="00000000">
              <w:rPr>
                <w:rtl w:val="0"/>
              </w:rPr>
              <w:t xml:space="preserve">Skills didactic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Health Equity Rounds</w:t>
            </w:r>
          </w:p>
          <w:p w:rsidR="00000000" w:rsidDel="00000000" w:rsidP="00000000" w:rsidRDefault="00000000" w:rsidRPr="00000000" w14:paraId="00000025">
            <w:pPr>
              <w:rPr/>
            </w:pPr>
            <w:r w:rsidDel="00000000" w:rsidR="00000000" w:rsidRPr="00000000">
              <w:rPr>
                <w:rtl w:val="0"/>
              </w:rPr>
              <w:t xml:space="preserve">Town Halls </w:t>
            </w:r>
          </w:p>
          <w:p w:rsidR="00000000" w:rsidDel="00000000" w:rsidP="00000000" w:rsidRDefault="00000000" w:rsidRPr="00000000" w14:paraId="00000026">
            <w:pPr>
              <w:rPr/>
            </w:pPr>
            <w:r w:rsidDel="00000000" w:rsidR="00000000" w:rsidRPr="00000000">
              <w:rPr>
                <w:rtl w:val="0"/>
              </w:rPr>
              <w:t xml:space="preserve">Inequity Inbox reporting </w:t>
            </w:r>
          </w:p>
          <w:p w:rsidR="00000000" w:rsidDel="00000000" w:rsidP="00000000" w:rsidRDefault="00000000" w:rsidRPr="00000000" w14:paraId="00000027">
            <w:pPr>
              <w:rPr/>
            </w:pPr>
            <w:r w:rsidDel="00000000" w:rsidR="00000000" w:rsidRPr="00000000">
              <w:rPr>
                <w:rtl w:val="0"/>
              </w:rPr>
              <w:t xml:space="preserve">Skills didactic </w:t>
            </w:r>
          </w:p>
        </w:tc>
        <w:tc>
          <w:tcPr>
            <w:tcBorders>
              <w:top w:color="000000" w:space="0" w:sz="0" w:val="nil"/>
              <w:left w:color="000000" w:space="0" w:sz="0" w:val="nil"/>
              <w:bottom w:color="8eaadb"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Health Equity Rounds </w:t>
            </w:r>
          </w:p>
          <w:p w:rsidR="00000000" w:rsidDel="00000000" w:rsidP="00000000" w:rsidRDefault="00000000" w:rsidRPr="00000000" w14:paraId="00000029">
            <w:pPr>
              <w:rPr/>
            </w:pPr>
            <w:r w:rsidDel="00000000" w:rsidR="00000000" w:rsidRPr="00000000">
              <w:rPr>
                <w:rtl w:val="0"/>
              </w:rPr>
              <w:t xml:space="preserve">Town Halls </w:t>
            </w:r>
          </w:p>
          <w:p w:rsidR="00000000" w:rsidDel="00000000" w:rsidP="00000000" w:rsidRDefault="00000000" w:rsidRPr="00000000" w14:paraId="0000002A">
            <w:pPr>
              <w:rPr/>
            </w:pPr>
            <w:r w:rsidDel="00000000" w:rsidR="00000000" w:rsidRPr="00000000">
              <w:rPr>
                <w:rtl w:val="0"/>
              </w:rPr>
              <w:t xml:space="preserve">Inequity Inbox reporting </w:t>
            </w:r>
          </w:p>
          <w:p w:rsidR="00000000" w:rsidDel="00000000" w:rsidP="00000000" w:rsidRDefault="00000000" w:rsidRPr="00000000" w14:paraId="0000002B">
            <w:pPr>
              <w:rPr/>
            </w:pPr>
            <w:r w:rsidDel="00000000" w:rsidR="00000000" w:rsidRPr="00000000">
              <w:rPr>
                <w:rtl w:val="0"/>
              </w:rPr>
              <w:t xml:space="preserve">Skills training/didactic </w:t>
            </w:r>
          </w:p>
        </w:tc>
      </w:tr>
      <w:tr>
        <w:trPr>
          <w:trHeight w:val="1295" w:hRule="atLeast"/>
        </w:trPr>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Measuring and comparing quality of care</w:t>
            </w:r>
          </w:p>
          <w:p w:rsidR="00000000" w:rsidDel="00000000" w:rsidP="00000000" w:rsidRDefault="00000000" w:rsidRPr="00000000" w14:paraId="0000002D">
            <w:pPr>
              <w:rPr>
                <w:b w:val="1"/>
              </w:rPr>
            </w:pPr>
            <w:r w:rsidDel="00000000" w:rsidR="00000000" w:rsidRPr="00000000">
              <w:rPr>
                <w:b w:val="1"/>
                <w:rtl w:val="0"/>
              </w:rPr>
              <w:t xml:space="preserve"> </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Design a quality metric for patient care using 6 dimensions of IOM; choose pilot areas to test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Test quality metric</w:t>
            </w:r>
          </w:p>
        </w:tc>
        <w:tc>
          <w:tcPr>
            <w:tcBorders>
              <w:top w:color="000000" w:space="0" w:sz="0" w:val="nil"/>
              <w:left w:color="000000" w:space="0" w:sz="0" w:val="nil"/>
              <w:bottom w:color="8eaadb" w:space="0" w:sz="8" w:val="single"/>
              <w:right w:color="000000" w:space="0" w:sz="0" w:val="nil"/>
            </w:tcBorders>
            <w:shd w:fill="d9e2f3"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Use quality metric and compare care by race/ethnicity, diagnoses, etc.</w:t>
            </w:r>
          </w:p>
        </w:tc>
      </w:tr>
    </w:tbl>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Timeline</w:t>
      </w:r>
      <w:r w:rsidDel="00000000" w:rsidR="00000000" w:rsidRPr="00000000">
        <w:rPr>
          <w:rtl w:val="0"/>
        </w:rPr>
      </w:r>
    </w:p>
    <w:tbl>
      <w:tblPr>
        <w:tblStyle w:val="Table2"/>
        <w:tblW w:w="10500.000000000002"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000000000001"/>
        <w:gridCol w:w="875.0000000000001"/>
        <w:gridCol w:w="875.0000000000001"/>
        <w:gridCol w:w="875.0000000000001"/>
        <w:gridCol w:w="875.0000000000001"/>
        <w:gridCol w:w="875.0000000000001"/>
        <w:gridCol w:w="875.0000000000001"/>
        <w:gridCol w:w="875.0000000000001"/>
        <w:gridCol w:w="875.0000000000001"/>
        <w:gridCol w:w="875.0000000000001"/>
        <w:gridCol w:w="875.0000000000001"/>
        <w:gridCol w:w="875.0000000000001"/>
        <w:tblGridChange w:id="0">
          <w:tblGrid>
            <w:gridCol w:w="875.0000000000001"/>
            <w:gridCol w:w="875.0000000000001"/>
            <w:gridCol w:w="875.0000000000001"/>
            <w:gridCol w:w="875.0000000000001"/>
            <w:gridCol w:w="875.0000000000001"/>
            <w:gridCol w:w="875.0000000000001"/>
            <w:gridCol w:w="875.0000000000001"/>
            <w:gridCol w:w="875.0000000000001"/>
            <w:gridCol w:w="875.0000000000001"/>
            <w:gridCol w:w="875.0000000000001"/>
            <w:gridCol w:w="875.0000000000001"/>
            <w:gridCol w:w="875.0000000000001"/>
          </w:tblGrid>
        </w:tblGridChange>
      </w:tblGrid>
      <w:tr>
        <w:trPr>
          <w:trHeight w:val="485" w:hRule="atLeast"/>
        </w:trPr>
        <w:tc>
          <w:tcPr>
            <w:gridSpan w:val="4"/>
            <w:tcBorders>
              <w:top w:color="000000" w:space="0" w:sz="8" w:val="single"/>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Year 1</w:t>
            </w:r>
          </w:p>
        </w:tc>
        <w:tc>
          <w:tcPr>
            <w:gridSpan w:val="4"/>
            <w:tcBorders>
              <w:top w:color="000000" w:space="0" w:sz="8" w:val="single"/>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Year 2</w:t>
            </w:r>
          </w:p>
        </w:tc>
        <w:tc>
          <w:tcPr>
            <w:gridSpan w:val="4"/>
            <w:tcBorders>
              <w:top w:color="000000" w:space="0" w:sz="8" w:val="single"/>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Year 3</w:t>
            </w:r>
          </w:p>
        </w:tc>
      </w:tr>
      <w:tr>
        <w:trPr>
          <w:trHeight w:val="485" w:hRule="atLeast"/>
        </w:trPr>
        <w:tc>
          <w:tcPr>
            <w:tcBorders>
              <w:top w:color="000000" w:space="0" w:sz="0" w:val="nil"/>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2020</w:t>
            </w:r>
          </w:p>
        </w:tc>
        <w:tc>
          <w:tcPr>
            <w:tcBorders>
              <w:top w:color="000000" w:space="0" w:sz="0" w:val="nil"/>
              <w:left w:color="000000" w:space="0" w:sz="0" w:val="nil"/>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2021</w:t>
            </w:r>
          </w:p>
        </w:tc>
        <w:tc>
          <w:tcPr>
            <w:tcBorders>
              <w:top w:color="000000" w:space="0" w:sz="0" w:val="nil"/>
              <w:left w:color="000000" w:space="0" w:sz="0" w:val="nil"/>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2022</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2023</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10-12</w:t>
            </w:r>
          </w:p>
        </w:tc>
        <w:tc>
          <w:tcPr>
            <w:tcBorders>
              <w:top w:color="000000" w:space="0" w:sz="0" w:val="nil"/>
              <w:left w:color="000000" w:space="0" w:sz="0" w:val="nil"/>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8" w:val="single"/>
              <w:right w:color="000000" w:space="0" w:sz="8" w:val="single"/>
            </w:tcBorders>
            <w:shd w:fill="ededed"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7-9</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10-12</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8" w:val="single"/>
              <w:right w:color="000000" w:space="0" w:sz="8" w:val="single"/>
            </w:tcBorders>
            <w:shd w:fill="dbdbdb"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7-9</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10-12</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4-6</w:t>
            </w:r>
          </w:p>
        </w:tc>
        <w:tc>
          <w:tcPr>
            <w:tcBorders>
              <w:top w:color="000000" w:space="0" w:sz="0" w:val="nil"/>
              <w:left w:color="000000" w:space="0" w:sz="0" w:val="nil"/>
              <w:bottom w:color="000000" w:space="0" w:sz="8" w:val="single"/>
              <w:right w:color="000000" w:space="0" w:sz="8" w:val="single"/>
            </w:tcBorders>
            <w:shd w:fill="c9c9c9"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7-9</w:t>
            </w:r>
          </w:p>
        </w:tc>
      </w:tr>
    </w:tbl>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Priority Area Plans &amp; Milestones:</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C">
      <w:pPr>
        <w:rPr>
          <w:b w:val="1"/>
          <w:i w:val="1"/>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Hiring Practices &amp; Work Environment</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Timeline:</w:t>
      </w:r>
    </w:p>
    <w:p w:rsidR="00000000" w:rsidDel="00000000" w:rsidP="00000000" w:rsidRDefault="00000000" w:rsidRPr="00000000" w14:paraId="00000061">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0"/>
        <w:gridCol w:w="0"/>
        <w:gridCol w:w="0"/>
        <w:tblGridChange w:id="0">
          <w:tblGrid>
            <w:gridCol w:w="2115"/>
            <w:gridCol w:w="0"/>
            <w:gridCol w:w="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Y1/Q1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Y1/Q2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Y1/Q3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Y1/Q4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Y2/Q1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Y2/Q2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Y2/Q3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Y2/Q4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Y3/Q1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Y3/Q2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Y3/Q3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Y3/Q4</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Departmental Awareness and Skills Building:</w:t>
      </w:r>
      <w:r w:rsidDel="00000000" w:rsidR="00000000" w:rsidRPr="00000000">
        <w:rPr>
          <w:sz w:val="24"/>
          <w:szCs w:val="24"/>
          <w:rtl w:val="0"/>
        </w:rPr>
        <w:t xml:space="preserve"> The main goal for this topic area is to foster awareness in the department of the existence of racism, bias and bigotry in daily interactions for many of our staff, to identify areas where we as a community can support each other in decreasing these behaviors, and to provide skills training to help all of us intervene when we see situations of bias unfolding.</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We will further those goals through three types of work:</w:t>
      </w:r>
    </w:p>
    <w:p w:rsidR="00000000" w:rsidDel="00000000" w:rsidP="00000000" w:rsidRDefault="00000000" w:rsidRPr="00000000" w14:paraId="00000075">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ind w:left="360" w:firstLine="0"/>
        <w:rPr>
          <w:b w:val="1"/>
          <w:i w:val="1"/>
          <w:sz w:val="24"/>
          <w:szCs w:val="24"/>
        </w:rPr>
      </w:pPr>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sz w:val="24"/>
          <w:szCs w:val="24"/>
          <w:rtl w:val="0"/>
        </w:rPr>
        <w:t xml:space="preserve">Awareness raising activities:</w:t>
      </w:r>
    </w:p>
    <w:p w:rsidR="00000000" w:rsidDel="00000000" w:rsidP="00000000" w:rsidRDefault="00000000" w:rsidRPr="00000000" w14:paraId="00000077">
      <w:pPr>
        <w:numPr>
          <w:ilvl w:val="0"/>
          <w:numId w:val="4"/>
        </w:numPr>
        <w:ind w:left="1440" w:hanging="360"/>
        <w:rPr>
          <w:u w:val="none"/>
        </w:rPr>
      </w:pPr>
      <w:r w:rsidDel="00000000" w:rsidR="00000000" w:rsidRPr="00000000">
        <w:rPr>
          <w:sz w:val="24"/>
          <w:szCs w:val="24"/>
          <w:rtl w:val="0"/>
        </w:rPr>
        <w:t xml:space="preserve">Health Equity Rounds</w:t>
      </w:r>
    </w:p>
    <w:p w:rsidR="00000000" w:rsidDel="00000000" w:rsidP="00000000" w:rsidRDefault="00000000" w:rsidRPr="00000000" w14:paraId="00000078">
      <w:pPr>
        <w:numPr>
          <w:ilvl w:val="0"/>
          <w:numId w:val="4"/>
        </w:numPr>
        <w:ind w:left="1440" w:hanging="360"/>
        <w:rPr>
          <w:u w:val="none"/>
        </w:rPr>
      </w:pPr>
      <w:r w:rsidDel="00000000" w:rsidR="00000000" w:rsidRPr="00000000">
        <w:rPr>
          <w:sz w:val="24"/>
          <w:szCs w:val="24"/>
          <w:rtl w:val="0"/>
        </w:rPr>
        <w:t xml:space="preserve">Ensuring relevant topics in Grand Rounds</w:t>
      </w:r>
    </w:p>
    <w:p w:rsidR="00000000" w:rsidDel="00000000" w:rsidP="00000000" w:rsidRDefault="00000000" w:rsidRPr="00000000" w14:paraId="00000079">
      <w:pPr>
        <w:numPr>
          <w:ilvl w:val="0"/>
          <w:numId w:val="4"/>
        </w:numPr>
        <w:ind w:left="1440" w:hanging="360"/>
        <w:rPr>
          <w:u w:val="none"/>
        </w:rPr>
      </w:pPr>
      <w:r w:rsidDel="00000000" w:rsidR="00000000" w:rsidRPr="00000000">
        <w:rPr>
          <w:sz w:val="24"/>
          <w:szCs w:val="24"/>
          <w:rtl w:val="0"/>
        </w:rPr>
        <w:t xml:space="preserve">Ensuring reporting of/mention of DEI topics in faculty &amp; staff meetings across roles in the department</w:t>
      </w:r>
    </w:p>
    <w:p w:rsidR="00000000" w:rsidDel="00000000" w:rsidP="00000000" w:rsidRDefault="00000000" w:rsidRPr="00000000" w14:paraId="0000007A">
      <w:pPr>
        <w:numPr>
          <w:ilvl w:val="0"/>
          <w:numId w:val="4"/>
        </w:numPr>
        <w:ind w:left="1440" w:hanging="360"/>
        <w:rPr>
          <w:u w:val="none"/>
        </w:rPr>
      </w:pPr>
      <w:r w:rsidDel="00000000" w:rsidR="00000000" w:rsidRPr="00000000">
        <w:rPr>
          <w:sz w:val="24"/>
          <w:szCs w:val="24"/>
          <w:rtl w:val="0"/>
        </w:rPr>
        <w:t xml:space="preserve">Providing reports from the Inequity Inbox (at an interval that maintains anonymity, but ideally with a regular frequency)</w:t>
      </w:r>
    </w:p>
    <w:p w:rsidR="00000000" w:rsidDel="00000000" w:rsidP="00000000" w:rsidRDefault="00000000" w:rsidRPr="00000000" w14:paraId="0000007B">
      <w:pPr>
        <w:numPr>
          <w:ilvl w:val="0"/>
          <w:numId w:val="4"/>
        </w:numPr>
        <w:ind w:left="1440" w:hanging="360"/>
        <w:rPr>
          <w:u w:val="none"/>
        </w:rPr>
      </w:pPr>
      <w:r w:rsidDel="00000000" w:rsidR="00000000" w:rsidRPr="00000000">
        <w:rPr>
          <w:sz w:val="24"/>
          <w:szCs w:val="24"/>
          <w:rtl w:val="0"/>
        </w:rPr>
        <w:t xml:space="preserve">Ask grand rounds speakers to discuss (briefly) how inequities/bias/racism/sexism impact their topic</w:t>
      </w:r>
    </w:p>
    <w:p w:rsidR="00000000" w:rsidDel="00000000" w:rsidP="00000000" w:rsidRDefault="00000000" w:rsidRPr="00000000" w14:paraId="0000007C">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D">
      <w:pPr>
        <w:ind w:left="360" w:firstLine="0"/>
        <w:rPr>
          <w:b w:val="1"/>
          <w:i w:val="1"/>
          <w:sz w:val="24"/>
          <w:szCs w:val="24"/>
        </w:rPr>
      </w:pPr>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sz w:val="24"/>
          <w:szCs w:val="24"/>
          <w:rtl w:val="0"/>
        </w:rPr>
        <w:t xml:space="preserve">Creating dialogues around departmental practices:</w:t>
      </w:r>
    </w:p>
    <w:p w:rsidR="00000000" w:rsidDel="00000000" w:rsidP="00000000" w:rsidRDefault="00000000" w:rsidRPr="00000000" w14:paraId="0000007E">
      <w:pPr>
        <w:numPr>
          <w:ilvl w:val="0"/>
          <w:numId w:val="2"/>
        </w:numPr>
        <w:ind w:left="1440" w:hanging="360"/>
        <w:rPr>
          <w:u w:val="none"/>
        </w:rPr>
      </w:pPr>
      <w:r w:rsidDel="00000000" w:rsidR="00000000" w:rsidRPr="00000000">
        <w:rPr>
          <w:sz w:val="24"/>
          <w:szCs w:val="24"/>
          <w:rtl w:val="0"/>
        </w:rPr>
        <w:t xml:space="preserve">Town Halls – goal for a cross-role forum where a question or questions about ways to improve the department could be posed. Ideally needs facilitators with some skills/training</w:t>
      </w:r>
    </w:p>
    <w:p w:rsidR="00000000" w:rsidDel="00000000" w:rsidP="00000000" w:rsidRDefault="00000000" w:rsidRPr="00000000" w14:paraId="0000007F">
      <w:pPr>
        <w:numPr>
          <w:ilvl w:val="0"/>
          <w:numId w:val="2"/>
        </w:numPr>
        <w:ind w:left="1440" w:hanging="360"/>
        <w:rPr>
          <w:u w:val="none"/>
        </w:rPr>
      </w:pPr>
      <w:r w:rsidDel="00000000" w:rsidR="00000000" w:rsidRPr="00000000">
        <w:rPr>
          <w:sz w:val="24"/>
          <w:szCs w:val="24"/>
          <w:rtl w:val="0"/>
        </w:rPr>
        <w:t xml:space="preserve">Journal club?? Vs. book club vs. ???</w:t>
      </w:r>
    </w:p>
    <w:p w:rsidR="00000000" w:rsidDel="00000000" w:rsidP="00000000" w:rsidRDefault="00000000" w:rsidRPr="00000000" w14:paraId="00000080">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ind w:left="360" w:firstLine="0"/>
        <w:rPr>
          <w:b w:val="1"/>
          <w:i w:val="1"/>
          <w:sz w:val="24"/>
          <w:szCs w:val="24"/>
        </w:rPr>
      </w:pPr>
      <w:r w:rsidDel="00000000" w:rsidR="00000000" w:rsidRPr="00000000">
        <w:rPr>
          <w:b w:val="1"/>
          <w:sz w:val="24"/>
          <w:szCs w:val="24"/>
          <w:rtl w:val="0"/>
        </w:rPr>
        <w:t xml:space="preserve">2.3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i w:val="1"/>
          <w:sz w:val="24"/>
          <w:szCs w:val="24"/>
          <w:rtl w:val="0"/>
        </w:rPr>
        <w:t xml:space="preserve">Skills training:</w:t>
      </w:r>
    </w:p>
    <w:p w:rsidR="00000000" w:rsidDel="00000000" w:rsidP="00000000" w:rsidRDefault="00000000" w:rsidRPr="00000000" w14:paraId="00000083">
      <w:pPr>
        <w:numPr>
          <w:ilvl w:val="0"/>
          <w:numId w:val="1"/>
        </w:numPr>
        <w:ind w:left="1440" w:hanging="360"/>
        <w:rPr>
          <w:u w:val="none"/>
        </w:rPr>
      </w:pPr>
      <w:r w:rsidDel="00000000" w:rsidR="00000000" w:rsidRPr="00000000">
        <w:rPr>
          <w:sz w:val="24"/>
          <w:szCs w:val="24"/>
          <w:rtl w:val="0"/>
        </w:rPr>
        <w:t xml:space="preserve">Upstander (or anti-racism??) training – either department wide, or to a small group who could then both report back and/or do a roadshow with mini-learning moments to convey key themes:</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numPr>
          <w:ilvl w:val="0"/>
          <w:numId w:val="3"/>
        </w:numPr>
        <w:ind w:left="1440" w:hanging="360"/>
        <w:rPr>
          <w:u w:val="none"/>
        </w:rPr>
      </w:pPr>
      <w:r w:rsidDel="00000000" w:rsidR="00000000" w:rsidRPr="00000000">
        <w:rPr>
          <w:sz w:val="24"/>
          <w:szCs w:val="24"/>
          <w:rtl w:val="0"/>
        </w:rPr>
        <w:t xml:space="preserve">Didactic trainings about hiring practices, ??other??</w:t>
      </w:r>
    </w:p>
    <w:p w:rsidR="00000000" w:rsidDel="00000000" w:rsidP="00000000" w:rsidRDefault="00000000" w:rsidRPr="00000000" w14:paraId="00000086">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sz w:val="24"/>
          <w:szCs w:val="24"/>
          <w:rtl w:val="0"/>
        </w:rPr>
        <w:t xml:space="preserve">Timeline:</w:t>
      </w:r>
    </w:p>
    <w:p w:rsidR="00000000" w:rsidDel="00000000" w:rsidP="00000000" w:rsidRDefault="00000000" w:rsidRPr="00000000" w14:paraId="00000088">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Awareness raising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Dialogues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Skills building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Y1/Q1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Y1/Q2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Y1/Q3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Y1/Q4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Y2/Q1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Y2/Q2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Y2/Q3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Y2/Q4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Y3/Q1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Y3/Q2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Y3/Q3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Y3/Q4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2">
      <w:pPr>
        <w:ind w:left="720" w:firstLine="0"/>
        <w:rPr>
          <w:b w:val="1"/>
          <w:i w:val="1"/>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Measuring and comparing quality of care:</w:t>
      </w:r>
    </w:p>
    <w:p w:rsidR="00000000" w:rsidDel="00000000" w:rsidP="00000000" w:rsidRDefault="00000000" w:rsidRPr="00000000" w14:paraId="000000C3">
      <w:pPr>
        <w:ind w:left="720" w:firstLine="0"/>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Year 1</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Year 2</w:t>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Year 3</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 Timeline:</w:t>
      </w:r>
    </w:p>
    <w:p w:rsidR="00000000" w:rsidDel="00000000" w:rsidP="00000000" w:rsidRDefault="00000000" w:rsidRPr="00000000" w14:paraId="000000CC">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0"/>
        <w:gridCol w:w="0"/>
        <w:gridCol w:w="0"/>
        <w:tblGridChange w:id="0">
          <w:tblGrid>
            <w:gridCol w:w="1635"/>
            <w:gridCol w:w="0"/>
            <w:gridCol w:w="0"/>
            <w:gridCol w:w="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Y1/Q1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Y1/Q2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Y1/Q3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Y1/Q4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Y2/Q1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Y2/Q2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Y2/Q3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Y2/Q4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Y3/Q1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Y3/Q2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Y3/Q3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Y3/Q4</w:t>
            </w:r>
          </w:p>
        </w:tc>
      </w:tr>
    </w:tbl>
    <w:p w:rsidR="00000000" w:rsidDel="00000000" w:rsidP="00000000" w:rsidRDefault="00000000" w:rsidRPr="00000000" w14:paraId="000000DA">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Administrative Interfacing</w:t>
      </w:r>
      <w:r w:rsidDel="00000000" w:rsidR="00000000" w:rsidRPr="00000000">
        <w:rPr>
          <w:sz w:val="24"/>
          <w:szCs w:val="24"/>
          <w:rtl w:val="0"/>
        </w:rPr>
        <w:t xml:space="preserve">: The goal of this small group is to ensure that we are not duplicating efforts, and that we have relationships with different constituencies throughout the department.  In addition to seeking individual members for the committee from each of these constituencies, we will reach out to group meetings to provide consistent updates and get feedback/input.</w:t>
      </w:r>
    </w:p>
    <w:p w:rsidR="00000000" w:rsidDel="00000000" w:rsidP="00000000" w:rsidRDefault="00000000" w:rsidRPr="00000000" w14:paraId="000000DD">
      <w:pPr>
        <w:ind w:left="720" w:firstLine="0"/>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We will provide a report (largely informal) and solicit input from the following groups 2-4 times a year:</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0">
      <w:pPr>
        <w:ind w:left="144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Residency</w:t>
      </w:r>
    </w:p>
    <w:p w:rsidR="00000000" w:rsidDel="00000000" w:rsidP="00000000" w:rsidRDefault="00000000" w:rsidRPr="00000000" w14:paraId="000000E1">
      <w:pPr>
        <w:ind w:left="144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Central Hospital D&amp;I</w:t>
      </w:r>
    </w:p>
    <w:p w:rsidR="00000000" w:rsidDel="00000000" w:rsidP="00000000" w:rsidRDefault="00000000" w:rsidRPr="00000000" w14:paraId="000000E2">
      <w:pPr>
        <w:ind w:left="1440" w:firstLine="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Community Health</w:t>
      </w:r>
    </w:p>
    <w:p w:rsidR="00000000" w:rsidDel="00000000" w:rsidP="00000000" w:rsidRDefault="00000000" w:rsidRPr="00000000" w14:paraId="000000E3">
      <w:pPr>
        <w:ind w:left="144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Nursing</w:t>
      </w:r>
    </w:p>
    <w:p w:rsidR="00000000" w:rsidDel="00000000" w:rsidP="00000000" w:rsidRDefault="00000000" w:rsidRPr="00000000" w14:paraId="000000E4">
      <w:pPr>
        <w:ind w:left="1440" w:firstLine="0"/>
        <w:rPr>
          <w:sz w:val="24"/>
          <w:szCs w:val="24"/>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MAs</w:t>
      </w:r>
    </w:p>
    <w:p w:rsidR="00000000" w:rsidDel="00000000" w:rsidP="00000000" w:rsidRDefault="00000000" w:rsidRPr="00000000" w14:paraId="000000E5">
      <w:pPr>
        <w:ind w:left="1440" w:firstLine="0"/>
        <w:rPr>
          <w:sz w:val="24"/>
          <w:szCs w:val="24"/>
        </w:rPr>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Practice managers/admin</w:t>
      </w:r>
    </w:p>
    <w:p w:rsidR="00000000" w:rsidDel="00000000" w:rsidP="00000000" w:rsidRDefault="00000000" w:rsidRPr="00000000" w14:paraId="000000E6">
      <w:pPr>
        <w:ind w:left="1440" w:firstLine="0"/>
        <w:rPr>
          <w:sz w:val="24"/>
          <w:szCs w:val="24"/>
        </w:rPr>
      </w:pPr>
      <w:r w:rsidDel="00000000" w:rsidR="00000000" w:rsidRPr="00000000">
        <w:rPr>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Medical student/HMS representative</w:t>
      </w:r>
    </w:p>
    <w:p w:rsidR="00000000" w:rsidDel="00000000" w:rsidP="00000000" w:rsidRDefault="00000000" w:rsidRPr="00000000" w14:paraId="000000E7">
      <w:pPr>
        <w:ind w:left="1440" w:firstLine="0"/>
        <w:rPr>
          <w:sz w:val="24"/>
          <w:szCs w:val="24"/>
        </w:rPr>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Fellowships</w:t>
      </w:r>
    </w:p>
    <w:p w:rsidR="00000000" w:rsidDel="00000000" w:rsidP="00000000" w:rsidRDefault="00000000" w:rsidRPr="00000000" w14:paraId="000000E8">
      <w:pPr>
        <w:ind w:left="1440" w:firstLine="0"/>
        <w:rPr/>
      </w:pPr>
      <w:r w:rsidDel="00000000" w:rsidR="00000000" w:rsidRPr="00000000">
        <w:rPr>
          <w:sz w:val="24"/>
          <w:szCs w:val="24"/>
          <w:rtl w:val="0"/>
        </w:rPr>
        <w:t xml:space="preserve">I. </w:t>
        <w:tab/>
        <w:t xml:space="preserve">Satellite sites: Waltham, Danvers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