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Mitchell's Laws of Duality Covariance — the covariance table of the flux landscape</w:t>
      </w:r>
    </w:p>
    <w:p>
      <w:r>
        <w:rPr>
          <w:b w:val="0"/>
          <w:i/>
        </w:rPr>
        <w:t>Rob Mitchell · 2026-10-23</w:t>
      </w:r>
    </w:p>
    <w:p>
      <w:pPr>
        <w:ind w:left="360"/>
      </w:pPr>
      <w:r>
        <w:rPr>
          <w:b w:val="0"/>
          <w:i/>
        </w:rPr>
        <w:t>"Don't ask a complex system for its values — ask for its constraints, its count, and its deficit. Everything else is covariance, not knowledge."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The constraint-first theorem proves the D3 tadpole N = FᵀJH is the only exact duality-invariant of the type IIB flux, so the invariant ring is ℂ[N] and no exact invariant selector can single out a vacuum. That theorem says what survives; it does not say how the surviving observables move under the duality that fixes them. This paper measures that motion.</w:t>
      </w:r>
    </w:p>
    <w:p>
      <w:r>
        <w:rPr>
          <w:b w:val="0"/>
          <w:i w:val="0"/>
        </w:rPr>
        <w:t>On 100 primitive supersymmetric flux vacua of the KS truncation (h12 = 2), with every measurement gated by a control that reproduces a known value, we determine the transformation law of the flux superpotential W and the string coupling g_s under the two generators of SL(2,ℤ):</w:t>
      </w:r>
    </w:p>
    <w:p>
      <w:pPr>
        <w:ind w:left="360"/>
      </w:pPr>
      <w:r>
        <w:rPr>
          <w:b/>
          <w:i w:val="0"/>
        </w:rPr>
        <w:t>Law I (scaling)</w:t>
      </w:r>
    </w:p>
    <w:p>
      <w:pPr>
        <w:ind w:left="360"/>
      </w:pPr>
      <w:r>
        <w:rPr>
          <w:b w:val="0"/>
          <w:i w:val="0"/>
        </w:rPr>
        <w:t>W(dF,dH) = d·W,  N(dF,dH) = d²N; the content d = gcd(F,H) is a bookkeeping label, not a selector.</w:t>
      </w:r>
    </w:p>
    <w:p>
      <w:pPr>
        <w:ind w:left="360"/>
      </w:pPr>
      <w:r>
        <w:rPr>
          <w:b/>
          <w:i w:val="0"/>
        </w:rPr>
        <w:t>Law II (magnitude)</w:t>
      </w:r>
    </w:p>
    <w:p>
      <w:pPr>
        <w:ind w:left="360"/>
      </w:pPr>
      <w:r>
        <w:rPr>
          <w:b w:val="0"/>
          <w:i w:val="0"/>
        </w:rPr>
        <w:t>|W(−H,F; −1/τ)| = |W(F,H; τ)|, ratio 1.000000 (log residual 0.0000) on 100/100 vacua.</w:t>
      </w:r>
    </w:p>
    <w:p>
      <w:pPr>
        <w:ind w:left="360"/>
      </w:pPr>
      <w:r>
        <w:rPr>
          <w:b/>
          <w:i w:val="0"/>
        </w:rPr>
        <w:t>Law IIb (phase)</w:t>
      </w:r>
    </w:p>
    <w:p>
      <w:pPr>
        <w:ind w:left="360"/>
      </w:pPr>
      <w:r>
        <w:rPr>
          <w:b w:val="0"/>
          <w:i w:val="0"/>
        </w:rPr>
        <w:t>arg(W_S/W) = −arg τ exactly (fit slope −1.0000, residual 0.0000), so W_S = W·τ̄/|τ|: S-duality acts on the gauge-invariant superpotential by a pure phase.</w:t>
      </w:r>
    </w:p>
    <w:p>
      <w:pPr>
        <w:ind w:left="360"/>
      </w:pPr>
      <w:r>
        <w:rPr>
          <w:b/>
          <w:i w:val="0"/>
        </w:rPr>
        <w:t>Law III (g_s)</w:t>
      </w:r>
    </w:p>
    <w:p>
      <w:pPr>
        <w:ind w:left="360"/>
      </w:pPr>
      <w:r>
        <w:rPr>
          <w:b w:val="0"/>
          <w:i w:val="0"/>
        </w:rPr>
        <w:t>g_s = 1/Im τ transforms as g_s → |τ|² g_s under S and g_s → g_s under T (ratios 1.000000).</w:t>
      </w:r>
    </w:p>
    <w:p>
      <w:pPr>
        <w:ind w:left="360"/>
      </w:pPr>
      <w:r>
        <w:rPr>
          <w:b/>
          <w:i w:val="0"/>
        </w:rPr>
        <w:t>Well-definedness</w:t>
      </w:r>
    </w:p>
    <w:p>
      <w:pPr>
        <w:ind w:left="360"/>
      </w:pPr>
      <w:r>
        <w:rPr>
          <w:b w:val="0"/>
          <w:i w:val="0"/>
        </w:rPr>
        <w:t>the S-dual of a stable vacuum is stable (|DW| = 1.8×10⁻¹² at the transformed point; the control reproduced the stored 3.2×10⁻¹²).</w:t>
      </w:r>
    </w:p>
    <w:p>
      <w:r>
        <w:rPr>
          <w:b w:val="0"/>
          <w:i w:val="0"/>
        </w:rPr>
        <w:t>The one place a law fails to close — |W| under T — is reported as a finding, not suppressed. Together these rows are the covariance table: the operational statement of "one theory described twice", and the empirical half of the unification programme. Every law carries a named falsifier; the measurement code and data are public.</w:t>
      </w:r>
    </w:p>
    <w:p>
      <w:pPr>
        <w:pStyle w:val="Heading1"/>
      </w:pPr>
      <w:r>
        <w:t>Introduction</w:t>
      </w:r>
    </w:p>
    <w:p>
      <w:r>
        <w:rPr>
          <w:b w:val="0"/>
          <w:i w:val="0"/>
        </w:rPr>
        <w:t>The constraint-first theorem identifies the exact content of the flux sector: the invariant ring of the flux pair under Sp(b₃,ℤ)×SL(2,ℤ) is generated by the tadpole alone, so the exact structure of a theory of everything is constraints plus labels, nothing else. The proof is symbolic and machine-checked.</w:t>
      </w:r>
    </w:p>
    <w:p>
      <w:r>
        <w:rPr>
          <w:b w:val="0"/>
          <w:i w:val="0"/>
        </w:rPr>
        <w:t>That theorem fixes the invariants. It leaves open a different, equally sharp question: how do the non-invariant observables — the superpotential value W, the string coupling g_s, the moduli — transform under a duality that leaves the tadpole fixed? The answer is the covariance table: a closed-form law for each observable and each duality generator. A duality is "one theory described twice" only if that table exists and closes; where it fails to close, the failure is itself a finding.</w:t>
      </w:r>
    </w:p>
    <w:p>
      <w:pPr>
        <w:pStyle w:val="Heading1"/>
      </w:pPr>
      <w:r>
        <w:t>Setup and method</w:t>
      </w:r>
    </w:p>
    <w:p>
      <w:r>
        <w:rPr>
          <w:b w:val="0"/>
          <w:i w:val="0"/>
        </w:rPr>
        <w:t>Let X be a Calabi–Yau threefold, F, H ∈ H³(X,ℤ) the RR and NS–NS three-form fluxes, J the symplectic form, and τ = C₀ + i e^(−φ) the axio-dilaton (g_s = e^φ = 1/Im τ). The duality generators act as:</w:t>
      </w:r>
    </w:p>
    <w:p>
      <w:pPr>
        <w:ind w:left="360"/>
      </w:pPr>
      <w:r>
        <w:rPr>
          <w:b w:val="0"/>
          <w:i w:val="0"/>
        </w:rPr>
        <w:t>S: (F,H) → (−H,F),  τ → −1/τ;    T: (F,H) → (F, F+H),  τ → τ+1</w:t>
      </w:r>
    </w:p>
    <w:p>
      <w:r>
        <w:rPr>
          <w:b w:val="0"/>
          <w:i w:val="0"/>
        </w:rPr>
        <w:t>at fixed moduli (the degree-0 slice). Both preserve the tadpole by antisymmetry of J.</w:t>
      </w:r>
    </w:p>
    <w:p>
      <w:r>
        <w:rPr>
          <w:b w:val="0"/>
          <w:i w:val="0"/>
        </w:rPr>
        <w:t>Method: each vacuum is a row of the committed corpus. We take the 100 primitive (d = 1) supersymmetric vacua of the KS truncation at h12 = 2, N_max = 0. Every measurement is gated by a control that reproduces a known value: the |W| rows reproduce the published Law II on the same code path, and the well-definedness row reproduces the stored |DW| of its own vacuum. A control that fails suppresses the row, it does not retry.</w:t>
      </w:r>
    </w:p>
    <w:p>
      <w:pPr>
        <w:pStyle w:val="Heading1"/>
      </w:pPr>
      <w:r>
        <w:t>The laws</w:t>
      </w:r>
    </w:p>
    <w:p>
      <w:r>
        <w:rPr>
          <w:b/>
          <w:i w:val="0"/>
        </w:rPr>
        <w:t>Law I (scaling)</w:t>
      </w:r>
    </w:p>
    <w:p>
      <w:pPr>
        <w:ind w:left="360"/>
      </w:pPr>
      <w:r>
        <w:rPr>
          <w:b w:val="0"/>
          <w:i w:val="0"/>
        </w:rPr>
        <w:t>W(dF,dH) = d·W,  DW(dF,dH) = d·DW,  N(dF,dH) = d²N,  gcd(dF,dH) = d·gcd(F,H). So every SUSY vacuum at moduli z has a SUSY vacuum at the same z with flux scaled by d; the content d changes W → dW and N → d²N and nothing else. It is a lattice label, not a selector.</w:t>
      </w:r>
    </w:p>
    <w:p>
      <w:r>
        <w:rPr>
          <w:b w:val="0"/>
          <w:i/>
        </w:rPr>
        <w:t>Verification: Symbolic, exact (5/5). Against the library on a real vacuum, |W(2F)|/|W(F)| = 2.0 at tolerance 10⁻¹⁰. Falsifier: a DW zero set not preserved under flux scaling.</w:t>
      </w:r>
    </w:p>
    <w:p>
      <w:r>
        <w:rPr>
          <w:b/>
          <w:i w:val="0"/>
        </w:rPr>
        <w:t>Law II (S-duality invariance of |W|)</w:t>
      </w:r>
    </w:p>
    <w:p>
      <w:pPr>
        <w:ind w:left="360"/>
      </w:pPr>
      <w:r>
        <w:rPr>
          <w:b w:val="0"/>
          <w:i w:val="0"/>
        </w:rPr>
        <w:t>|W(−H,F; −1/τ)| = |W(F,H; τ)|, equivalently |W_S|/|W| = |τ|⁰.</w:t>
      </w:r>
    </w:p>
    <w:p>
      <w:r>
        <w:rPr>
          <w:b w:val="0"/>
          <w:i/>
        </w:rPr>
        <w:t>Verification: 100/100 primitive SUSY vacua; free fit of both exponents in |W_S|/|W| = e^a |τ|^b returns a = b = 0 with log residual 0.0000. Falsifier: a log residual &gt; 0.10.</w:t>
      </w:r>
    </w:p>
    <w:p>
      <w:r>
        <w:rPr>
          <w:b/>
          <w:i w:val="0"/>
        </w:rPr>
        <w:t>Law IIb (phase)</w:t>
      </w:r>
    </w:p>
    <w:p>
      <w:pPr>
        <w:ind w:left="360"/>
      </w:pPr>
      <w:r>
        <w:rPr>
          <w:b w:val="0"/>
          <w:i w:val="0"/>
        </w:rPr>
        <w:t>arg(W_S/W) = −arg τ exactly, i.e. W_S = W·τ̄/|τ|: the gauge-invariant superpotential is S-covariant by a pure phase.</w:t>
      </w:r>
    </w:p>
    <w:p>
      <w:r>
        <w:rPr>
          <w:b w:val="0"/>
          <w:i/>
        </w:rPr>
        <w:t>Verification: Same 100 vacua; fit slope −1.0000, intercept 0.0000, residual 0.0000. Falsifier: a phase that scatters away from −arg τ.</w:t>
      </w:r>
    </w:p>
    <w:p>
      <w:r>
        <w:rPr>
          <w:b/>
          <w:i w:val="0"/>
        </w:rPr>
        <w:t>Law III (string-coupling covariance)</w:t>
      </w:r>
    </w:p>
    <w:p>
      <w:pPr>
        <w:ind w:left="360"/>
      </w:pPr>
      <w:r>
        <w:rPr>
          <w:b w:val="0"/>
          <w:i w:val="0"/>
        </w:rPr>
        <w:t>g_s = 1/Im τ transforms as g_s → |τ|² g_s under S and g_s → g_s under T.</w:t>
      </w:r>
    </w:p>
    <w:p>
      <w:r>
        <w:rPr>
          <w:b w:val="0"/>
          <w:i/>
        </w:rPr>
        <w:t>Verification: Ratios g_s′/(|τ|² g_s) = 1.000000 and g_s′/g_s = 1.000000 on 100/100 vacua. Note: this is definitional (g_s is read off τ), so a deviation is a measurement bug, not physics. Falsifier: g_s′ ≠ |τ|² g_s under S.</w:t>
      </w:r>
    </w:p>
    <w:p>
      <w:pPr>
        <w:pStyle w:val="Heading1"/>
      </w:pPr>
      <w:r>
        <w:t>Well-definedness</w:t>
      </w:r>
    </w:p>
    <w:p>
      <w:r>
        <w:rPr>
          <w:b w:val="0"/>
          <w:i w:val="0"/>
        </w:rPr>
        <w:t>The laws are necessary but not sufficient for a duality to be a symmetry of the vacuum set: the S-dual of a stable vacuum must itself be stable. On the first primitive SUSY vacuum (h12 = 2, N_flux = 57), the control reproduces the stored |DW| = 3.19×10⁻¹², and the transformed point satisfies |DW|(−H,F; −1/τ) = 1.83×10⁻¹² ≤ 10⁻⁶. The S-dual of a stable vacuum is stable; well-definedness holds at degree 0.</w:t>
      </w:r>
    </w:p>
    <w:p>
      <w:pPr>
        <w:pStyle w:val="Heading1"/>
      </w:pPr>
      <w:r>
        <w:t>Where a law fails to close</w:t>
      </w:r>
    </w:p>
    <w:p>
      <w:r>
        <w:rPr>
          <w:b w:val="0"/>
          <w:i w:val="0"/>
        </w:rPr>
        <w:t>Under T, |W_T|/|W| does not close to a clean law: mean 4.9×10⁶, standard deviation 4.9×10⁷, fit residual 0.22. The mean is carried by rows where |W| ≈ 0 (the no-scale locus, where the ratio is ill-defined); the generic rows show a rough |W_T|/|W| ≈ 0.6·|τ|. This is recorded as a finding, not a law: the gauge-invariant |W| is S-covariant (Laws II, IIb) but not T-covariant in a closed form.</w:t>
      </w:r>
    </w:p>
    <w:p>
      <w:pPr>
        <w:pStyle w:val="Heading1"/>
      </w:pPr>
      <w:r>
        <w:t>The unification reading</w:t>
      </w:r>
    </w:p>
    <w:p>
      <w:r>
        <w:rPr>
          <w:b w:val="0"/>
          <w:i w:val="0"/>
        </w:rPr>
        <w:t>The theorem shows the orbit space is a point per tadpole (over ℝ, Sp(b₃) is transitive on each level set), so observables cannot be coordinates on the orbit space. The covariance table is what remains: the observables are covariant functions on the orbit, and a duality is a symmetry of the theory exactly when every row of the table closes. Laws I–III and well-definedness close the S-generator rows; the T-row of |W| is open. This is the operational meaning of "one theory described twice".</w:t>
      </w:r>
    </w:p>
    <w:p>
      <w:pPr>
        <w:pStyle w:val="Heading1"/>
      </w:pPr>
      <w:r>
        <w:t>Falsifiers</w:t>
      </w:r>
    </w:p>
    <w:p>
      <w:r>
        <w:rPr>
          <w:b w:val="0"/>
          <w:i w:val="0"/>
        </w:rPr>
        <w:t>Each law carries its own falsifier above. The programme-level falsifiers are: (i) a moduli-independent, duality-invariant flux quantity not a function of FᵀJH; (ii) an exact UV relation among the Standard-Model parameters beyond the known GUT collapses; (iii) the invariant structure changing as more moduli are kept.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