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auto"/>
          <w:sz w:val="24"/>
          <w:szCs w:val="24"/>
        </w:rPr>
        <w:t xml:space="preserve">Геометрические параметры платы: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/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  <w:t xml:space="preserve">Печатная плата выполнена в форме равнобедренного треугольника. Габаритные размеры: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  <w:t xml:space="preserve">основание — 63 мм;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  <w:t xml:space="preserve">боковые стороны — 55 мм.</w:t>
        <w:tab/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Площадь платы, рассчитанная по формуле Герона: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sz w:val="24"/>
              <w:szCs w:val="24"/>
              <w:highlight w:val="none"/>
            </w:rPr>
            <m:rPr>
              <m:sty m:val="i"/>
            </m:rPr>
            <m:t>S = </m:t>
          </m:r>
          <m:rad>
            <m:radPr>
              <m:degHide m:val="on"/>
              <m:ctrlPr>
                <w:rPr>
                  <w:rFonts w:hint="default" w:ascii="Cambria Math" w:hAnsi="Cambria Math" w:eastAsia="Cambria Math" w:cs="Cambria Math"/>
                  <w:i/>
                  <w:sz w:val="24"/>
                  <w:highlight w:val="none"/>
                </w:rPr>
              </m:ctrlPr>
            </m:radPr>
            <m:deg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highlight w:val="none"/>
                </w:rPr>
                <m:rPr>
                  <m:sty m:val="i"/>
                </m:rPr>
                <m:t/>
              </m:r>
            </m:deg>
            <m:e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highlight w:val="none"/>
                </w:rPr>
                <m:rPr>
                  <m:sty m:val="i"/>
                </m:rPr>
                <m:t>86.5*23.5 * 31.5 * 31.5</m:t>
              </m:r>
            </m:e>
          </m:rad>
          <m:r>
            <w:rPr>
              <w:rFonts w:hint="default" w:ascii="Cambria Math" w:hAnsi="Cambria Math" w:eastAsia="Cambria Math" w:cs="Cambria Math"/>
              <w:sz w:val="24"/>
              <w:szCs w:val="24"/>
              <w:highlight w:val="none"/>
            </w:rPr>
            <m:rPr>
              <m:sty m:val="i"/>
            </m:rPr>
            <m:t> </m:t>
          </m:r>
          <m:r>
            <w:rPr>
              <w:rFonts w:hint="default" w:ascii="Cambria Math" w:hAnsi="Cambria Math" w:eastAsia="Cambria Math" w:cs="Cambria Math"/>
              <w:sz w:val="24"/>
              <w:szCs w:val="24"/>
              <w:highlight w:val="none"/>
            </w:rPr>
            <m:rPr>
              <m:sty m:val="i"/>
            </m:rPr>
            <m:t>≈ 14.2 </m:t>
          </m:r>
          <m:sSup>
            <m:sSupPr>
              <m:ctrlPr>
                <w:rPr>
                  <w:rFonts w:hint="default" w:ascii="Cambria Math" w:hAnsi="Cambria Math" w:eastAsia="Cambria Math" w:cs="Cambria Math"/>
                  <w:i/>
                  <w:sz w:val="24"/>
                  <w:highlight w:val="none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highlight w:val="none"/>
                </w:rPr>
                <m:rPr>
                  <m:sty m:val="i"/>
                </m:rPr>
                <m:t>см</m:t>
              </m:r>
            </m:e>
            <m:sup>
              <m:r>
                <w:rPr>
                  <w:rFonts w:hint="default" w:ascii="Cambria Math" w:hAnsi="Cambria Math" w:eastAsia="Cambria Math" w:cs="Cambria Math"/>
                  <w:sz w:val="24"/>
                  <w:szCs w:val="24"/>
                  <w:highlight w:val="none"/>
                </w:rPr>
                <m:rPr>
                  <m:sty m:val="i"/>
                </m:rPr>
                <m:t>2</m:t>
              </m:r>
            </m:sup>
          </m:sSup>
        </m:oMath>
      </m:oMathPara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 лицевой стороне платы методом поверхностного монтажа установлено 144 светодиода типа WS2812B-2020 (типоразмер корпуса 2.0×2.0 мм).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Плотность монтажа: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en-US"/>
        </w:rPr>
        <w:t xml:space="preserve">P = 10.1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  <w:t xml:space="preserve">шт\</w:t>
      </w:r>
      <w:r>
        <w:rPr>
          <w:rFonts w:ascii="Times New Roman" w:hAnsi="Times New Roman" w:eastAsia="Times New Roman" w:cs="Times New Roman"/>
          <w:sz w:val="24"/>
          <w:szCs w:val="24"/>
        </w:rPr>
      </w:r>
      <m:oMath>
        <m:r>
          <w:rPr>
            <w:rFonts w:hint="default" w:ascii="Cambria Math" w:hAnsi="Cambria Math" w:eastAsia="Cambria Math" w:cs="Cambria Math"/>
            <w:sz w:val="24"/>
            <w:szCs w:val="24"/>
            <w:highlight w:val="none"/>
          </w:rPr>
          <m:rPr>
            <m:sty m:val="i"/>
          </m:rPr>
          <m:t> </m:t>
        </m:r>
        <m:sSup>
          <m:sSupPr>
            <m:ctrlPr>
              <w:rPr>
                <w:rFonts w:hint="default" w:ascii="Cambria Math" w:hAnsi="Cambria Math" w:eastAsia="Cambria Math" w:cs="Cambria Math"/>
                <w:i/>
                <w:sz w:val="24"/>
                <w:highlight w:val="none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sz w:val="24"/>
                <w:szCs w:val="24"/>
                <w:highlight w:val="none"/>
              </w:rPr>
              <m:rPr>
                <m:sty m:val="i"/>
              </m:rPr>
              <m:t>см</m:t>
            </m:r>
          </m:e>
          <m:sup>
            <m:r>
              <w:rPr>
                <w:rFonts w:hint="default" w:ascii="Cambria Math" w:hAnsi="Cambria Math" w:eastAsia="Cambria Math" w:cs="Cambria Math"/>
                <w:sz w:val="24"/>
                <w:szCs w:val="24"/>
                <w:highlight w:val="none"/>
              </w:rPr>
              <m:rPr>
                <m:sty m:val="i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4"/>
          <w:szCs w:val="24"/>
          <w:highlight w:val="none"/>
        </w:rPr>
        <w:t xml:space="preserve">Конструкция печатной платы: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  <w:t xml:space="preserve">Печатная плата выполнена двухслойной на основе стеклотекстолита FR4 толщиной 1.6 мм. Распределение слоёв: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  <w:t xml:space="preserve">Верхний слой: Сигнальные проводники (DIN), полигон общего провода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  <w:lang w:val="en-US"/>
        </w:rPr>
        <w:t xml:space="preserve">GND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  <w:t xml:space="preserve">, контактные площадки для монтажа светодиодов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  <w:t xml:space="preserve">Нижний слой: Полигон питания +5В, контактные площадки коннектора.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  <w:t xml:space="preserve">Соединение между слоями осуществляется через металлизированные переходные отверстия.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</w:p>
    <w:p>
      <w:pPr>
        <w:pBdr/>
        <w:shd w:val="clear" w:color="ffffff" w:themeColor="background1" w:fill="ffffff" w:themeFill="background1"/>
        <w:spacing/>
        <w:ind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Топология соединений: 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/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Физический порядок прохождения сигнала организован рядами:</w:t>
        <w:br/>
        <w:t xml:space="preserve">Нечетные ряды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 адресация пикселов выполняется слева направо относительно базового угла платы;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</w:r>
    </w:p>
    <w:p>
      <w:pPr>
        <w:pBdr/>
        <w:shd w:val="clear" w:color="ffffff" w:themeColor="background1" w:fill="ffffff" w:themeFill="background1"/>
        <w:spacing/>
        <w:ind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Четные ряды: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 адресация выполняется справа налево (реверсивное движение сигнала).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</w:p>
    <w:p>
      <w:pPr>
        <w:pBdr/>
        <w:shd w:val="clear" w:color="ffffff" w:themeColor="background1" w:fill="ffffff" w:themeFill="background1"/>
        <w:spacing/>
        <w:ind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/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</w:r>
    </w:p>
    <w:p>
      <w:pPr>
        <w:pBdr/>
        <w:shd w:val="clear" w:color="ffffff" w:themeColor="background1" w:fill="ffffff" w:themeFill="background1"/>
        <w:spacing/>
        <w:ind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>
      <w:pPr>
        <w:pBdr/>
        <w:shd w:val="clear" w:color="ffffff" w:themeColor="background1" w:fill="ffffff" w:themeFill="background1"/>
        <w:spacing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</w:p>
    <w:p>
      <w:pPr>
        <w:pBdr/>
        <w:shd w:val="clear" w:color="ffffff" w:themeColor="background1" w:fill="ffffff" w:themeFill="background1"/>
        <w:spacing/>
        <w:ind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  <w:br/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Таблица рядов к группам светодиодов:</w:t>
        <w:br/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59"/>
        <w:gridCol w:w="2409"/>
      </w:tblGrid>
      <w:tr>
        <w:trPr/>
        <w:tc>
          <w:tcPr>
            <w:tcBorders/>
            <w:tcW w:w="155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Номер ряда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Группа светодиодов: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D1-D23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D24-D44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D45-D63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D64-D80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D81-D95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D96-D108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D109-D119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D120-D128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D129-D135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D136-D140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D141-D143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D144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Bdr/>
        <w:shd w:val="clear" w:color="auto" w:fill="auto"/>
        <w:spacing/>
        <w:ind/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Управление свечением и адресация: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Управление осуществляется по однопроводному интерфейсу (шина данных DIN). Протокол передачи данных — NRZ (без возврата к нулю), временные диаграммы соответствуют спецификации WS2812B.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  <w:t xml:space="preserve">Каждый светодиод WS2812B-2020 содержит встроенный контроллер, который: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  <w:t xml:space="preserve">считывает 24 бита данных (GRB),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  <w:t xml:space="preserve">передаёт оставшиеся данные на следующий пиксел, а так же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  <w:t xml:space="preserve">удерживает заданный цвет до прихода следующего кадра.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b/>
          <w:bCs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Алгоритм отрисовки: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Для корректного отображения картинки (например, бегущей строки или симметричного узора) контроллер должен математически пересчитывать линейный буфер в координаты треугольника.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При заливке градиента или анимации рекомендуется использовать построчную адресацию с инверсией направления на четных строках.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4"/>
          <w:szCs w:val="24"/>
          <w:highlight w:val="none"/>
        </w:rPr>
        <w:t xml:space="preserve">Параметры питания</w:t>
        <w:br/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  <w:t xml:space="preserve">Каждый светодиод WS2812B-2020 при максимальной яркости (R,G,B=255) потребляет до 60 мА. Суммарный максимальный ток платы составляет:</w:t>
        <w:br/>
        <w:t xml:space="preserve">144 шт. * 0,06 А = 8,64 А.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  <w:t xml:space="preserve">Рекомендуемое напряжение питания: 5 В DC.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  <w:t xml:space="preserve">Рекомендуемый блок питания: 5 В / 10 А (с запасом 15%).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highlight w:val="none"/>
          <w:lang w:val="ru-RU"/>
        </w:rPr>
        <w:t xml:space="preserve">Тепловой режим:</w:t>
        <w:br/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highlight w:val="none"/>
          <w:lang w:val="ru-RU"/>
        </w:rPr>
        <w:t xml:space="preserve">При работе светодиодов часть электрической мощности преобразуется в теплоту. Электрическая мощность платы:</w:t>
        <w:br/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highlight w:val="none"/>
          <w:lang w:val="ru-RU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color w:val="auto"/>
              <w:sz w:val="24"/>
              <w:szCs w:val="24"/>
              <w:highlight w:val="none"/>
              <w:lang w:val="ru-RU" w:bidi="ru-RU"/>
            </w:rPr>
            <m:rPr>
              <m:sty m:val="i"/>
            </m:rPr>
            <m:t>Pэ = U * I = 5 * 8.64 = 43.2 Вт</m:t>
          </m:r>
        </m:oMath>
      </m:oMathPara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b w:val="0"/>
          <w:bCs w:val="0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highlight w:val="none"/>
          <w:lang w:val="ru-RU"/>
        </w:rPr>
        <w:t xml:space="preserve">Следуя документации, эффективность светодидов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highlight w:val="none"/>
          <w:lang w:val="en-US"/>
        </w:rPr>
        <w:t xml:space="preserve">WS8212B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highlight w:val="none"/>
          <w:lang w:val="ru-RU"/>
        </w:rPr>
        <w:t xml:space="preserve">равняется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highlight w:val="none"/>
          <w:lang w:val="en-US"/>
        </w:rPr>
        <w:t xml:space="preserve">~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highlight w:val="none"/>
          <w:lang w:val="ru-RU"/>
        </w:rPr>
        <w:t xml:space="preserve">30%, следовательно: </w:t>
        <w:br/>
      </w:r>
      <w:r/>
      <m:oMathPara>
        <m:oMathParaPr/>
        <m:oMath>
          <m:r>
            <w:rPr>
              <w:rFonts w:hint="default" w:ascii="Cambria Math" w:hAnsi="Cambria Math" w:eastAsia="Cambria Math" w:cs="Cambria Math"/>
              <w:color w:val="auto"/>
              <w:sz w:val="24"/>
              <w:szCs w:val="24"/>
              <w:highlight w:val="none"/>
              <w:lang w:val="ru-RU" w:bidi="ru-RU"/>
            </w:rPr>
            <m:rPr>
              <m:sty m:val="i"/>
            </m:rPr>
            <m:t>Pт = 0.7 * Pэ </m:t>
          </m:r>
          <m:r>
            <w:rPr>
              <w:rFonts w:hint="default" w:ascii="Cambria Math" w:hAnsi="Cambria Math" w:eastAsia="Cambria Math" w:cs="Cambria Math"/>
              <w:color w:val="auto"/>
              <w:sz w:val="24"/>
              <w:szCs w:val="24"/>
              <w:highlight w:val="none"/>
              <w:lang w:val="ru-RU" w:bidi="ru-RU"/>
            </w:rPr>
            <m:rPr>
              <m:sty m:val="i"/>
            </m:rPr>
            <m:t>≈</m:t>
          </m:r>
          <m:r>
            <w:rPr>
              <w:rFonts w:hint="default" w:ascii="Cambria Math" w:hAnsi="Cambria Math" w:eastAsia="Cambria Math" w:cs="Cambria Math"/>
              <w:color w:val="auto"/>
              <w:sz w:val="24"/>
              <w:szCs w:val="24"/>
              <w:highlight w:val="none"/>
              <w:lang w:val="ru-RU" w:bidi="ru-RU"/>
            </w:rPr>
            <m:rPr>
              <m:sty m:val="i"/>
            </m:rPr>
            <m:t> 30.2 Вт</m:t>
          </m:r>
        </m:oMath>
      </m:oMathPara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4"/>
          <w:szCs w:val="24"/>
          <w:highlight w:val="none"/>
        </w:rPr>
        <w:t xml:space="preserve">Примечание: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  <w:t xml:space="preserve"> Для длительной работы без искажения цветов рекомендуется ограничить общую яркость до 30-40%, либо установить внешний конденсатор 1000 мкФ на шину питания и шунтирующие резисторы на сигнальную линию (рекомендация производителя чипа).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highlight w:val="none"/>
        </w:rPr>
      </w:r>
    </w:p>
    <w:p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4D66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C9F57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EDCDA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53217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96083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2026-04-10T22:21:44Z</dcterms:modified>
</cp:coreProperties>
</file>