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FGWAS: La solución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Buenos días/tardes a todxs. Mi nombre es Roberto Olvera Hernández, soy estudiante del Programa de Doctorado en Ciencias Biomédicas en el Centro de Ciencias Genómicas de la UNAM. Hoy les presento mi proyecto de investigación doctoral titulado:</w:t>
      </w:r>
      <w:r>
        <w:t xml:space="preserve"> </w:t>
      </w:r>
      <w:r>
        <w:rPr>
          <w:i/>
          <w:iCs/>
        </w:rPr>
        <w:t xml:space="preserve">“Estudios de Asociación Genómica Libres de Sesgos para Rasgos Complejos y Enfermedades en Más de 100 mil Mexicanos”</w:t>
      </w:r>
      <w:r>
        <w:t xml:space="preserve">, como parte de mi examen de candidatura.</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29"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 de Agudelo-Botero et al. (2026).</w:t>
      </w:r>
    </w:p>
    <w:p>
      <w:pPr>
        <w:pStyle w:val="BodyText"/>
      </w:pPr>
      <w:r>
        <w:rPr>
          <w:b/>
          <w:bCs/>
        </w:rPr>
        <w:t xml:space="preserve">Guion:</w:t>
      </w:r>
    </w:p>
    <w:p>
      <w:pPr>
        <w:pStyle w:val="BlockText"/>
      </w:pPr>
      <w:r>
        <w:t xml:space="preserve">Comencemos con el contexto epidemiológico. En México, las enfermedades cardio-metabólicas — es decir, la diabetes mellitus, las enfermedades del corazón, y las enfermedades cerebrovasculares — representan el</w:t>
      </w:r>
      <w:r>
        <w:t xml:space="preserve"> </w:t>
      </w:r>
      <w:r>
        <w:rPr>
          <w:b/>
          <w:bCs/>
        </w:rPr>
        <w:t xml:space="preserve">41.4% de todas las defunciones</w:t>
      </w:r>
      <w:r>
        <w:t xml:space="preserve"> </w:t>
      </w:r>
      <w:r>
        <w:t xml:space="preserve">registradas.</w:t>
      </w:r>
    </w:p>
    <w:p>
      <w:pPr>
        <w:pStyle w:val="BlockText"/>
      </w:pPr>
      <w:r>
        <w:t xml:space="preserve">Lo que vemos en esta gráfica son las tendencias de mortalidad estandarizada por edad a nivel nacional, con datos de estadísticas vitales del INEGI y proyecciones del CONAPO. Y lo preocupante es que la tendencia va</w:t>
      </w:r>
      <w:r>
        <w:t xml:space="preserve"> </w:t>
      </w:r>
      <w:r>
        <w:rPr>
          <w:b/>
          <w:bCs/>
        </w:rPr>
        <w:t xml:space="preserve">en aumento</w:t>
      </w:r>
      <w:r>
        <w:t xml:space="preserve">, especialmente para enfermedad cardíaca y diabetes mellitus.</w:t>
      </w:r>
    </w:p>
    <w:p>
      <w:pPr>
        <w:pStyle w:val="BlockText"/>
      </w:pPr>
      <w:r>
        <w:t xml:space="preserve">Esto no es solo un problema de salud pública; es un problema donde la genómica puede aportar herramientas concretas — pero solo si contamos con estudios genómicos que realmente representen a nuestra población.</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0b05952d5f41c3ec9080bc1084ef746248a7a06"/>
    <w:p>
      <w:pPr>
        <w:pStyle w:val="Heading2"/>
      </w:pPr>
      <w:r>
        <w:t xml:space="preserve">SLIDE 3 —</w:t>
      </w:r>
      <w:r>
        <w:t xml:space="preserve"> </w:t>
      </w:r>
      <w:r>
        <w:t xml:space="preserve">“La diabetes es más común y más mortal en México que en países de altos ingresos”</w:t>
      </w:r>
    </w:p>
    <w:p>
      <w:pPr>
        <w:pStyle w:val="FirstParagraph"/>
      </w:pPr>
      <w:r>
        <w:rPr>
          <w:b/>
          <w:bCs/>
        </w:rPr>
        <w:t xml:space="preserve">[Contenido visual]:</w:t>
      </w:r>
      <w:r>
        <w:t xml:space="preserve"> </w:t>
      </w:r>
      <w:r>
        <w:t xml:space="preserve">Figura de mortalidad por diabetes en la cohorte MCPS (N ≈ 150,000), de Alegre-Díaz et al. (2016,</w:t>
      </w:r>
      <w:r>
        <w:t xml:space="preserve"> </w:t>
      </w:r>
      <w:r>
        <w:rPr>
          <w:i/>
          <w:iCs/>
        </w:rPr>
        <w:t xml:space="preserve">NEJM</w:t>
      </w:r>
      <w:r>
        <w:t xml:space="preserve">).</w:t>
      </w:r>
    </w:p>
    <w:p>
      <w:pPr>
        <w:pStyle w:val="BodyText"/>
      </w:pPr>
      <w:r>
        <w:rPr>
          <w:b/>
          <w:bCs/>
        </w:rPr>
        <w:t xml:space="preserve">Guion:</w:t>
      </w:r>
    </w:p>
    <w:p>
      <w:pPr>
        <w:pStyle w:val="BlockText"/>
      </w:pPr>
      <w:r>
        <w:t xml:space="preserve">Para ser más concretos: en la cohorte del</w:t>
      </w:r>
      <w:r>
        <w:t xml:space="preserve"> </w:t>
      </w:r>
      <w:r>
        <w:rPr>
          <w:i/>
          <w:iCs/>
        </w:rPr>
        <w:t xml:space="preserve">Mexico City Prospective Study</w:t>
      </w:r>
      <w:r>
        <w:t xml:space="preserve"> </w:t>
      </w:r>
      <w:r>
        <w:t xml:space="preserve">— que es precisamente la cohorte con la que trabajamos — Alegre-Díaz y colaboradores demostraron en el</w:t>
      </w:r>
      <w:r>
        <w:t xml:space="preserve"> </w:t>
      </w:r>
      <w:r>
        <w:rPr>
          <w:i/>
          <w:iCs/>
        </w:rPr>
        <w:t xml:space="preserve">New England Journal of Medicine</w:t>
      </w:r>
      <w:r>
        <w:t xml:space="preserve"> </w:t>
      </w:r>
      <w:r>
        <w:t xml:space="preserve">que la diabetes explica</w:t>
      </w:r>
      <w:r>
        <w:t xml:space="preserve"> </w:t>
      </w:r>
      <w:r>
        <w:rPr>
          <w:b/>
          <w:bCs/>
        </w:rPr>
        <w:t xml:space="preserve">una de cada tres muertes</w:t>
      </w:r>
      <w:r>
        <w:t xml:space="preserve"> </w:t>
      </w:r>
      <w:r>
        <w:t xml:space="preserve">entre los 35 y 74 años.</w:t>
      </w:r>
    </w:p>
    <w:p>
      <w:pPr>
        <w:pStyle w:val="BlockText"/>
      </w:pPr>
      <w:r>
        <w:t xml:space="preserve">El riesgo relativo es de 5.4 para personas entre 35 y 59 años. Eso es dramáticamente más alto que lo reportado en cohortes europeas o norteamericanas.</w:t>
      </w:r>
    </w:p>
    <w:p>
      <w:pPr>
        <w:pStyle w:val="BlockText"/>
      </w:pPr>
      <w:r>
        <w:t xml:space="preserve">Esto subraya la urgencia de entender la</w:t>
      </w:r>
      <w:r>
        <w:t xml:space="preserve"> </w:t>
      </w:r>
      <w:r>
        <w:rPr>
          <w:b/>
          <w:bCs/>
        </w:rPr>
        <w:t xml:space="preserve">arquitectura genética</w:t>
      </w:r>
      <w:r>
        <w:t xml:space="preserve"> </w:t>
      </w:r>
      <w:r>
        <w:t xml:space="preserve">de la diabetes y otras enfermedades complejas específicamente en la población mexicana.</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(izquierda) gráfica de ancestría en participantes GWAS vs. población global de Martin et al. (2019); (derecha) GWAS Diversity Monitor.</w:t>
      </w:r>
    </w:p>
    <w:p>
      <w:pPr>
        <w:pStyle w:val="BodyText"/>
      </w:pPr>
      <w:r>
        <w:rPr>
          <w:b/>
          <w:bCs/>
        </w:rPr>
        <w:t xml:space="preserve">Guion:</w:t>
      </w:r>
    </w:p>
    <w:p>
      <w:pPr>
        <w:pStyle w:val="BlockText"/>
      </w:pPr>
      <w:r>
        <w:t xml:space="preserve">Sin embargo, existe un problema fundamental: las poblaciones latinoamericanas están</w:t>
      </w:r>
      <w:r>
        <w:t xml:space="preserve"> </w:t>
      </w:r>
      <w:r>
        <w:rPr>
          <w:b/>
          <w:bCs/>
        </w:rPr>
        <w:t xml:space="preserve">masivamente subrepresentadas</w:t>
      </w:r>
      <w:r>
        <w:t xml:space="preserve"> </w:t>
      </w:r>
      <w:r>
        <w:t xml:space="preserve">en estudios de asociación genómica.</w:t>
      </w:r>
    </w:p>
    <w:p>
      <w:pPr>
        <w:pStyle w:val="BlockText"/>
      </w:pPr>
      <w:r>
        <w:t xml:space="preserve">A la izquierda vemos datos de Martin y colaboradores (2019), donde se muestra que más del 78% de los participantes en GWAS son de ancestría europea, mientras que las poblaciones latinoamericanas — que representan aproximadamente el 8% de la población mundial — apenas alcanzan el 1.3%.</w:t>
      </w:r>
    </w:p>
    <w:p>
      <w:pPr>
        <w:pStyle w:val="BlockText"/>
      </w:pPr>
      <w:r>
        <w:t xml:space="preserve">A la derecha, el GWAS Diversity Monitor confirma que esta brecha persiste hasta la fecha.</w:t>
      </w:r>
    </w:p>
    <w:p>
      <w:pPr>
        <w:pStyle w:val="BlockText"/>
      </w:pPr>
      <w:r>
        <w:t xml:space="preserve">¿Y por qué importa? Porque las herramientas genómicas que se derivan de estos estudios — los</w:t>
      </w:r>
      <w:r>
        <w:t xml:space="preserve"> </w:t>
      </w:r>
      <w:r>
        <w:rPr>
          <w:i/>
          <w:iCs/>
        </w:rPr>
        <w:t xml:space="preserve">polygenic risk scores</w:t>
      </w:r>
      <w:r>
        <w:t xml:space="preserve">, los instrumentos para aleatorización mendeliana — están calibrados para poblaciones europeas. Y cuando los transferimos a poblaciones mestizas como la mexicana,</w:t>
      </w:r>
      <w:r>
        <w:t xml:space="preserve"> </w:t>
      </w:r>
      <w:r>
        <w:rPr>
          <w:b/>
          <w:bCs/>
        </w:rPr>
        <w:t xml:space="preserve">pierden precisión</w:t>
      </w:r>
      <w:r>
        <w:t xml:space="preserve">.</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0d0a5e15a1b0dc0fd21481d646dffc603a16fdf"/>
    <w:p>
      <w:pPr>
        <w:pStyle w:val="Heading2"/>
      </w:pPr>
      <w:r>
        <w:t xml:space="preserve">SLIDE 5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Pintura de Castas (ca. 1750) y análisis de patrones ancestrales del MXB (Sohail et al. 2023).</w:t>
      </w:r>
    </w:p>
    <w:p>
      <w:pPr>
        <w:pStyle w:val="BodyText"/>
      </w:pPr>
      <w:r>
        <w:rPr>
          <w:b/>
          <w:bCs/>
        </w:rPr>
        <w:t xml:space="preserve">Guion:</w:t>
      </w:r>
    </w:p>
    <w:p>
      <w:pPr>
        <w:pStyle w:val="BlockText"/>
      </w:pPr>
      <w:r>
        <w:t xml:space="preserve">Para entender por qué estas herramientas fallan en México, necesitamos entender la estructura genómica de la población mexicana.</w:t>
      </w:r>
    </w:p>
    <w:p>
      <w:pPr>
        <w:pStyle w:val="BlockText"/>
      </w:pPr>
      <w:r>
        <w:t xml:space="preserve">México es una población admixta — producto de la mezcla de poblaciones indígenas americanas, europeas, y en menor medida africanas, que comenzó con la colonización española hace más de 500 años. A la izquierda vemos una pintura de castas del siglo XVIII que refleja cómo se categorizaba esa mezcla en la sociedad colonial.</w:t>
      </w:r>
    </w:p>
    <w:p>
      <w:pPr>
        <w:pStyle w:val="BlockText"/>
      </w:pPr>
      <w:r>
        <w:t xml:space="preserve">A la derecha, Sohail y colaboradores en 2023 mostraron con datos genómicos del Mexican Biobank que esta mezcla no es uniforme. Hay un gradiente de ancestría indígena-europea que varía por región, con patrones de subestructura que corresponden a las regiones históricas de Mesoamérica.</w:t>
      </w:r>
    </w:p>
    <w:p>
      <w:pPr>
        <w:pStyle w:val="BlockText"/>
      </w:pPr>
      <w:r>
        <w:t xml:space="preserve">Esta diversidad interna es tanto una riqueza como un desafío metodológico.</w:t>
      </w:r>
    </w:p>
    <w:p>
      <w:pPr>
        <w:pStyle w:val="FirstParagraph"/>
      </w:pPr>
      <w:r>
        <w:t xml:space="preserve">⏱️</w:t>
      </w:r>
      <w:r>
        <w:t xml:space="preserve"> </w:t>
      </w:r>
      <w:r>
        <w:rPr>
          <w:i/>
          <w:iCs/>
        </w:rPr>
        <w:t xml:space="preserve">~1 minuto</w:t>
      </w:r>
    </w:p>
    <w:p>
      <w:r>
        <w:pict>
          <v:rect style="width:0;height:1.5pt" o:hralign="center" o:hrstd="t" o:hr="t"/>
        </w:pict>
      </w:r>
    </w:p>
    <w:bookmarkEnd w:id="26"/>
    <w:bookmarkStart w:id="27" w:name="Xa2c25eef7c101239f791ab4d4f931376363d652"/>
    <w:p>
      <w:pPr>
        <w:pStyle w:val="Heading2"/>
      </w:pPr>
      <w:r>
        <w:t xml:space="preserve">SLIDE 6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de Ding et al. (2023, ATLAS) — estructura poblacional y decaimiento continuo de precisión de PRS.</w:t>
      </w:r>
    </w:p>
    <w:p>
      <w:pPr>
        <w:pStyle w:val="BodyText"/>
      </w:pPr>
      <w:r>
        <w:rPr>
          <w:b/>
          <w:bCs/>
        </w:rPr>
        <w:t xml:space="preserve">Guion:</w:t>
      </w:r>
    </w:p>
    <w:p>
      <w:pPr>
        <w:pStyle w:val="BlockText"/>
      </w:pPr>
      <w:r>
        <w:t xml:space="preserve">Y aquí vemos el desafío cuantificado. En el estudio ATLAS de Ding y colaboradores, se demuestra un patrón claro: conforme</w:t>
      </w:r>
      <w:r>
        <w:t xml:space="preserve"> </w:t>
      </w:r>
      <w:r>
        <w:rPr>
          <w:b/>
          <w:bCs/>
        </w:rPr>
        <w:t xml:space="preserve">aumenta la distancia genética</w:t>
      </w:r>
      <w:r>
        <w:t xml:space="preserve"> </w:t>
      </w:r>
      <w:r>
        <w:t xml:space="preserve">entre la población de descubrimiento — generalmente europea — y la población de destino, la</w:t>
      </w:r>
      <w:r>
        <w:t xml:space="preserve"> </w:t>
      </w:r>
      <w:r>
        <w:rPr>
          <w:b/>
          <w:bCs/>
        </w:rPr>
        <w:t xml:space="preserve">precisión de los</w:t>
      </w:r>
      <w:r>
        <w:rPr>
          <w:b/>
          <w:bCs/>
        </w:rPr>
        <w:t xml:space="preserve"> </w:t>
      </w:r>
      <w:r>
        <w:rPr>
          <w:b/>
          <w:bCs/>
          <w:i/>
          <w:iCs/>
        </w:rPr>
        <w:t xml:space="preserve">polygenic risk scores</w:t>
      </w:r>
      <w:r>
        <w:rPr>
          <w:b/>
          <w:bCs/>
        </w:rPr>
        <w:t xml:space="preserve"> </w:t>
      </w:r>
      <w:r>
        <w:rPr>
          <w:b/>
          <w:bCs/>
        </w:rPr>
        <w:t xml:space="preserve">decae de forma continua</w:t>
      </w:r>
      <w:r>
        <w:t xml:space="preserve">.</w:t>
      </w:r>
    </w:p>
    <w:p>
      <w:pPr>
        <w:pStyle w:val="BlockText"/>
      </w:pPr>
      <w:r>
        <w:t xml:space="preserve">Es decir, no es que los PRS dejen de funcionar de golpe, sino que la predicción se va degradando proporcionalmente a la distancia genética. Para las poblaciones latinoamericanas, con su componente indígena americano, esa distancia es considerable.</w:t>
      </w:r>
    </w:p>
    <w:p>
      <w:pPr>
        <w:pStyle w:val="FirstParagraph"/>
      </w:pPr>
      <w:r>
        <w:t xml:space="preserve">⏱️</w:t>
      </w:r>
      <w:r>
        <w:t xml:space="preserve"> </w:t>
      </w:r>
      <w:r>
        <w:rPr>
          <w:i/>
          <w:iCs/>
        </w:rPr>
        <w:t xml:space="preserve">~45 segundos</w:t>
      </w:r>
    </w:p>
    <w:p>
      <w:r>
        <w:pict>
          <v:rect style="width:0;height:1.5pt" o:hralign="center" o:hrstd="t" o:hr="t"/>
        </w:pict>
      </w:r>
    </w:p>
    <w:bookmarkEnd w:id="27"/>
    <w:bookmarkStart w:id="28" w:name="X3251d42dd53bfddc2c3f4a868b8dc838b173c03"/>
    <w:p>
      <w:pPr>
        <w:pStyle w:val="Heading2"/>
      </w:pPr>
      <w:r>
        <w:t xml:space="preserve">SLIDE 7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PRS para IMC en MCPS (Ziyatdinov et al. 2023) y (B) decaimiento para cardiopatía en MCPS (Liu et al. 2026).</w:t>
      </w:r>
    </w:p>
    <w:p>
      <w:pPr>
        <w:pStyle w:val="BodyText"/>
      </w:pPr>
      <w:r>
        <w:rPr>
          <w:b/>
          <w:bCs/>
        </w:rPr>
        <w:t xml:space="preserve">Guion:</w:t>
      </w:r>
    </w:p>
    <w:p>
      <w:pPr>
        <w:pStyle w:val="BlockText"/>
      </w:pPr>
      <w:r>
        <w:t xml:space="preserve">Y esto no es solo teoría. Aquí tenemos datos directos del MCPS.</w:t>
      </w:r>
    </w:p>
    <w:p>
      <w:pPr>
        <w:pStyle w:val="BlockText"/>
      </w:pPr>
      <w:r>
        <w:t xml:space="preserve">A la izquierda, Ziyatdinov y colaboradores muestran que los PRS para el índice de masa corporal — derivados de cohortes europeas — pierden poder predictivo conforme aumenta la proporción de ancestría indígena americana en los participantes de MCPS.</w:t>
      </w:r>
    </w:p>
    <w:p>
      <w:pPr>
        <w:pStyle w:val="BlockText"/>
      </w:pPr>
      <w:r>
        <w:t xml:space="preserve">A la derecha, Liu y colaboradores en 2026 reportan el mismo patrón para cardiopatía coronaria.</w:t>
      </w:r>
    </w:p>
    <w:p>
      <w:pPr>
        <w:pStyle w:val="BlockText"/>
      </w:pPr>
      <w:r>
        <w:rPr>
          <w:b/>
          <w:bCs/>
        </w:rPr>
        <w:t xml:space="preserve">El mensaje es claro</w:t>
      </w:r>
      <w:r>
        <w:t xml:space="preserve">: transferir herramientas genómicas de Europa a México no funciona. Necesitamos hacer nuestros propios estudios genómicos, directamente en la población mexicana.</w:t>
      </w:r>
    </w:p>
    <w:p>
      <w:pPr>
        <w:pStyle w:val="BlockText"/>
      </w:pPr>
      <w:r>
        <w:t xml:space="preserve">Pero eso nos lleva a la siguiente pregunta: ¿basta con hacer un GWAS estándar en mexicanos? La respuesta, como veremos, es</w:t>
      </w:r>
      <w:r>
        <w:t xml:space="preserve"> </w:t>
      </w:r>
      <w:r>
        <w:rPr>
          <w:i/>
          <w:iCs/>
        </w:rPr>
        <w:t xml:space="preserve">no</w:t>
      </w:r>
      <w:r>
        <w:t xml:space="preserve">.</w:t>
      </w:r>
    </w:p>
    <w:p>
      <w:pPr>
        <w:pStyle w:val="FirstParagraph"/>
      </w:pPr>
      <w:r>
        <w:t xml:space="preserve">⏱️</w:t>
      </w:r>
      <w:r>
        <w:t xml:space="preserve"> </w:t>
      </w:r>
      <w:r>
        <w:rPr>
          <w:i/>
          <w:iCs/>
        </w:rPr>
        <w:t xml:space="preserve">~1 minuto</w:t>
      </w:r>
    </w:p>
    <w:p>
      <w:r>
        <w:pict>
          <v:rect style="width:0;height:1.5pt" o:hralign="center" o:hrstd="t" o:hr="t"/>
        </w:pict>
      </w:r>
    </w:p>
    <w:bookmarkEnd w:id="28"/>
    <w:bookmarkEnd w:id="29"/>
    <w:bookmarkStart w:id="31" w:name="Xcf06de8fe32b6aebbd8a70d7df344922df44f27"/>
    <w:p>
      <w:pPr>
        <w:pStyle w:val="Heading1"/>
      </w:pPr>
      <w:r>
        <w:t xml:space="preserve">SECCIÓN 2 — ¿POR QUÉ FALLAN LAS HERRAMIENTAS ACTUALES?</w:t>
      </w:r>
    </w:p>
    <w:p>
      <w:pPr>
        <w:pStyle w:val="FirstParagraph"/>
      </w:pPr>
      <w:r>
        <w:rPr>
          <w:b/>
          <w:bCs/>
        </w:rPr>
        <w:t xml:space="preserve">[Estado]:</w:t>
      </w:r>
      <w:r>
        <w:t xml:space="preserve"> </w:t>
      </w:r>
      <w:r>
        <w:t xml:space="preserve">Esta sección está</w:t>
      </w:r>
      <w:r>
        <w:t xml:space="preserve"> </w:t>
      </w:r>
      <w:r>
        <w:rPr>
          <w:i/>
          <w:iCs/>
        </w:rPr>
        <w:t xml:space="preserve">comentada</w:t>
      </w:r>
      <w:r>
        <w:t xml:space="preserve"> </w:t>
      </w:r>
      <w:r>
        <w:t xml:space="preserve">en el archivo</w:t>
      </w:r>
      <w:r>
        <w:t xml:space="preserve"> </w:t>
      </w:r>
      <w:r>
        <w:rPr>
          <w:rStyle w:val="VerbatimChar"/>
        </w:rPr>
        <w:t xml:space="preserve">introduction.tex</w:t>
      </w:r>
      <w:r>
        <w:t xml:space="preserve"> </w:t>
      </w:r>
      <w:r>
        <w:t xml:space="preserve">(líneas 134–141). Necesita slides explícitas.</w:t>
      </w:r>
    </w:p>
    <w:bookmarkStart w:id="30" w:name="X0e735be2175c3dbab5f4efa4b861b3519342a34"/>
    <w:p>
      <w:pPr>
        <w:pStyle w:val="Heading2"/>
      </w:pPr>
      <w:r>
        <w:t xml:space="preserve">SLIDE 8 (propuesta) —</w:t>
      </w:r>
      <w:r>
        <w:t xml:space="preserve"> </w:t>
      </w:r>
      <w:r>
        <w:t xml:space="preserve">“Sesgos en GWAS: El origen del problema”</w:t>
      </w:r>
    </w:p>
    <w:p>
      <w:pPr>
        <w:pStyle w:val="FirstParagraph"/>
      </w:pPr>
      <w:r>
        <w:rPr>
          <w:b/>
          <w:bCs/>
        </w:rPr>
        <w:t xml:space="preserve">[Contenido visual sugerido]:</w:t>
      </w:r>
      <w:r>
        <w:t xml:space="preserve"> </w:t>
      </w:r>
      <w:r>
        <w:t xml:space="preserve">Diagrama TikZ de barras apiladas mostrando la composición de señales en GWAS poblacional (ya existe un borrador TikZ comentado en</w:t>
      </w:r>
      <w:r>
        <w:t xml:space="preserve"> </w:t>
      </w:r>
      <w:r>
        <w:rPr>
          <w:rStyle w:val="VerbatimChar"/>
        </w:rPr>
        <w:t xml:space="preserve">introduction.tex</w:t>
      </w:r>
      <w:r>
        <w:t xml:space="preserve">, líneas 142–221).</w:t>
      </w:r>
    </w:p>
    <w:p>
      <w:pPr>
        <w:pStyle w:val="BodyText"/>
      </w:pPr>
      <w:r>
        <w:rPr>
          <w:b/>
          <w:bCs/>
        </w:rPr>
        <w:t xml:space="preserve">Guion:</w:t>
      </w:r>
    </w:p>
    <w:p>
      <w:pPr>
        <w:pStyle w:val="BlockText"/>
      </w:pPr>
      <w:r>
        <w:t xml:space="preserve">¿Por qué no basta con un GWAS estándar? Porque lo que un GWAS poblacional mide no es únicamente el</w:t>
      </w:r>
      <w:r>
        <w:t xml:space="preserve"> </w:t>
      </w:r>
      <w:r>
        <w:rPr>
          <w:b/>
          <w:bCs/>
        </w:rPr>
        <w:t xml:space="preserve">efecto genético directo</w:t>
      </w:r>
      <w:r>
        <w:t xml:space="preserve"> </w:t>
      </w:r>
      <w:r>
        <w:t xml:space="preserve">de un alelo sobre un rasgo. La señal del GWAS es una mezcla de varios componentes:</w:t>
      </w:r>
    </w:p>
    <w:p>
      <w:pPr>
        <w:pStyle w:val="Compact"/>
        <w:numPr>
          <w:ilvl w:val="0"/>
          <w:numId w:val="1002"/>
        </w:numPr>
      </w:pPr>
      <w:r>
        <w:rPr>
          <w:b/>
          <w:bCs/>
        </w:rPr>
        <w:t xml:space="preserve">Efectos genéticos directos</w:t>
      </w:r>
      <w:r>
        <w:t xml:space="preserve"> </w:t>
      </w:r>
      <w:r>
        <w:t xml:space="preserve">(</w:t>
      </w:r>
      <w:r>
        <w:rPr>
          <w:i/>
          <w:iCs/>
        </w:rPr>
        <w:t xml:space="preserve">DGEs</w:t>
      </w:r>
      <w:r>
        <w:t xml:space="preserve">): la biología causal — lo que realmente queremos medir.</w:t>
      </w:r>
    </w:p>
    <w:p>
      <w:pPr>
        <w:pStyle w:val="Compact"/>
        <w:numPr>
          <w:ilvl w:val="0"/>
          <w:numId w:val="1002"/>
        </w:numPr>
      </w:pPr>
      <w:r>
        <w:rPr>
          <w:b/>
          <w:bCs/>
        </w:rPr>
        <w:t xml:space="preserve">Efectos genéticos indirectos</w:t>
      </w:r>
      <w:r>
        <w:t xml:space="preserve"> </w:t>
      </w:r>
      <w:r>
        <w:t xml:space="preserve">(</w:t>
      </w:r>
      <w:r>
        <w:rPr>
          <w:i/>
          <w:iCs/>
        </w:rPr>
        <w:t xml:space="preserve">genetic nurture</w:t>
      </w:r>
      <w:r>
        <w:t xml:space="preserve">): los genotipos de los padres influyen en el ambiente que crean para sus hijos. Un padre con altos puntajes educativos genera un ambiente más estimulante, independientemente de los alelos que transmitió.</w:t>
      </w:r>
    </w:p>
    <w:p>
      <w:pPr>
        <w:pStyle w:val="Compact"/>
        <w:numPr>
          <w:ilvl w:val="0"/>
          <w:numId w:val="1002"/>
        </w:numPr>
      </w:pPr>
      <w:r>
        <w:rPr>
          <w:b/>
          <w:bCs/>
        </w:rPr>
        <w:t xml:space="preserve">Apareamiento selectivo</w:t>
      </w:r>
      <w:r>
        <w:t xml:space="preserve">: las personas tienden a emparejarse con personas de fenotipos similares, lo cual infla las correlaciones genéticas a nivel poblacional.</w:t>
      </w:r>
    </w:p>
    <w:p>
      <w:pPr>
        <w:pStyle w:val="Compact"/>
        <w:numPr>
          <w:ilvl w:val="0"/>
          <w:numId w:val="1002"/>
        </w:numPr>
      </w:pPr>
      <w:r>
        <w:rPr>
          <w:b/>
          <w:bCs/>
        </w:rPr>
        <w:t xml:space="preserve">Estratificación poblacional</w:t>
      </w:r>
      <w:r>
        <w:t xml:space="preserve">: diferencias en frecuencias alélicas entre subgrupos que correlacionan con diferencias ambientales.</w:t>
      </w:r>
    </w:p>
    <w:p>
      <w:pPr>
        <w:pStyle w:val="BlockText"/>
      </w:pPr>
      <w:r>
        <w:t xml:space="preserve">Los métodos estándar — ajustar por componentes principales y usar modelos lineales mixtos — reducen la estratificación, pero</w:t>
      </w:r>
      <w:r>
        <w:t xml:space="preserve"> </w:t>
      </w:r>
      <w:r>
        <w:rPr>
          <w:b/>
          <w:bCs/>
        </w:rPr>
        <w:t xml:space="preserve">no eliminan</w:t>
      </w:r>
      <w:r>
        <w:t xml:space="preserve"> </w:t>
      </w:r>
      <w:r>
        <w:t xml:space="preserve">los efectos indirectos ni el apareamiento selectivo.</w:t>
      </w:r>
    </w:p>
    <w:p>
      <w:pPr>
        <w:pStyle w:val="BlockText"/>
      </w:pPr>
      <w:r>
        <w:t xml:space="preserve">En una población admixta como la mexicana, estos sesgos se</w:t>
      </w:r>
      <w:r>
        <w:t xml:space="preserve"> </w:t>
      </w:r>
      <w:r>
        <w:rPr>
          <w:b/>
          <w:bCs/>
        </w:rPr>
        <w:t xml:space="preserve">amplifican</w:t>
      </w:r>
      <w:r>
        <w:t xml:space="preserve"> </w:t>
      </w:r>
      <w:r>
        <w:t xml:space="preserve">porque la estructura poblacional es más compleja.</w:t>
      </w:r>
    </w:p>
    <w:p>
      <w:pPr>
        <w:pStyle w:val="FirstParagraph"/>
      </w:pPr>
      <w:r>
        <w:t xml:space="preserve">⏱️</w:t>
      </w:r>
      <w:r>
        <w:t xml:space="preserve"> </w:t>
      </w:r>
      <w:r>
        <w:rPr>
          <w:i/>
          <w:iCs/>
        </w:rPr>
        <w:t xml:space="preserve">~1 minuto 30 segundos</w:t>
      </w:r>
    </w:p>
    <w:p>
      <w:r>
        <w:pict>
          <v:rect style="width:0;height:1.5pt" o:hralign="center" o:hrstd="t" o:hr="t"/>
        </w:pict>
      </w:r>
    </w:p>
    <w:bookmarkEnd w:id="30"/>
    <w:bookmarkEnd w:id="31"/>
    <w:bookmarkStart w:id="36" w:name="sección-3-fgwas-la-solución"/>
    <w:p>
      <w:pPr>
        <w:pStyle w:val="Heading1"/>
      </w:pPr>
      <w:r>
        <w:t xml:space="preserve">SECCIÓN 3 — FGWAS: LA SOLUCIÓN</w:t>
      </w:r>
    </w:p>
    <w:p>
      <w:pPr>
        <w:pStyle w:val="FirstParagraph"/>
      </w:pPr>
      <w:r>
        <w:rPr>
          <w:b/>
          <w:bCs/>
        </w:rPr>
        <w:t xml:space="preserve">[Estado]:</w:t>
      </w:r>
      <w:r>
        <w:t xml:space="preserve"> </w:t>
      </w:r>
      <w:r>
        <w:t xml:space="preserve">Esta sección está</w:t>
      </w:r>
      <w:r>
        <w:t xml:space="preserve"> </w:t>
      </w:r>
      <w:r>
        <w:rPr>
          <w:i/>
          <w:iCs/>
        </w:rPr>
        <w:t xml:space="preserve">comentada</w:t>
      </w:r>
      <w:r>
        <w:t xml:space="preserve"> </w:t>
      </w:r>
      <w:r>
        <w:t xml:space="preserve">en</w:t>
      </w:r>
      <w:r>
        <w:t xml:space="preserve"> </w:t>
      </w:r>
      <w:r>
        <w:rPr>
          <w:rStyle w:val="VerbatimChar"/>
        </w:rPr>
        <w:t xml:space="preserve">introduction.tex</w:t>
      </w:r>
      <w:r>
        <w:t xml:space="preserve"> </w:t>
      </w:r>
      <w:r>
        <w:t xml:space="preserve">(líneas 223–276). Necesita slides explícitas.</w:t>
      </w:r>
    </w:p>
    <w:bookmarkStart w:id="32" w:name="X34d53138555c2ff309e3276a8a6205a980b2c0a"/>
    <w:p>
      <w:pPr>
        <w:pStyle w:val="Heading2"/>
      </w:pPr>
      <w:r>
        <w:t xml:space="preserve">SLIDE 9 (propuesta) —</w:t>
      </w:r>
      <w:r>
        <w:t xml:space="preserve"> </w:t>
      </w:r>
      <w:r>
        <w:t xml:space="preserve">“La solución: FGWAS y efectos genéticos directos”</w:t>
      </w:r>
    </w:p>
    <w:p>
      <w:pPr>
        <w:pStyle w:val="FirstParagraph"/>
      </w:pPr>
      <w:r>
        <w:rPr>
          <w:b/>
          <w:bCs/>
        </w:rPr>
        <w:t xml:space="preserve">[Contenido visual sugerido]:</w:t>
      </w:r>
      <w:r>
        <w:t xml:space="preserve"> </w:t>
      </w:r>
      <w:r>
        <w:t xml:space="preserve">Esquema de segregación mendeliana (diagrama de familia con alelos transmitidos vs no transmitidos).</w:t>
      </w:r>
    </w:p>
    <w:p>
      <w:pPr>
        <w:pStyle w:val="BodyText"/>
      </w:pPr>
      <w:r>
        <w:rPr>
          <w:b/>
          <w:bCs/>
        </w:rPr>
        <w:t xml:space="preserve">Guion:</w:t>
      </w:r>
    </w:p>
    <w:p>
      <w:pPr>
        <w:pStyle w:val="BlockText"/>
      </w:pPr>
      <w:r>
        <w:t xml:space="preserve">La solución viene de un principio biológico elegante: la</w:t>
      </w:r>
      <w:r>
        <w:t xml:space="preserve"> </w:t>
      </w:r>
      <w:r>
        <w:rPr>
          <w:b/>
          <w:bCs/>
        </w:rPr>
        <w:t xml:space="preserve">segregación meiótica aleatoria</w:t>
      </w:r>
      <w:r>
        <w:t xml:space="preserve">.</w:t>
      </w:r>
    </w:p>
    <w:p>
      <w:pPr>
        <w:pStyle w:val="BlockText"/>
      </w:pPr>
      <w:r>
        <w:t xml:space="preserve">Cuando comparamos hermanos completos — que comparten el mismo par de padres — las diferencias genéticas entre ellos provienen</w:t>
      </w:r>
      <w:r>
        <w:t xml:space="preserve"> </w:t>
      </w:r>
      <w:r>
        <w:rPr>
          <w:b/>
          <w:bCs/>
        </w:rPr>
        <w:t xml:space="preserve">puramente</w:t>
      </w:r>
      <w:r>
        <w:t xml:space="preserve"> </w:t>
      </w:r>
      <w:r>
        <w:t xml:space="preserve">del azar de la meiosis. El ambiente familiar, la estratificación poblacional, los efectos de</w:t>
      </w:r>
      <w:r>
        <w:t xml:space="preserve"> </w:t>
      </w:r>
      <w:r>
        <w:rPr>
          <w:i/>
          <w:iCs/>
        </w:rPr>
        <w:t xml:space="preserve">genetic nurture</w:t>
      </w:r>
      <w:r>
        <w:t xml:space="preserve"> </w:t>
      </w:r>
      <w:r>
        <w:t xml:space="preserve">y el apareamiento selectivo son</w:t>
      </w:r>
      <w:r>
        <w:t xml:space="preserve"> </w:t>
      </w:r>
      <w:r>
        <w:rPr>
          <w:b/>
          <w:bCs/>
        </w:rPr>
        <w:t xml:space="preserve">exactamente iguales</w:t>
      </w:r>
      <w:r>
        <w:t xml:space="preserve"> </w:t>
      </w:r>
      <w:r>
        <w:t xml:space="preserve">para ambos hermanos.</w:t>
      </w:r>
    </w:p>
    <w:p>
      <w:pPr>
        <w:pStyle w:val="BlockText"/>
      </w:pPr>
      <w:r>
        <w:t xml:space="preserve">Esto significa que un GWAS familiar — o</w:t>
      </w:r>
      <w:r>
        <w:t xml:space="preserve"> </w:t>
      </w:r>
      <w:r>
        <w:rPr>
          <w:i/>
          <w:iCs/>
        </w:rPr>
        <w:t xml:space="preserve">family GWAS</w:t>
      </w:r>
      <w:r>
        <w:t xml:space="preserve">, FGWAS — que compara hermanos o utiliza tríos padres-hijos, puede estimar los</w:t>
      </w:r>
      <w:r>
        <w:t xml:space="preserve"> </w:t>
      </w:r>
      <w:r>
        <w:rPr>
          <w:b/>
          <w:bCs/>
        </w:rPr>
        <w:t xml:space="preserve">efectos genéticos directos</w:t>
      </w:r>
      <w:r>
        <w:t xml:space="preserve"> </w:t>
      </w:r>
      <w:r>
        <w:t xml:space="preserve">sin confusión. Es un diseño cuasi-experimental natural: la aleatorización meiótica funciona como una</w:t>
      </w:r>
      <w:r>
        <w:t xml:space="preserve"> </w:t>
      </w:r>
      <w:r>
        <w:rPr>
          <w:i/>
          <w:iCs/>
        </w:rPr>
        <w:t xml:space="preserve">randomización</w:t>
      </w:r>
      <w:r>
        <w:t xml:space="preserve"> </w:t>
      </w:r>
      <w:r>
        <w:t xml:space="preserve">biológica.</w:t>
      </w:r>
    </w:p>
    <w:p>
      <w:pPr>
        <w:pStyle w:val="BlockText"/>
      </w:pPr>
      <w:r>
        <w:t xml:space="preserve">Esto se formalizó en los trabajos de Young y colaboradores (2022) y Howe y colaboradores (2022) en</w:t>
      </w:r>
      <w:r>
        <w:t xml:space="preserve"> </w:t>
      </w:r>
      <w:r>
        <w:rPr>
          <w:i/>
          <w:iCs/>
        </w:rPr>
        <w:t xml:space="preserve">Nature Genetics</w:t>
      </w:r>
      <w:r>
        <w:t xml:space="preserve">.</w:t>
      </w:r>
    </w:p>
    <w:p>
      <w:pPr>
        <w:pStyle w:val="FirstParagraph"/>
      </w:pPr>
      <w:r>
        <w:t xml:space="preserve">⏱️</w:t>
      </w:r>
      <w:r>
        <w:t xml:space="preserve"> </w:t>
      </w:r>
      <w:r>
        <w:rPr>
          <w:i/>
          <w:iCs/>
        </w:rPr>
        <w:t xml:space="preserve">~1 minuto</w:t>
      </w:r>
    </w:p>
    <w:p>
      <w:r>
        <w:pict>
          <v:rect style="width:0;height:1.5pt" o:hralign="center" o:hrstd="t" o:hr="t"/>
        </w:pict>
      </w:r>
    </w:p>
    <w:bookmarkEnd w:id="32"/>
    <w:bookmarkStart w:id="33" w:name="X4818f9005143c30840c490aaf5345d331cc7029"/>
    <w:p>
      <w:pPr>
        <w:pStyle w:val="Heading2"/>
      </w:pPr>
      <w:r>
        <w:t xml:space="preserve">SLIDE 10 (propuesta) —</w:t>
      </w:r>
      <w:r>
        <w:t xml:space="preserve"> </w:t>
      </w:r>
      <w:r>
        <w:t xml:space="preserve">“Innovaciones metodológicas para MCPS”</w:t>
      </w:r>
    </w:p>
    <w:p>
      <w:pPr>
        <w:pStyle w:val="FirstParagraph"/>
      </w:pPr>
      <w:r>
        <w:rPr>
          <w:b/>
          <w:bCs/>
        </w:rPr>
        <w:t xml:space="preserve">[Contenido visual sugerido]:</w:t>
      </w:r>
      <w:r>
        <w:t xml:space="preserve"> </w:t>
      </w:r>
      <w:r>
        <w:t xml:space="preserve">Figuras de Guan et al. (2025) mostrando el aumento de poder del estimador robusto.</w:t>
      </w:r>
    </w:p>
    <w:p>
      <w:pPr>
        <w:pStyle w:val="BodyText"/>
      </w:pPr>
      <w:r>
        <w:rPr>
          <w:b/>
          <w:bCs/>
        </w:rPr>
        <w:t xml:space="preserve">Guion:</w:t>
      </w:r>
    </w:p>
    <w:p>
      <w:pPr>
        <w:pStyle w:val="BlockText"/>
      </w:pPr>
      <w:r>
        <w:t xml:space="preserve">Ahora, los FGWAS tradicionales tienen un problema práctico: los diseños de comparación entre hermanos (</w:t>
      </w:r>
      <w:r>
        <w:rPr>
          <w:i/>
          <w:iCs/>
        </w:rPr>
        <w:t xml:space="preserve">sib-diff</w:t>
      </w:r>
      <w:r>
        <w:t xml:space="preserve">) pierden hasta el 50% de la varianza, lo que requiere muestras enormes.</w:t>
      </w:r>
    </w:p>
    <w:p>
      <w:pPr>
        <w:pStyle w:val="BlockText"/>
      </w:pPr>
      <w:r>
        <w:t xml:space="preserve">Aquí es donde entra una innovación clave para nuestro proyecto: el</w:t>
      </w:r>
      <w:r>
        <w:t xml:space="preserve"> </w:t>
      </w:r>
      <w:r>
        <w:rPr>
          <w:b/>
          <w:bCs/>
        </w:rPr>
        <w:t xml:space="preserve">estimador robusto</w:t>
      </w:r>
      <w:r>
        <w:t xml:space="preserve"> </w:t>
      </w:r>
      <w:r>
        <w:t xml:space="preserve">de Guan y colaboradores (2025), implementado en el software SNIPAR. Este estimador particiona la varianza usando alelos</w:t>
      </w:r>
      <w:r>
        <w:t xml:space="preserve"> </w:t>
      </w:r>
      <w:r>
        <w:rPr>
          <w:b/>
          <w:bCs/>
        </w:rPr>
        <w:t xml:space="preserve">no transmitidos</w:t>
      </w:r>
      <w:r>
        <w:t xml:space="preserve"> </w:t>
      </w:r>
      <w:r>
        <w:t xml:space="preserve">de los padres, lo cual:</w:t>
      </w:r>
    </w:p>
    <w:p>
      <w:pPr>
        <w:pStyle w:val="Compact"/>
        <w:numPr>
          <w:ilvl w:val="0"/>
          <w:numId w:val="1003"/>
        </w:numPr>
      </w:pPr>
      <w:r>
        <w:t xml:space="preserve">Aumenta el poder estadístico — el</w:t>
      </w:r>
      <w:r>
        <w:t xml:space="preserve"> </w:t>
      </w:r>
      <w:r>
        <w:rPr>
          <w:i/>
          <w:iCs/>
        </w:rPr>
        <w:t xml:space="preserve">N efectivo</w:t>
      </w:r>
      <w:r>
        <w:t xml:space="preserve"> </w:t>
      </w:r>
      <w:r>
        <w:t xml:space="preserve">— entre un 10 y un 21% en UK Biobank…</w:t>
      </w:r>
    </w:p>
    <w:p>
      <w:pPr>
        <w:pStyle w:val="Compact"/>
        <w:numPr>
          <w:ilvl w:val="0"/>
          <w:numId w:val="1003"/>
        </w:numPr>
      </w:pPr>
      <w:r>
        <w:t xml:space="preserve">…pero en MCPS, gracias a la</w:t>
      </w:r>
      <w:r>
        <w:t xml:space="preserve"> </w:t>
      </w:r>
      <w:r>
        <w:rPr>
          <w:b/>
          <w:bCs/>
        </w:rPr>
        <w:t xml:space="preserve">estructura familiar densa</w:t>
      </w:r>
      <w:r>
        <w:t xml:space="preserve"> </w:t>
      </w:r>
      <w:r>
        <w:t xml:space="preserve">de la cohorte — donde el 71% de los participantes tiene al menos un pariente de tercer grado — nosotros observamos un aumento del</w:t>
      </w:r>
      <w:r>
        <w:t xml:space="preserve"> </w:t>
      </w:r>
      <w:r>
        <w:rPr>
          <w:b/>
          <w:bCs/>
        </w:rPr>
        <w:t xml:space="preserve">36.85%</w:t>
      </w:r>
      <w:r>
        <w:t xml:space="preserve"> </w:t>
      </w:r>
      <w:r>
        <w:t xml:space="preserve">en</w:t>
      </w:r>
      <w:r>
        <w:t xml:space="preserve"> </w:t>
      </w:r>
      <w:r>
        <w:rPr>
          <w:i/>
          <w:iCs/>
        </w:rPr>
        <w:t xml:space="preserve">N efectivo</w:t>
      </w:r>
      <w:r>
        <w:t xml:space="preserve">.</w:t>
      </w:r>
    </w:p>
    <w:p>
      <w:pPr>
        <w:pStyle w:val="BlockText"/>
      </w:pPr>
      <w:r>
        <w:t xml:space="preserve">Y lo más importante: este estimador es</w:t>
      </w:r>
      <w:r>
        <w:t xml:space="preserve"> </w:t>
      </w:r>
      <w:r>
        <w:rPr>
          <w:b/>
          <w:bCs/>
        </w:rPr>
        <w:t xml:space="preserve">insesgado incluso bajo admixtura extrema</w:t>
      </w:r>
      <w:r>
        <w:t xml:space="preserve">, con un F</w:t>
      </w:r>
      <w:r>
        <w:rPr>
          <w:vertAlign w:val="subscript"/>
        </w:rPr>
        <w:t xml:space="preserve">ST</w:t>
      </w:r>
      <w:r>
        <w:t xml:space="preserve"> </w:t>
      </w:r>
      <w:r>
        <w:t xml:space="preserve">de hasta 0.1.</w:t>
      </w:r>
      <w:r>
        <w:t xml:space="preserve"> </w:t>
      </w:r>
      <w:r>
        <w:rPr>
          <w:b/>
          <w:bCs/>
        </w:rPr>
        <w:t xml:space="preserve">Ideal para el contexto genético de México.</w:t>
      </w:r>
    </w:p>
    <w:p>
      <w:pPr>
        <w:pStyle w:val="FirstParagraph"/>
      </w:pPr>
      <w:r>
        <w:t xml:space="preserve">⏱️</w:t>
      </w:r>
      <w:r>
        <w:t xml:space="preserve"> </w:t>
      </w:r>
      <w:r>
        <w:rPr>
          <w:i/>
          <w:iCs/>
        </w:rPr>
        <w:t xml:space="preserve">~1 minuto 10 segundos</w:t>
      </w:r>
    </w:p>
    <w:p>
      <w:r>
        <w:pict>
          <v:rect style="width:0;height:1.5pt" o:hralign="center" o:hrstd="t" o:hr="t"/>
        </w:pict>
      </w:r>
    </w:p>
    <w:bookmarkEnd w:id="33"/>
    <w:bookmarkStart w:id="34" w:name="X19e7b3e14f16bcd1ebce2d265a87b665b0aa91b"/>
    <w:p>
      <w:pPr>
        <w:pStyle w:val="Heading2"/>
      </w:pPr>
      <w:r>
        <w:t xml:space="preserve">SLIDE 11 (propuesta) —</w:t>
      </w:r>
      <w:r>
        <w:t xml:space="preserve"> </w:t>
      </w:r>
      <w:r>
        <w:t xml:space="preserve">“Limitaciones: Validez interna vs. Portabilidad”</w:t>
      </w:r>
    </w:p>
    <w:p>
      <w:pPr>
        <w:pStyle w:val="FirstParagraph"/>
      </w:pPr>
      <w:r>
        <w:rPr>
          <w:b/>
          <w:bCs/>
        </w:rPr>
        <w:t xml:space="preserve">Guion:</w:t>
      </w:r>
    </w:p>
    <w:p>
      <w:pPr>
        <w:pStyle w:val="BlockText"/>
      </w:pPr>
      <w:r>
        <w:t xml:space="preserve">Pero debemos ser honestos sobre lo que FGWAS puede y no puede hacer.</w:t>
      </w:r>
    </w:p>
    <w:p>
      <w:pPr>
        <w:pStyle w:val="BlockText"/>
      </w:pPr>
      <w:r>
        <w:rPr>
          <w:b/>
          <w:bCs/>
        </w:rPr>
        <w:t xml:space="preserve">¿Qué sí resuelve?</w:t>
      </w:r>
      <w:r>
        <w:t xml:space="preserve"> </w:t>
      </w:r>
      <w:r>
        <w:t xml:space="preserve">La validez interna. FGWAS garantiza que las asociaciones encontradas son</w:t>
      </w:r>
      <w:r>
        <w:t xml:space="preserve"> </w:t>
      </w:r>
      <w:r>
        <w:rPr>
          <w:b/>
          <w:bCs/>
        </w:rPr>
        <w:t xml:space="preserve">biológicamente causales</w:t>
      </w:r>
      <w:r>
        <w:t xml:space="preserve">, limpias de confusión ambiental y estratificación.</w:t>
      </w:r>
    </w:p>
    <w:p>
      <w:pPr>
        <w:pStyle w:val="BlockText"/>
      </w:pPr>
      <w:r>
        <w:rPr>
          <w:b/>
          <w:bCs/>
        </w:rPr>
        <w:t xml:space="preserve">¿Qué no resuelve?</w:t>
      </w:r>
      <w:r>
        <w:t xml:space="preserve"> </w:t>
      </w:r>
      <w:r>
        <w:t xml:space="preserve">La portabilidad. Los DGEs puros no mejoran automáticamente la transferencia de PRS entre poblaciones. Zhang y colaboradores (2024) demostraron que más del 85% del decaimiento de precisión se debe a diferencias en</w:t>
      </w:r>
      <w:r>
        <w:t xml:space="preserve"> </w:t>
      </w:r>
      <w:r>
        <w:rPr>
          <w:b/>
          <w:bCs/>
        </w:rPr>
        <w:t xml:space="preserve">desequilibrio de ligamiento</w:t>
      </w:r>
      <w:r>
        <w:t xml:space="preserve"> </w:t>
      </w:r>
      <w:r>
        <w:t xml:space="preserve">y</w:t>
      </w:r>
      <w:r>
        <w:t xml:space="preserve"> </w:t>
      </w:r>
      <w:r>
        <w:rPr>
          <w:b/>
          <w:bCs/>
        </w:rPr>
        <w:t xml:space="preserve">frecuencias alélicas</w:t>
      </w:r>
      <w:r>
        <w:t xml:space="preserve">, no solo al sesgo.</w:t>
      </w:r>
    </w:p>
    <w:p>
      <w:pPr>
        <w:pStyle w:val="BlockText"/>
      </w:pPr>
      <w:r>
        <w:rPr>
          <w:b/>
          <w:bCs/>
        </w:rPr>
        <w:t xml:space="preserve">¿Y entonces?</w:t>
      </w:r>
      <w:r>
        <w:t xml:space="preserve"> </w:t>
      </w:r>
      <w:r>
        <w:t xml:space="preserve">La conclusión es directa: FGWAS nos dice</w:t>
      </w:r>
      <w:r>
        <w:t xml:space="preserve"> </w:t>
      </w:r>
      <w:r>
        <w:rPr>
          <w:i/>
          <w:iCs/>
        </w:rPr>
        <w:t xml:space="preserve">qué</w:t>
      </w:r>
      <w:r>
        <w:t xml:space="preserve"> </w:t>
      </w:r>
      <w:r>
        <w:t xml:space="preserve">biología es causal, pero para predecir en mexicanos,</w:t>
      </w:r>
      <w:r>
        <w:t xml:space="preserve"> </w:t>
      </w:r>
      <w:r>
        <w:rPr>
          <w:b/>
          <w:bCs/>
        </w:rPr>
        <w:t xml:space="preserve">necesitamos hacer FGWAS directamente en mexicanos</w:t>
      </w:r>
      <w:r>
        <w:t xml:space="preserve">.</w:t>
      </w:r>
    </w:p>
    <w:p>
      <w:pPr>
        <w:pStyle w:val="BlockText"/>
      </w:pPr>
      <w:r>
        <w:t xml:space="preserve">Y es exactamente lo que proponemos hacer.</w:t>
      </w:r>
    </w:p>
    <w:p>
      <w:pPr>
        <w:pStyle w:val="FirstParagraph"/>
      </w:pPr>
      <w:r>
        <w:t xml:space="preserve">⏱️</w:t>
      </w:r>
      <w:r>
        <w:t xml:space="preserve"> </w:t>
      </w:r>
      <w:r>
        <w:rPr>
          <w:i/>
          <w:iCs/>
        </w:rPr>
        <w:t xml:space="preserve">~1 minuto</w:t>
      </w:r>
    </w:p>
    <w:p>
      <w:r>
        <w:pict>
          <v:rect style="width:0;height:1.5pt" o:hralign="center" o:hrstd="t" o:hr="t"/>
        </w:pict>
      </w:r>
    </w:p>
    <w:bookmarkEnd w:id="34"/>
    <w:bookmarkStart w:id="35" w:name="slide-12-propuesta-en-resumen"/>
    <w:p>
      <w:pPr>
        <w:pStyle w:val="Heading2"/>
      </w:pPr>
      <w:r>
        <w:t xml:space="preserve">SLIDE 12 (propuesta) —</w:t>
      </w:r>
      <w:r>
        <w:t xml:space="preserve"> </w:t>
      </w:r>
      <w:r>
        <w:t xml:space="preserve">“En resumen…”</w:t>
      </w:r>
    </w:p>
    <w:p>
      <w:pPr>
        <w:pStyle w:val="FirstParagraph"/>
      </w:pPr>
      <w:r>
        <w:rPr>
          <w:b/>
          <w:bCs/>
        </w:rPr>
        <w:t xml:space="preserve">[Contenido visual sugerido]:</w:t>
      </w:r>
      <w:r>
        <w:t xml:space="preserve"> </w:t>
      </w:r>
      <w:r>
        <w:t xml:space="preserve">Tres cajas apiladas con el argumento central (ya existe borrador TikZ en</w:t>
      </w:r>
      <w:r>
        <w:t xml:space="preserve"> </w:t>
      </w:r>
      <w:r>
        <w:rPr>
          <w:rStyle w:val="VerbatimChar"/>
        </w:rPr>
        <w:t xml:space="preserve">introduction.tex</w:t>
      </w:r>
      <w:r>
        <w:t xml:space="preserve">, líneas 282–294).</w:t>
      </w:r>
    </w:p>
    <w:p>
      <w:pPr>
        <w:pStyle w:val="BodyText"/>
      </w:pPr>
      <w:r>
        <w:rPr>
          <w:b/>
          <w:bCs/>
        </w:rPr>
        <w:t xml:space="preserve">Guion:</w:t>
      </w:r>
    </w:p>
    <w:p>
      <w:pPr>
        <w:pStyle w:val="BlockText"/>
      </w:pPr>
      <w:r>
        <w:t xml:space="preserve">Permítanme resumir el argumento antes de pasar a los métodos:</w:t>
      </w:r>
    </w:p>
    <w:p>
      <w:pPr>
        <w:pStyle w:val="BlockText"/>
      </w:pPr>
      <w:r>
        <w:rPr>
          <w:b/>
          <w:bCs/>
        </w:rPr>
        <w:t xml:space="preserve">Uno.</w:t>
      </w:r>
      <w:r>
        <w:t xml:space="preserve"> </w:t>
      </w:r>
      <w:r>
        <w:t xml:space="preserve">México tiene</w:t>
      </w:r>
      <w:r>
        <w:t xml:space="preserve"> </w:t>
      </w:r>
      <w:r>
        <w:rPr>
          <w:b/>
          <w:bCs/>
        </w:rPr>
        <w:t xml:space="preserve">140,000 genomas familiares</w:t>
      </w:r>
      <w:r>
        <w:t xml:space="preserve"> </w:t>
      </w:r>
      <w:r>
        <w:t xml:space="preserve">en el estudio MCPS — una de las cohortes familiares más grandes del mundo.</w:t>
      </w:r>
    </w:p>
    <w:p>
      <w:pPr>
        <w:pStyle w:val="BlockText"/>
      </w:pPr>
      <w:r>
        <w:rPr>
          <w:b/>
          <w:bCs/>
        </w:rPr>
        <w:t xml:space="preserve">Dos.</w:t>
      </w:r>
      <w:r>
        <w:t xml:space="preserve"> </w:t>
      </w:r>
      <w:r>
        <w:t xml:space="preserve">Tenemos el</w:t>
      </w:r>
      <w:r>
        <w:t xml:space="preserve"> </w:t>
      </w:r>
      <w:r>
        <w:rPr>
          <w:b/>
          <w:bCs/>
        </w:rPr>
        <w:t xml:space="preserve">estimador robusto</w:t>
      </w:r>
      <w:r>
        <w:t xml:space="preserve"> </w:t>
      </w:r>
      <w:r>
        <w:t xml:space="preserve">para GWAS familiares que maximiza el poder estadístico y es insesgado bajo admixtura.</w:t>
      </w:r>
    </w:p>
    <w:p>
      <w:pPr>
        <w:pStyle w:val="BlockText"/>
      </w:pPr>
      <w:r>
        <w:rPr>
          <w:b/>
          <w:bCs/>
        </w:rPr>
        <w:t xml:space="preserve">Tres.</w:t>
      </w:r>
      <w:r>
        <w:t xml:space="preserve"> </w:t>
      </w:r>
      <w:r>
        <w:t xml:space="preserve">Con estos ingredientes, podemos construir el</w:t>
      </w:r>
      <w:r>
        <w:t xml:space="preserve"> </w:t>
      </w:r>
      <w:r>
        <w:rPr>
          <w:b/>
          <w:bCs/>
        </w:rPr>
        <w:t xml:space="preserve">primer atlas genómico libre de confusión</w:t>
      </w:r>
      <w:r>
        <w:t xml:space="preserve"> </w:t>
      </w:r>
      <w:r>
        <w:t xml:space="preserve">para rasgos complejos y enfermedades en mexicanos.</w:t>
      </w:r>
    </w:p>
    <w:p>
      <w:pPr>
        <w:pStyle w:val="BlockText"/>
      </w:pPr>
      <w:r>
        <w:t xml:space="preserve">Eso es lo que propone esta tesis doctoral.</w:t>
      </w:r>
    </w:p>
    <w:p>
      <w:pPr>
        <w:pStyle w:val="FirstParagraph"/>
      </w:pPr>
      <w:r>
        <w:t xml:space="preserve">⏱️</w:t>
      </w:r>
      <w:r>
        <w:t xml:space="preserve"> </w:t>
      </w:r>
      <w:r>
        <w:rPr>
          <w:i/>
          <w:iCs/>
        </w:rPr>
        <w:t xml:space="preserve">~45 segundos</w:t>
      </w:r>
    </w:p>
    <w:p>
      <w:r>
        <w:pict>
          <v:rect style="width:0;height:1.5pt" o:hralign="center" o:hrstd="t" o:hr="t"/>
        </w:pict>
      </w:r>
    </w:p>
    <w:bookmarkEnd w:id="35"/>
    <w:bookmarkEnd w:id="36"/>
    <w:bookmarkStart w:id="39" w:name="sección-4-métodos"/>
    <w:p>
      <w:pPr>
        <w:pStyle w:val="Heading1"/>
      </w:pPr>
      <w:r>
        <w:t xml:space="preserve">SECCIÓN 4 — MÉTODOS</w:t>
      </w:r>
    </w:p>
    <w:bookmarkStart w:id="37" w:name="slide-13-metodología-resumen-visual"/>
    <w:p>
      <w:pPr>
        <w:pStyle w:val="Heading2"/>
      </w:pPr>
      <w:r>
        <w:t xml:space="preserve">SLIDE 13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4"/>
        </w:numPr>
      </w:pPr>
      <w:r>
        <w:t xml:space="preserve">Partimos de los datos genotípicos del MCPS — aproximadamente 138,500 individuos genotipados con el chip Illumina GSAv2, imputados al panel de referencia TOPMed.</w:t>
      </w:r>
    </w:p>
    <w:p>
      <w:pPr>
        <w:pStyle w:val="Compact"/>
        <w:numPr>
          <w:ilvl w:val="0"/>
          <w:numId w:val="1004"/>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4"/>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4"/>
        </w:numPr>
      </w:pPr>
      <w:r>
        <w:t xml:space="preserve">Corremos dos análisis en paralelo:</w:t>
      </w:r>
      <w:r>
        <w:t xml:space="preserve"> </w:t>
      </w:r>
      <w:r>
        <w:rPr>
          <w:b/>
          <w:bCs/>
        </w:rPr>
        <w:t xml:space="preserve">GWAS poblacional</w:t>
      </w:r>
      <w:r>
        <w:t xml:space="preserve"> </w:t>
      </w:r>
      <w:r>
        <w:t xml:space="preserve">con REGENIE en los ~29,000 individuos no emparentados, y</w:t>
      </w:r>
      <w:r>
        <w:t xml:space="preserve"> </w:t>
      </w:r>
      <w:r>
        <w:rPr>
          <w:b/>
          <w:bCs/>
        </w:rPr>
        <w:t xml:space="preserve">FGWAS</w:t>
      </w:r>
      <w:r>
        <w:t xml:space="preserve"> </w:t>
      </w:r>
      <w:r>
        <w:t xml:space="preserve">con SNIPAR usando los ~100,000 individuos en redes familiares.</w:t>
      </w:r>
    </w:p>
    <w:p>
      <w:pPr>
        <w:pStyle w:val="Compact"/>
        <w:numPr>
          <w:ilvl w:val="0"/>
          <w:numId w:val="1004"/>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37"/>
    <w:bookmarkStart w:id="38" w:name="X68e3f5cc0368499bc9d67ff6030e6365e6b1082"/>
    <w:p>
      <w:pPr>
        <w:pStyle w:val="Heading2"/>
      </w:pPr>
      <w:r>
        <w:t xml:space="preserve">SLIDE 14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w:t>
      </w:r>
      <w:r>
        <w:t xml:space="preserve"> </w:t>
      </w:r>
      <w:r>
        <w:t xml:space="preserve">a lo largo de cuatro semestres.</w:t>
      </w:r>
    </w:p>
    <w:p>
      <w:pPr>
        <w:pStyle w:val="BlockText"/>
      </w:pPr>
      <w:r>
        <w:t xml:space="preserve">En el</w:t>
      </w:r>
      <w:r>
        <w:t xml:space="preserve"> </w:t>
      </w:r>
      <w:r>
        <w:rPr>
          <w:b/>
          <w:bCs/>
        </w:rPr>
        <w:t xml:space="preserve">Semestre 1</w:t>
      </w:r>
      <w:r>
        <w:t xml:space="preserve"> </w:t>
      </w:r>
      <w:r>
        <w:t xml:space="preserve">— que ya se completó — trabajamos con el chip GSAv2 no imputado, solo el cromosoma 22, y tres rasgos piloto: estatura, IMC y logro educativo. Esto sirvió para validar el pipeline FGWAS con datos de pares de hermanos y tríos.</w:t>
      </w:r>
    </w:p>
    <w:p>
      <w:pPr>
        <w:pStyle w:val="BlockText"/>
      </w:pPr>
      <w:r>
        <w:t xml:space="preserve">En el</w:t>
      </w:r>
      <w:r>
        <w:t xml:space="preserve"> </w:t>
      </w:r>
      <w:r>
        <w:rPr>
          <w:b/>
          <w:bCs/>
        </w:rPr>
        <w:t xml:space="preserve">Semestre 2</w:t>
      </w:r>
      <w:r>
        <w:t xml:space="preserve"> </w:t>
      </w:r>
      <w:r>
        <w:t xml:space="preserve">— también completado — escalamos a datos imputados con TOPMed, los 22 autosomas, y 13 rasgos. Aquí es donde establecimos la inferencia de IBD y la imputación mendeliana a escala genómica.</w:t>
      </w:r>
    </w:p>
    <w:p>
      <w:pPr>
        <w:pStyle w:val="BlockText"/>
      </w:pPr>
      <w:r>
        <w:t xml:space="preserve">En el</w:t>
      </w:r>
      <w:r>
        <w:t xml:space="preserve"> </w:t>
      </w:r>
      <w:r>
        <w:rPr>
          <w:b/>
          <w:bCs/>
        </w:rPr>
        <w:t xml:space="preserve">Semestre 3</w:t>
      </w:r>
      <w:r>
        <w:t xml:space="preserve"> </w:t>
      </w:r>
      <w:r>
        <w:t xml:space="preserve">— actualmente en curso — incorporamos el GWAS poblacional con REGENIE, 17 rasgos, e implementamos el estimador robusto de Guan et al.</w:t>
      </w:r>
    </w:p>
    <w:p>
      <w:pPr>
        <w:pStyle w:val="BlockText"/>
      </w:pPr>
      <w:r>
        <w:t xml:space="preserve">Y en el</w:t>
      </w:r>
      <w:r>
        <w:t xml:space="preserve"> </w:t>
      </w:r>
      <w:r>
        <w:rPr>
          <w:b/>
          <w:bCs/>
        </w:rPr>
        <w:t xml:space="preserve">Semestre 4</w:t>
      </w:r>
      <w:r>
        <w:t xml:space="preserve"> </w:t>
      </w:r>
      <w:r>
        <w:t xml:space="preserve">completaremos el atlas con 28 rasgos,</w:t>
      </w:r>
      <w:r>
        <w:t xml:space="preserve"> </w:t>
      </w:r>
      <w:r>
        <w:rPr>
          <w:i/>
          <w:iCs/>
        </w:rPr>
        <w:t xml:space="preserve">fine-mapping</w:t>
      </w:r>
      <w:r>
        <w:t xml:space="preserve"> </w:t>
      </w:r>
      <w:r>
        <w:t xml:space="preserve">funcional, y el análisis completo de correlaciones genéticas y heredabilidad.</w:t>
      </w:r>
    </w:p>
    <w:p>
      <w:pPr>
        <w:pStyle w:val="BlockText"/>
      </w:pPr>
      <w:r>
        <w:t xml:space="preserve">Cada semestre construye sobre el anterior, permitiendo validación progresiva antes de escalar.</w:t>
      </w:r>
    </w:p>
    <w:p>
      <w:pPr>
        <w:pStyle w:val="FirstParagraph"/>
      </w:pPr>
      <w:r>
        <w:t xml:space="preserve">⏱️</w:t>
      </w:r>
      <w:r>
        <w:t xml:space="preserve"> </w:t>
      </w:r>
      <w:r>
        <w:rPr>
          <w:i/>
          <w:iCs/>
        </w:rPr>
        <w:t xml:space="preserve">~1 minuto 15 segundos</w:t>
      </w:r>
    </w:p>
    <w:p>
      <w:r>
        <w:pict>
          <v:rect style="width:0;height:1.5pt" o:hralign="center" o:hrstd="t" o:hr="t"/>
        </w:pict>
      </w:r>
    </w:p>
    <w:bookmarkEnd w:id="38"/>
    <w:bookmarkEnd w:id="39"/>
    <w:bookmarkStart w:id="44" w:name="sección-5-resultados"/>
    <w:p>
      <w:pPr>
        <w:pStyle w:val="Heading1"/>
      </w:pPr>
      <w:r>
        <w:t xml:space="preserve">SECCIÓN 5 — RESULTADOS</w:t>
      </w:r>
    </w:p>
    <w:p>
      <w:pPr>
        <w:pStyle w:val="FirstParagraph"/>
      </w:pPr>
      <w:r>
        <w:rPr>
          <w:b/>
          <w:bCs/>
        </w:rPr>
        <w:t xml:space="preserve">[Estado]:</w:t>
      </w:r>
      <w:r>
        <w:t xml:space="preserve"> </w:t>
      </w:r>
      <w:r>
        <w:t xml:space="preserve">No hay slides activas de resultados en la presentación actual. A continuación se propone el contenido basado en los reportes de resultados 2027-01.</w:t>
      </w:r>
    </w:p>
    <w:bookmarkStart w:id="40" w:name="X3528b78ba927bf30302d2e98d1263ba39326ab3"/>
    <w:p>
      <w:pPr>
        <w:pStyle w:val="Heading2"/>
      </w:pPr>
      <w:r>
        <w:t xml:space="preserve">SLIDE 15 (propuesta) —</w:t>
      </w:r>
      <w:r>
        <w:t xml:space="preserve"> </w:t>
      </w:r>
      <w:r>
        <w:t xml:space="preserve">“El estimador robusto aumenta el poder estadístico en un 37%”</w:t>
      </w:r>
    </w:p>
    <w:p>
      <w:pPr>
        <w:pStyle w:val="FirstParagraph"/>
      </w:pPr>
      <w:r>
        <w:rPr>
          <w:b/>
          <w:bCs/>
        </w:rPr>
        <w:t xml:space="preserve">[Contenido visual sugerido]:</w:t>
      </w:r>
      <w:r>
        <w:t xml:space="preserve"> </w:t>
      </w:r>
      <w:r>
        <w:t xml:space="preserve">Boxplot de N</w:t>
      </w:r>
      <w:r>
        <w:rPr>
          <w:vertAlign w:val="subscript"/>
        </w:rPr>
        <w:t xml:space="preserve">eff</w:t>
      </w:r>
      <w:r>
        <w:t xml:space="preserve"> </w:t>
      </w:r>
      <w:r>
        <w:t xml:space="preserve">comparando estimador robusto vs sib-pair/trios (ya generados en semestre 2026-02).</w:t>
      </w:r>
    </w:p>
    <w:p>
      <w:pPr>
        <w:pStyle w:val="BodyText"/>
      </w:pPr>
      <w:r>
        <w:rPr>
          <w:b/>
          <w:bCs/>
        </w:rPr>
        <w:t xml:space="preserve">Guion:</w:t>
      </w:r>
    </w:p>
    <w:p>
      <w:pPr>
        <w:pStyle w:val="BlockText"/>
      </w:pPr>
      <w:r>
        <w:t xml:space="preserve">Nuestro primer resultado clave: el estimador robusto de SNIPAR logra un aumento promedio del</w:t>
      </w:r>
      <w:r>
        <w:t xml:space="preserve"> </w:t>
      </w:r>
      <w:r>
        <w:rPr>
          <w:b/>
          <w:bCs/>
        </w:rPr>
        <w:t xml:space="preserve">36.85% ± 6.78%</w:t>
      </w:r>
      <w:r>
        <w:t xml:space="preserve"> </w:t>
      </w:r>
      <w:r>
        <w:t xml:space="preserve">en el tamaño efectivo de muestra (</w:t>
      </w:r>
      <w:r>
        <w:rPr>
          <w:i/>
          <w:iCs/>
        </w:rPr>
        <w:t xml:space="preserve">N</w:t>
      </w:r>
      <w:r>
        <w:rPr>
          <w:i/>
          <w:iCs/>
          <w:vertAlign w:val="subscript"/>
        </w:rPr>
        <w:t xml:space="preserve">eff</w:t>
      </w:r>
      <w:r>
        <w:t xml:space="preserve">) comparado con el meta-análisis clásico de pares de hermanos y tríos.</w:t>
      </w:r>
    </w:p>
    <w:p>
      <w:pPr>
        <w:pStyle w:val="BlockText"/>
      </w:pPr>
      <w:r>
        <w:t xml:space="preserve">Este aumento oscila entre un 21.6% y un 47.8% dependiendo del rasgo. Para contexto, en UK Biobank el aumento reportado fue de 10–21%.</w:t>
      </w:r>
    </w:p>
    <w:p>
      <w:pPr>
        <w:pStyle w:val="BlockText"/>
      </w:pPr>
      <w:r>
        <w:t xml:space="preserve">¿Por qué es mayor en MCPS? Porque la cohorte fue reclutada por colonia — barrio por barrio — lo que capturó una</w:t>
      </w:r>
      <w:r>
        <w:t xml:space="preserve"> </w:t>
      </w:r>
      <w:r>
        <w:rPr>
          <w:b/>
          <w:bCs/>
        </w:rPr>
        <w:t xml:space="preserve">estructura familiar inusualmente densa</w:t>
      </w:r>
      <w:r>
        <w:t xml:space="preserve">. El 71% de los participantes tiene al menos un pariente de tercer grado en la cohorte. Esto le da al estimador robusto más información familiar para explotar.</w:t>
      </w:r>
    </w:p>
    <w:p>
      <w:pPr>
        <w:pStyle w:val="FirstParagraph"/>
      </w:pPr>
      <w:r>
        <w:t xml:space="preserve">⏱️</w:t>
      </w:r>
      <w:r>
        <w:t xml:space="preserve"> </w:t>
      </w:r>
      <w:r>
        <w:rPr>
          <w:i/>
          <w:iCs/>
        </w:rPr>
        <w:t xml:space="preserve">~1 minuto</w:t>
      </w:r>
    </w:p>
    <w:p>
      <w:r>
        <w:pict>
          <v:rect style="width:0;height:1.5pt" o:hralign="center" o:hrstd="t" o:hr="t"/>
        </w:pict>
      </w:r>
    </w:p>
    <w:bookmarkEnd w:id="40"/>
    <w:bookmarkStart w:id="41" w:name="Xde2c8cab73db28ad37e8074be610fd09b124920"/>
    <w:p>
      <w:pPr>
        <w:pStyle w:val="Heading2"/>
      </w:pPr>
      <w:r>
        <w:t xml:space="preserve">SLIDE 16 (propuesta) —</w:t>
      </w:r>
      <w:r>
        <w:t xml:space="preserve"> </w:t>
      </w:r>
      <w:r>
        <w:t xml:space="preserve">“Espectro de heredabilidad: directa vs poblacional en 15 rasgos”</w:t>
      </w:r>
    </w:p>
    <w:p>
      <w:pPr>
        <w:pStyle w:val="FirstParagraph"/>
      </w:pPr>
      <w:r>
        <w:rPr>
          <w:b/>
          <w:bCs/>
        </w:rPr>
        <w:t xml:space="preserve">[Contenido visual sugerido]:</w:t>
      </w:r>
      <w:r>
        <w:t xml:space="preserve"> </w:t>
      </w:r>
      <w:r>
        <w:rPr>
          <w:i/>
          <w:iCs/>
        </w:rPr>
        <w:t xml:space="preserve">Dumbbell plot</w:t>
      </w:r>
      <w:r>
        <w:t xml:space="preserve"> </w:t>
      </w:r>
      <w:r>
        <w:t xml:space="preserve">+</w:t>
      </w:r>
      <w:r>
        <w:t xml:space="preserve"> </w:t>
      </w:r>
      <w:r>
        <w:rPr>
          <w:i/>
          <w:iCs/>
        </w:rPr>
        <w:t xml:space="preserve">forest plot</w:t>
      </w:r>
      <w:r>
        <w:t xml:space="preserve"> </w:t>
      </w:r>
      <w:r>
        <w:t xml:space="preserve">mostrando h²</w:t>
      </w:r>
      <w:r>
        <w:rPr>
          <w:vertAlign w:val="subscript"/>
        </w:rPr>
        <w:t xml:space="preserve">direct</w:t>
      </w:r>
      <w:r>
        <w:t xml:space="preserve"> </w:t>
      </w:r>
      <w:r>
        <w:t xml:space="preserve">vs h²</w:t>
      </w:r>
      <w:r>
        <w:rPr>
          <w:vertAlign w:val="subscript"/>
        </w:rPr>
        <w:t xml:space="preserve">pop</w:t>
      </w:r>
      <w:r>
        <w:t xml:space="preserve"> </w:t>
      </w:r>
      <w:r>
        <w:t xml:space="preserve">para los 15 rasgos.</w:t>
      </w:r>
    </w:p>
    <w:p>
      <w:pPr>
        <w:pStyle w:val="BodyText"/>
      </w:pPr>
      <w:r>
        <w:rPr>
          <w:b/>
          <w:bCs/>
        </w:rPr>
        <w:t xml:space="preserve">Guion:</w:t>
      </w:r>
    </w:p>
    <w:p>
      <w:pPr>
        <w:pStyle w:val="BlockText"/>
      </w:pPr>
      <w:r>
        <w:t xml:space="preserve">Aquí está el resultado central del proyecto hasta ahora: la comparación de heredabilidad directa — estimada por FGWAS — contra heredabilidad poblacional — estimada por GWAS estándar — para 15 rasgos complejos.</w:t>
      </w:r>
    </w:p>
    <w:p>
      <w:pPr>
        <w:pStyle w:val="BlockText"/>
      </w:pPr>
      <w:r>
        <w:t xml:space="preserve">Los resultados se organizan en cuatro categorías:</w:t>
      </w:r>
    </w:p>
    <w:p>
      <w:pPr>
        <w:pStyle w:val="BlockText"/>
      </w:pPr>
      <w:r>
        <w:rPr>
          <w:b/>
          <w:bCs/>
        </w:rPr>
        <w:t xml:space="preserve">Primero, rasgos socialmente mediados con atenuación fuerte.</w:t>
      </w:r>
      <w:r>
        <w:t xml:space="preserve"> </w:t>
      </w:r>
      <w:r>
        <w:t xml:space="preserve">El logro educativo muestra una atenuación del</w:t>
      </w:r>
      <w:r>
        <w:t xml:space="preserve"> </w:t>
      </w:r>
      <w:r>
        <w:rPr>
          <w:b/>
          <w:bCs/>
        </w:rPr>
        <w:t xml:space="preserve">85%</w:t>
      </w:r>
      <w:r>
        <w:t xml:space="preserve"> </w:t>
      </w:r>
      <w:r>
        <w:t xml:space="preserve">— su heredabilidad directa es apenas el 15% de la poblacional. Esto indica que la mayor parte de la señal genómica para educación en un GWAS estándar proviene de</w:t>
      </w:r>
      <w:r>
        <w:t xml:space="preserve"> </w:t>
      </w:r>
      <w:r>
        <w:rPr>
          <w:i/>
          <w:iCs/>
        </w:rPr>
        <w:t xml:space="preserve">genetic nurture</w:t>
      </w:r>
      <w:r>
        <w:t xml:space="preserve"> </w:t>
      </w:r>
      <w:r>
        <w:t xml:space="preserve">y apareamiento selectivo, no de efectos biológicos directos. La estatura muestra un 32% de atenuación, consistente con apareamiento selectivo.</w:t>
      </w:r>
    </w:p>
    <w:p>
      <w:pPr>
        <w:pStyle w:val="BlockText"/>
      </w:pPr>
      <w:r>
        <w:rPr>
          <w:b/>
          <w:bCs/>
        </w:rPr>
        <w:t xml:space="preserve">Segundo, rasgos biológicos con atenuación mínima.</w:t>
      </w:r>
      <w:r>
        <w:t xml:space="preserve"> </w:t>
      </w:r>
      <w:r>
        <w:t xml:space="preserve">IMC, presión arterial, y los biomarcadores lipídicos muestran ratios cercanos a 1.0. Esto es una</w:t>
      </w:r>
      <w:r>
        <w:t xml:space="preserve"> </w:t>
      </w:r>
      <w:r>
        <w:rPr>
          <w:b/>
          <w:bCs/>
        </w:rPr>
        <w:t xml:space="preserve">buena noticia</w:t>
      </w:r>
      <w:r>
        <w:t xml:space="preserve">: significa que los GWAS estándar para estos rasgos capturan efectos genuinamente directos, y que los instrumentos de aleatorización mendeliana para estas exposiciones son probablemente válidos.</w:t>
      </w:r>
    </w:p>
    <w:p>
      <w:pPr>
        <w:pStyle w:val="BlockText"/>
      </w:pPr>
      <w:r>
        <w:rPr>
          <w:b/>
          <w:bCs/>
        </w:rPr>
        <w:t xml:space="preserve">Tercero, y lo más interesante: las reversiones.</w:t>
      </w:r>
      <w:r>
        <w:t xml:space="preserve"> </w:t>
      </w:r>
      <w:r>
        <w:t xml:space="preserve">La diabetes tipo 2 y el colesterol HDL muestran heredabilidad directa</w:t>
      </w:r>
      <w:r>
        <w:t xml:space="preserve"> </w:t>
      </w:r>
      <w:r>
        <w:rPr>
          <w:b/>
          <w:bCs/>
        </w:rPr>
        <w:t xml:space="preserve">mayor</w:t>
      </w:r>
      <w:r>
        <w:t xml:space="preserve"> </w:t>
      </w:r>
      <w:r>
        <w:t xml:space="preserve">que la poblacional — un +38% y +63% respectivamente.</w:t>
      </w:r>
    </w:p>
    <w:p>
      <w:pPr>
        <w:pStyle w:val="BlockText"/>
      </w:pPr>
      <w:r>
        <w:rPr>
          <w:b/>
          <w:bCs/>
        </w:rPr>
        <w:t xml:space="preserve">Y cuarto,</w:t>
      </w:r>
      <w:r>
        <w:t xml:space="preserve"> </w:t>
      </w:r>
      <w:r>
        <w:t xml:space="preserve">los rasgos conductuales — tabaquismo y alcohol — que tienen heredabilidad cercana a cero con errores estándar grandes, reflejando limitaciones de medición.</w:t>
      </w:r>
    </w:p>
    <w:p>
      <w:pPr>
        <w:pStyle w:val="FirstParagraph"/>
      </w:pPr>
      <w:r>
        <w:t xml:space="preserve">⏱️</w:t>
      </w:r>
      <w:r>
        <w:t xml:space="preserve"> </w:t>
      </w:r>
      <w:r>
        <w:rPr>
          <w:i/>
          <w:iCs/>
        </w:rPr>
        <w:t xml:space="preserve">~2 minutos</w:t>
      </w:r>
    </w:p>
    <w:p>
      <w:r>
        <w:pict>
          <v:rect style="width:0;height:1.5pt" o:hralign="center" o:hrstd="t" o:hr="t"/>
        </w:pict>
      </w:r>
    </w:p>
    <w:bookmarkEnd w:id="41"/>
    <w:bookmarkStart w:id="42" w:name="Xb6e601ec49ff170f53d3f336c4df1abfea58c12"/>
    <w:p>
      <w:pPr>
        <w:pStyle w:val="Heading2"/>
      </w:pPr>
      <w:r>
        <w:t xml:space="preserve">SLIDE 17 (propuesta) —</w:t>
      </w:r>
      <w:r>
        <w:t xml:space="preserve"> </w:t>
      </w:r>
      <w:r>
        <w:t xml:space="preserve">“La reversión de la diabetes: ¿por qué h²</w:t>
      </w:r>
      <w:r>
        <w:rPr>
          <w:vertAlign w:val="subscript"/>
        </w:rPr>
        <w:t xml:space="preserve">direct</w:t>
      </w:r>
      <w:r>
        <w:t xml:space="preserve"> </w:t>
      </w:r>
      <w:r>
        <w:t xml:space="preserve">&gt; h²</w:t>
      </w:r>
      <w:r>
        <w:rPr>
          <w:vertAlign w:val="subscript"/>
        </w:rPr>
        <w:t xml:space="preserve">pop</w:t>
      </w:r>
      <w:r>
        <w:t xml:space="preserve">?”</w:t>
      </w:r>
    </w:p>
    <w:p>
      <w:pPr>
        <w:pStyle w:val="FirstParagraph"/>
      </w:pPr>
      <w:r>
        <w:rPr>
          <w:b/>
          <w:bCs/>
        </w:rPr>
        <w:t xml:space="preserve">[Contenido visual sugerido]:</w:t>
      </w:r>
      <w:r>
        <w:t xml:space="preserve"> </w:t>
      </w:r>
      <w:r>
        <w:t xml:space="preserve">Diagrama explicativo con los 3 mecanismos (estratificación, sesgo de supervivencia, correlación ancestría-fenotipo).</w:t>
      </w:r>
    </w:p>
    <w:p>
      <w:pPr>
        <w:pStyle w:val="BodyText"/>
      </w:pPr>
      <w:r>
        <w:rPr>
          <w:b/>
          <w:bCs/>
        </w:rPr>
        <w:t xml:space="preserve">Guion:</w:t>
      </w:r>
    </w:p>
    <w:p>
      <w:pPr>
        <w:pStyle w:val="BlockText"/>
      </w:pPr>
      <w:r>
        <w:t xml:space="preserve">La observación de que la heredabilidad directa de la diabetes sea mayor que la poblacional es inusual y requiere interpretación cuidadosa. Identificamos tres mecanismos que contribuyen:</w:t>
      </w:r>
    </w:p>
    <w:p>
      <w:pPr>
        <w:pStyle w:val="BlockText"/>
      </w:pPr>
      <w:r>
        <w:rPr>
          <w:b/>
          <w:bCs/>
        </w:rPr>
        <w:t xml:space="preserve">Primero, la estratificación poblacional en una cohorte admixta.</w:t>
      </w:r>
      <w:r>
        <w:t xml:space="preserve"> </w:t>
      </w:r>
      <w:r>
        <w:t xml:space="preserve">Torres y colaboradores (2026) demostraron que la arquitectura genética de la diabetes en México está moldeada por la ancestría indígena americana. 12 de 15 variantes de riesgo novedosas están enriquecidas en fondos ancestrales indígenas. El ajuste estándar por componentes principales</w:t>
      </w:r>
      <w:r>
        <w:t xml:space="preserve"> </w:t>
      </w:r>
      <w:r>
        <w:rPr>
          <w:b/>
          <w:bCs/>
        </w:rPr>
        <w:t xml:space="preserve">sobrecorrige</w:t>
      </w:r>
      <w:r>
        <w:t xml:space="preserve"> </w:t>
      </w:r>
      <w:r>
        <w:t xml:space="preserve">la señal biológica real de la ancestría indígena sobre la diabetes, deflactando la heredabilidad poblacional.</w:t>
      </w:r>
    </w:p>
    <w:p>
      <w:pPr>
        <w:pStyle w:val="BlockText"/>
      </w:pPr>
      <w:r>
        <w:rPr>
          <w:b/>
          <w:bCs/>
        </w:rPr>
        <w:t xml:space="preserve">Segundo, un sesgo de supervivencia.</w:t>
      </w:r>
      <w:r>
        <w:t xml:space="preserve"> </w:t>
      </w:r>
      <w:r>
        <w:t xml:space="preserve">La muestra familiar es 1.7 años mayor en promedio. Como la diabetes duplica la mortalidad antes de los 60 años en México, los participantes mayores son</w:t>
      </w:r>
      <w:r>
        <w:t xml:space="preserve"> </w:t>
      </w:r>
      <w:r>
        <w:rPr>
          <w:i/>
          <w:iCs/>
        </w:rPr>
        <w:t xml:space="preserve">sobrevivientes</w:t>
      </w:r>
      <w:r>
        <w:t xml:space="preserve"> </w:t>
      </w:r>
      <w:r>
        <w:t xml:space="preserve">— empobrecidos en variantes de alto riesgo. Y aun así, la heredabilidad directa es mayor, lo cual</w:t>
      </w:r>
      <w:r>
        <w:t xml:space="preserve"> </w:t>
      </w:r>
      <w:r>
        <w:rPr>
          <w:b/>
          <w:bCs/>
        </w:rPr>
        <w:t xml:space="preserve">refuerza</w:t>
      </w:r>
      <w:r>
        <w:t xml:space="preserve"> </w:t>
      </w:r>
      <w:r>
        <w:t xml:space="preserve">la conclusión de que la deflación poblacional es el factor dominante.</w:t>
      </w:r>
    </w:p>
    <w:p>
      <w:pPr>
        <w:pStyle w:val="BlockText"/>
      </w:pPr>
      <w:r>
        <w:rPr>
          <w:b/>
          <w:bCs/>
        </w:rPr>
        <w:t xml:space="preserve">Tercero, la correlación ancestría-fenotipo.</w:t>
      </w:r>
      <w:r>
        <w:t xml:space="preserve"> </w:t>
      </w:r>
      <w:r>
        <w:t xml:space="preserve">La ancestría indígena americana correlaciona con riesgo de diabetes a través de vías genéticas</w:t>
      </w:r>
      <w:r>
        <w:t xml:space="preserve"> </w:t>
      </w:r>
      <w:r>
        <w:rPr>
          <w:i/>
          <w:iCs/>
        </w:rPr>
        <w:t xml:space="preserve">y</w:t>
      </w:r>
      <w:r>
        <w:t xml:space="preserve"> </w:t>
      </w:r>
      <w:r>
        <w:t xml:space="preserve">no genéticas — la transición nutricional, el nivel socioeconómico, el acceso a salud.</w:t>
      </w:r>
    </w:p>
    <w:p>
      <w:pPr>
        <w:pStyle w:val="BlockText"/>
      </w:pPr>
      <w:r>
        <w:t xml:space="preserve">En conjunto, esto demuestra por qué necesitamos FGWAS en poblaciones admixtas: los métodos estándar distorsionan los resultados en ambas direcciones.</w:t>
      </w:r>
    </w:p>
    <w:p>
      <w:pPr>
        <w:pStyle w:val="FirstParagraph"/>
      </w:pPr>
      <w:r>
        <w:t xml:space="preserve">⏱️</w:t>
      </w:r>
      <w:r>
        <w:t xml:space="preserve"> </w:t>
      </w:r>
      <w:r>
        <w:rPr>
          <w:i/>
          <w:iCs/>
        </w:rPr>
        <w:t xml:space="preserve">~1 minuto 30 segundos</w:t>
      </w:r>
    </w:p>
    <w:p>
      <w:r>
        <w:pict>
          <v:rect style="width:0;height:1.5pt" o:hralign="center" o:hrstd="t" o:hr="t"/>
        </w:pict>
      </w:r>
    </w:p>
    <w:bookmarkEnd w:id="42"/>
    <w:bookmarkStart w:id="43" w:name="Xd8c7029c1973b382507782e2018f0bda23d41c8"/>
    <w:p>
      <w:pPr>
        <w:pStyle w:val="Heading2"/>
      </w:pPr>
      <w:r>
        <w:t xml:space="preserve">SLIDE 18 (propuesta) —</w:t>
      </w:r>
      <w:r>
        <w:t xml:space="preserve"> </w:t>
      </w:r>
      <w:r>
        <w:t xml:space="preserve">“Evaluación de sesgos: muestra familiar vs. no emparentados”</w:t>
      </w:r>
    </w:p>
    <w:p>
      <w:pPr>
        <w:pStyle w:val="FirstParagraph"/>
      </w:pPr>
      <w:r>
        <w:rPr>
          <w:b/>
          <w:bCs/>
        </w:rPr>
        <w:t xml:space="preserve">[Contenido visual sugerido]:</w:t>
      </w:r>
      <w:r>
        <w:t xml:space="preserve"> </w:t>
      </w:r>
      <w:r>
        <w:t xml:space="preserve">Tabla de SMDs con variables flaggeadas.</w:t>
      </w:r>
    </w:p>
    <w:p>
      <w:pPr>
        <w:pStyle w:val="BodyText"/>
      </w:pPr>
      <w:r>
        <w:rPr>
          <w:b/>
          <w:bCs/>
        </w:rPr>
        <w:t xml:space="preserve">Guion:</w:t>
      </w:r>
    </w:p>
    <w:p>
      <w:pPr>
        <w:pStyle w:val="BlockText"/>
      </w:pPr>
      <w:r>
        <w:t xml:space="preserve">Para respaldar estas interpretaciones, realizamos un análisis exhaustivo de</w:t>
      </w:r>
      <w:r>
        <w:t xml:space="preserve"> </w:t>
      </w:r>
      <w:r>
        <w:rPr>
          <w:b/>
          <w:bCs/>
        </w:rPr>
        <w:t xml:space="preserve">diferencias de medias estandarizadas</w:t>
      </w:r>
      <w:r>
        <w:t xml:space="preserve"> </w:t>
      </w:r>
      <w:r>
        <w:t xml:space="preserve">(SMD) entre las dos submuestras: los ~100,000 individuos en redes familiares y los ~29,000 no emparentados.</w:t>
      </w:r>
    </w:p>
    <w:p>
      <w:pPr>
        <w:pStyle w:val="BlockText"/>
      </w:pPr>
      <w:r>
        <w:t xml:space="preserve">Las variables flaggeadas son edad (+0.13), ingreso (−0.11), y ciertos PCs de ancestría. Notablemente, la demencia está masivamente enriquecida en familias con un SMD de 0.69.</w:t>
      </w:r>
    </w:p>
    <w:p>
      <w:pPr>
        <w:pStyle w:val="BlockText"/>
      </w:pPr>
      <w:r>
        <w:t xml:space="preserve">Pero — y esto es clave — los rasgos que sustentan nuestros hallazgos principales: estatura, IMC, presión arterial, y lípidos, tienen</w:t>
      </w:r>
      <w:r>
        <w:t xml:space="preserve"> </w:t>
      </w:r>
      <w:r>
        <w:rPr>
          <w:b/>
          <w:bCs/>
        </w:rPr>
        <w:t xml:space="preserve">SMDs despreciables</w:t>
      </w:r>
      <w:r>
        <w:t xml:space="preserve">, por debajo de 0.04. Esto nos da confianza en que las comparaciones de heredabilidad para rasgos cardiometabólicos son internamente válidas.</w:t>
      </w:r>
    </w:p>
    <w:p>
      <w:pPr>
        <w:pStyle w:val="FirstParagraph"/>
      </w:pPr>
      <w:r>
        <w:t xml:space="preserve">⏱️</w:t>
      </w:r>
      <w:r>
        <w:t xml:space="preserve"> </w:t>
      </w:r>
      <w:r>
        <w:rPr>
          <w:i/>
          <w:iCs/>
        </w:rPr>
        <w:t xml:space="preserve">~50 segundos</w:t>
      </w:r>
    </w:p>
    <w:p>
      <w:r>
        <w:pict>
          <v:rect style="width:0;height:1.5pt" o:hralign="center" o:hrstd="t" o:hr="t"/>
        </w:pict>
      </w:r>
    </w:p>
    <w:bookmarkEnd w:id="43"/>
    <w:bookmarkEnd w:id="44"/>
    <w:bookmarkStart w:id="48" w:name="sección-6-conclusiones-y-próximos-pasos"/>
    <w:p>
      <w:pPr>
        <w:pStyle w:val="Heading1"/>
      </w:pPr>
      <w:r>
        <w:t xml:space="preserve">SECCIÓN 6 — CONCLUSIONES Y PRÓXIMOS PASOS</w:t>
      </w:r>
    </w:p>
    <w:bookmarkStart w:id="45" w:name="slide-19-propuesta-qué-aprendimos"/>
    <w:p>
      <w:pPr>
        <w:pStyle w:val="Heading2"/>
      </w:pPr>
      <w:r>
        <w:t xml:space="preserve">SLIDE 19 (propuesta) —</w:t>
      </w:r>
      <w:r>
        <w:t xml:space="preserve"> </w:t>
      </w:r>
      <w:r>
        <w:t xml:space="preserve">“¿Qué aprendimos?”</w:t>
      </w:r>
    </w:p>
    <w:p>
      <w:pPr>
        <w:pStyle w:val="FirstParagraph"/>
      </w:pPr>
      <w:r>
        <w:rPr>
          <w:b/>
          <w:bCs/>
        </w:rPr>
        <w:t xml:space="preserve">Guion:</w:t>
      </w:r>
    </w:p>
    <w:p>
      <w:pPr>
        <w:pStyle w:val="BlockText"/>
      </w:pPr>
      <w:r>
        <w:t xml:space="preserve">En resumen, nuestros hallazgos hasta ahora nos dicen tres cosas:</w:t>
      </w:r>
    </w:p>
    <w:p>
      <w:pPr>
        <w:pStyle w:val="BlockText"/>
      </w:pPr>
      <w:r>
        <w:rPr>
          <w:b/>
          <w:bCs/>
        </w:rPr>
        <w:t xml:space="preserve">Uno.</w:t>
      </w:r>
      <w:r>
        <w:t xml:space="preserve"> </w:t>
      </w:r>
      <w:r>
        <w:t xml:space="preserve">En la población mexicana, los GWAS estándar capturan efectos genuinamente directos para rasgos biológicos como IMC, presión arterial y lípidos — validando instrumentos de MR para estas exposiciones.</w:t>
      </w:r>
    </w:p>
    <w:p>
      <w:pPr>
        <w:pStyle w:val="BlockText"/>
      </w:pPr>
      <w:r>
        <w:rPr>
          <w:b/>
          <w:bCs/>
        </w:rPr>
        <w:t xml:space="preserve">Dos.</w:t>
      </w:r>
      <w:r>
        <w:t xml:space="preserve"> </w:t>
      </w:r>
      <w:r>
        <w:t xml:space="preserve">Para rasgos socialmente mediados como la educación, la señal está masivamente inflada por efectos indirectos. El logro educativo en un GWAS estándar es más</w:t>
      </w:r>
      <w:r>
        <w:t xml:space="preserve"> </w:t>
      </w:r>
      <w:r>
        <w:rPr>
          <w:i/>
          <w:iCs/>
        </w:rPr>
        <w:t xml:space="preserve">environment</w:t>
      </w:r>
      <w:r>
        <w:t xml:space="preserve"> </w:t>
      </w:r>
      <w:r>
        <w:t xml:space="preserve">que</w:t>
      </w:r>
      <w:r>
        <w:t xml:space="preserve"> </w:t>
      </w:r>
      <w:r>
        <w:rPr>
          <w:i/>
          <w:iCs/>
        </w:rPr>
        <w:t xml:space="preserve">genomics</w:t>
      </w:r>
      <w:r>
        <w:t xml:space="preserve">.</w:t>
      </w:r>
    </w:p>
    <w:p>
      <w:pPr>
        <w:pStyle w:val="BlockText"/>
      </w:pPr>
      <w:r>
        <w:rPr>
          <w:b/>
          <w:bCs/>
        </w:rPr>
        <w:t xml:space="preserve">Tres.</w:t>
      </w:r>
      <w:r>
        <w:t xml:space="preserve"> </w:t>
      </w:r>
      <w:r>
        <w:t xml:space="preserve">Para la diabetes, la admixtura genera una distorsión bidireccional que solo FGWAS puede resolver. Esto tiene implicaciones directas para la implementación de PRS en el sistema de salud mexicano.</w:t>
      </w:r>
    </w:p>
    <w:p>
      <w:pPr>
        <w:pStyle w:val="FirstParagraph"/>
      </w:pPr>
      <w:r>
        <w:t xml:space="preserve">⏱️</w:t>
      </w:r>
      <w:r>
        <w:t xml:space="preserve"> </w:t>
      </w:r>
      <w:r>
        <w:rPr>
          <w:i/>
          <w:iCs/>
        </w:rPr>
        <w:t xml:space="preserve">~50 segundos</w:t>
      </w:r>
    </w:p>
    <w:p>
      <w:r>
        <w:pict>
          <v:rect style="width:0;height:1.5pt" o:hralign="center" o:hrstd="t" o:hr="t"/>
        </w:pict>
      </w:r>
    </w:p>
    <w:bookmarkEnd w:id="45"/>
    <w:bookmarkStart w:id="46" w:name="slide-20-propuesta-próximos-pasos"/>
    <w:p>
      <w:pPr>
        <w:pStyle w:val="Heading2"/>
      </w:pPr>
      <w:r>
        <w:t xml:space="preserve">SLIDE 20 (propuesta) —</w:t>
      </w:r>
      <w:r>
        <w:t xml:space="preserve"> </w:t>
      </w:r>
      <w:r>
        <w:t xml:space="preserve">“Próximos pasos”</w:t>
      </w:r>
    </w:p>
    <w:p>
      <w:pPr>
        <w:pStyle w:val="FirstParagraph"/>
      </w:pPr>
      <w:r>
        <w:rPr>
          <w:b/>
          <w:bCs/>
        </w:rPr>
        <w:t xml:space="preserve">Guion:</w:t>
      </w:r>
    </w:p>
    <w:p>
      <w:pPr>
        <w:pStyle w:val="BlockText"/>
      </w:pPr>
      <w:r>
        <w:t xml:space="preserve">Para el resto de la tesis, los pasos son:</w:t>
      </w:r>
    </w:p>
    <w:p>
      <w:pPr>
        <w:pStyle w:val="BlockText"/>
        <w:numPr>
          <w:ilvl w:val="0"/>
          <w:numId w:val="1005"/>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5"/>
        </w:numPr>
      </w:pPr>
      <w:r>
        <w:rPr>
          <w:b/>
          <w:bCs/>
          <w:i/>
          <w:iCs/>
        </w:rPr>
        <w:t xml:space="preserve">Fine-mapping</w:t>
      </w:r>
      <w:r>
        <w:rPr>
          <w:b/>
          <w:bCs/>
        </w:rPr>
        <w:t xml:space="preserve"> </w:t>
      </w:r>
      <w:r>
        <w:rPr>
          <w:b/>
          <w:bCs/>
        </w:rPr>
        <w:t xml:space="preserve">funcional</w:t>
      </w:r>
      <w:r>
        <w:t xml:space="preserve"> </w:t>
      </w:r>
      <w:r>
        <w:t xml:space="preserve">— usando PLINK clumping con r² &lt; 1% para identificar SNPs independientes, y luego comparar las señales entre REGENIE y SNIPAR usando corrección de Benjamini-Hochberg.</w:t>
      </w:r>
    </w:p>
    <w:p>
      <w:pPr>
        <w:pStyle w:val="BlockText"/>
        <w:numPr>
          <w:ilvl w:val="0"/>
          <w:numId w:val="1005"/>
        </w:numPr>
      </w:pPr>
      <w:r>
        <w:rPr>
          <w:b/>
          <w:bCs/>
        </w:rPr>
        <w:t xml:space="preserve">Análisis de sensibilidad</w:t>
      </w:r>
      <w:r>
        <w:t xml:space="preserve"> </w:t>
      </w:r>
      <w:r>
        <w:t xml:space="preserve">— por estratos de edad y nivel socioeconómico para disentangle los efectos de supervivencia y restricción de varianza.</w:t>
      </w:r>
    </w:p>
    <w:p>
      <w:pPr>
        <w:pStyle w:val="BlockText"/>
        <w:numPr>
          <w:ilvl w:val="0"/>
          <w:numId w:val="1005"/>
        </w:numPr>
      </w:pPr>
      <w:r>
        <w:rPr>
          <w:b/>
          <w:bCs/>
        </w:rPr>
        <w:t xml:space="preserve">Publicaciones</w:t>
      </w:r>
      <w:r>
        <w:t xml:space="preserve"> </w:t>
      </w:r>
      <w:r>
        <w:t xml:space="preserve">— un artículo de revisión sobre FGWAS en poblaciones admixtas (deadline: 11 de noviembre de 2026) y el artículo de resultados original.</w:t>
      </w:r>
    </w:p>
    <w:p>
      <w:pPr>
        <w:pStyle w:val="BlockText"/>
        <w:numPr>
          <w:ilvl w:val="0"/>
          <w:numId w:val="1005"/>
        </w:numPr>
      </w:pPr>
      <w:r>
        <w:rPr>
          <w:b/>
          <w:bCs/>
        </w:rPr>
        <w:t xml:space="preserve">Congresos</w:t>
      </w:r>
      <w:r>
        <w:t xml:space="preserve"> </w:t>
      </w:r>
      <w:r>
        <w:t xml:space="preserve">— presentar en el Simposio EPCM del INMEGEN (octubre 2026) y en ASHG 2027 (Nashville).</w:t>
      </w:r>
    </w:p>
    <w:p>
      <w:pPr>
        <w:pStyle w:val="FirstParagraph"/>
      </w:pPr>
      <w:r>
        <w:t xml:space="preserve">⏱️</w:t>
      </w:r>
      <w:r>
        <w:t xml:space="preserve"> </w:t>
      </w:r>
      <w:r>
        <w:rPr>
          <w:i/>
          <w:iCs/>
        </w:rPr>
        <w:t xml:space="preserve">~1 minuto</w:t>
      </w:r>
    </w:p>
    <w:p>
      <w:r>
        <w:pict>
          <v:rect style="width:0;height:1.5pt" o:hralign="center" o:hrstd="t" o:hr="t"/>
        </w:pict>
      </w:r>
    </w:p>
    <w:bookmarkEnd w:id="46"/>
    <w:bookmarkStart w:id="47" w:name="X8e0248aea7b1e4dd1f2f337393e6f05080076af"/>
    <w:p>
      <w:pPr>
        <w:pStyle w:val="Heading2"/>
      </w:pPr>
      <w:r>
        <w:t xml:space="preserve">SLIDE 21 (propuesta) —</w:t>
      </w:r>
      <w:r>
        <w:t xml:space="preserve"> </w:t>
      </w:r>
      <w:r>
        <w:t xml:space="preserve">“Relevancia clínica para México”</w:t>
      </w:r>
    </w:p>
    <w:p>
      <w:pPr>
        <w:pStyle w:val="FirstParagraph"/>
      </w:pPr>
      <w:r>
        <w:rPr>
          <w:b/>
          <w:bCs/>
        </w:rPr>
        <w:t xml:space="preserve">Guion:</w:t>
      </w:r>
    </w:p>
    <w:p>
      <w:pPr>
        <w:pStyle w:val="BlockText"/>
      </w:pPr>
      <w:r>
        <w:t xml:space="preserve">Finalmente, quiero enfatizar la relevancia traslacional de este trabajo:</w:t>
      </w:r>
    </w:p>
    <w:p>
      <w:pPr>
        <w:pStyle w:val="BlockText"/>
        <w:numPr>
          <w:ilvl w:val="0"/>
          <w:numId w:val="1006"/>
        </w:numPr>
      </w:pPr>
      <w:r>
        <w:t xml:space="preserve">Los PRS para diabetes derivados de GWAS poblacional en MCPS capturan parcialmente la</w:t>
      </w:r>
      <w:r>
        <w:t xml:space="preserve"> </w:t>
      </w:r>
      <w:r>
        <w:rPr>
          <w:b/>
          <w:bCs/>
        </w:rPr>
        <w:t xml:space="preserve">deprivación socioeconómica</w:t>
      </w:r>
      <w:r>
        <w:t xml:space="preserve"> </w:t>
      </w:r>
      <w:r>
        <w:t xml:space="preserve">correlacionada con ancestría indígena, no solo biología. Cualquier implementación en el sistema de salud debe validarse contra estimados dentro-de-familia.</w:t>
      </w:r>
    </w:p>
    <w:p>
      <w:pPr>
        <w:pStyle w:val="BlockText"/>
        <w:numPr>
          <w:ilvl w:val="0"/>
          <w:numId w:val="1006"/>
        </w:numPr>
      </w:pPr>
      <w:r>
        <w:t xml:space="preserve">La atenuación del 85% para educación indica que la transmisión intergeneracional del riesgo de diabetes opera principalmente a través del</w:t>
      </w:r>
      <w:r>
        <w:t xml:space="preserve"> </w:t>
      </w:r>
      <w:r>
        <w:rPr>
          <w:b/>
          <w:bCs/>
        </w:rPr>
        <w:t xml:space="preserve">ambiente familiar</w:t>
      </w:r>
      <w:r>
        <w:t xml:space="preserve">. Esto argumenta a favor de intervenciones a nivel de</w:t>
      </w:r>
      <w:r>
        <w:t xml:space="preserve"> </w:t>
      </w:r>
      <w:r>
        <w:rPr>
          <w:b/>
          <w:bCs/>
        </w:rPr>
        <w:t xml:space="preserve">hogar</w:t>
      </w:r>
      <w:r>
        <w:t xml:space="preserve"> </w:t>
      </w:r>
      <w:r>
        <w:t xml:space="preserve">— modelo de Médico de Familia — no solo intervenciones individuales de riesgo genético.</w:t>
      </w:r>
    </w:p>
    <w:p>
      <w:pPr>
        <w:pStyle w:val="BlockText"/>
        <w:numPr>
          <w:ilvl w:val="0"/>
          <w:numId w:val="1006"/>
        </w:numPr>
      </w:pPr>
      <w:r>
        <w:t xml:space="preserve">Torres y colaboradores identificaron variantes monogénicas en</w:t>
      </w:r>
      <w:r>
        <w:t xml:space="preserve"> </w:t>
      </w:r>
      <w:r>
        <w:rPr>
          <w:i/>
          <w:iCs/>
        </w:rPr>
        <w:t xml:space="preserve">HNF1A</w:t>
      </w:r>
      <w:r>
        <w:t xml:space="preserve"> </w:t>
      </w:r>
      <w:r>
        <w:t xml:space="preserve">y</w:t>
      </w:r>
      <w:r>
        <w:t xml:space="preserve"> </w:t>
      </w:r>
      <w:r>
        <w:rPr>
          <w:i/>
          <w:iCs/>
        </w:rPr>
        <w:t xml:space="preserve">GCK</w:t>
      </w:r>
      <w:r>
        <w:t xml:space="preserve"> </w:t>
      </w:r>
      <w:r>
        <w:t xml:space="preserve">que son</w:t>
      </w:r>
      <w:r>
        <w:t xml:space="preserve"> </w:t>
      </w:r>
      <w:r>
        <w:rPr>
          <w:b/>
          <w:bCs/>
        </w:rPr>
        <w:t xml:space="preserve">exclusivas</w:t>
      </w:r>
      <w:r>
        <w:t xml:space="preserve"> </w:t>
      </w:r>
      <w:r>
        <w:t xml:space="preserve">de poblaciones mexicanas e indígenas americanas. Estas variantes</w:t>
      </w:r>
      <w:r>
        <w:t xml:space="preserve"> </w:t>
      </w:r>
      <w:r>
        <w:rPr>
          <w:b/>
          <w:bCs/>
        </w:rPr>
        <w:t xml:space="preserve">no están</w:t>
      </w:r>
      <w:r>
        <w:t xml:space="preserve"> </w:t>
      </w:r>
      <w:r>
        <w:t xml:space="preserve">en los paneles clínicos actuales y tienen implicaciones terapéuticas directas: sulfonilúreas en lugar de insulina para MODY3, o no tratar MODY2.</w:t>
      </w:r>
    </w:p>
    <w:p>
      <w:pPr>
        <w:pStyle w:val="FirstParagraph"/>
      </w:pPr>
      <w:r>
        <w:t xml:space="preserve">⏱️</w:t>
      </w:r>
      <w:r>
        <w:t xml:space="preserve"> </w:t>
      </w:r>
      <w:r>
        <w:rPr>
          <w:i/>
          <w:iCs/>
        </w:rPr>
        <w:t xml:space="preserve">~1 minuto 10 segundos</w:t>
      </w:r>
    </w:p>
    <w:p>
      <w:r>
        <w:pict>
          <v:rect style="width:0;height:1.5pt" o:hralign="center" o:hrstd="t" o:hr="t"/>
        </w:pict>
      </w:r>
    </w:p>
    <w:bookmarkEnd w:id="47"/>
    <w:bookmarkEnd w:id="48"/>
    <w:bookmarkStart w:id="51" w:name="X96dd2c1acc4cf735531bfa51df79527d8c4edf0"/>
    <w:p>
      <w:pPr>
        <w:pStyle w:val="Heading1"/>
      </w:pPr>
      <w:r>
        <w:t xml:space="preserve">SECCIÓN 7 — COLABORADORES Y AGRADECIMIENTOS</w:t>
      </w:r>
    </w:p>
    <w:bookmarkStart w:id="49" w:name="slide-22-current-collaborations"/>
    <w:p>
      <w:pPr>
        <w:pStyle w:val="Heading2"/>
      </w:pPr>
      <w:r>
        <w:t xml:space="preserve">SLIDE 22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y del software SNIPAR,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49"/>
    <w:bookmarkStart w:id="50" w:name="slide-23-gracias-a-todxs"/>
    <w:p>
      <w:pPr>
        <w:pStyle w:val="Heading2"/>
      </w:pPr>
      <w:r>
        <w:t xml:space="preserve">SLIDE 23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Sohail Lab y del equipo MCPS en Oxford.</w:t>
      </w:r>
    </w:p>
    <w:p>
      <w:pPr>
        <w:pStyle w:val="BodyText"/>
      </w:pPr>
      <w:r>
        <w:rPr>
          <w:b/>
          <w:bCs/>
        </w:rPr>
        <w:t xml:space="preserve">Guion:</w:t>
      </w:r>
    </w:p>
    <w:p>
      <w:pPr>
        <w:pStyle w:val="BlockText"/>
      </w:pPr>
      <w:r>
        <w:t xml:space="preserve">Quiero agradecer al Sohail Lab en el CCG, al equipo del MCPS en Oxford,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50"/>
    <w:bookmarkEnd w:id="51"/>
    <w:bookmarkStart w:id="52"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r>
      <w:tr>
        <w:tc>
          <w:tcPr/>
          <w:p>
            <w:pPr>
              <w:pStyle w:val="Compact"/>
            </w:pPr>
            <w:r>
              <w:t xml:space="preserve">Portada</w:t>
            </w:r>
          </w:p>
        </w:tc>
        <w:tc>
          <w:tcPr/>
          <w:p>
            <w:pPr>
              <w:pStyle w:val="Compact"/>
            </w:pPr>
            <w:r>
              <w:t xml:space="preserve">1</w:t>
            </w:r>
          </w:p>
        </w:tc>
        <w:tc>
          <w:tcPr/>
          <w:p>
            <w:pPr>
              <w:pStyle w:val="Compact"/>
            </w:pPr>
            <w:r>
              <w:t xml:space="preserve">0:30</w:t>
            </w:r>
          </w:p>
        </w:tc>
      </w:tr>
      <w:tr>
        <w:tc>
          <w:tcPr/>
          <w:p>
            <w:pPr>
              <w:pStyle w:val="Compact"/>
            </w:pPr>
            <w:r>
              <w:t xml:space="preserve">Introducción (problema)</w:t>
            </w:r>
          </w:p>
        </w:tc>
        <w:tc>
          <w:tcPr/>
          <w:p>
            <w:pPr>
              <w:pStyle w:val="Compact"/>
            </w:pPr>
            <w:r>
              <w:t xml:space="preserve">6</w:t>
            </w:r>
          </w:p>
        </w:tc>
        <w:tc>
          <w:tcPr/>
          <w:p>
            <w:pPr>
              <w:pStyle w:val="Compact"/>
            </w:pPr>
            <w:r>
              <w:t xml:space="preserve">~5:45</w:t>
            </w:r>
          </w:p>
        </w:tc>
      </w:tr>
      <w:tr>
        <w:tc>
          <w:tcPr/>
          <w:p>
            <w:pPr>
              <w:pStyle w:val="Compact"/>
            </w:pPr>
            <w:r>
              <w:t xml:space="preserve">¿Por qué fallan? (sesgos)</w:t>
            </w:r>
          </w:p>
        </w:tc>
        <w:tc>
          <w:tcPr/>
          <w:p>
            <w:pPr>
              <w:pStyle w:val="Compact"/>
            </w:pPr>
            <w:r>
              <w:t xml:space="preserve">1</w:t>
            </w:r>
          </w:p>
        </w:tc>
        <w:tc>
          <w:tcPr/>
          <w:p>
            <w:pPr>
              <w:pStyle w:val="Compact"/>
            </w:pPr>
            <w:r>
              <w:t xml:space="preserve">~1:30</w:t>
            </w:r>
          </w:p>
        </w:tc>
      </w:tr>
      <w:tr>
        <w:tc>
          <w:tcPr/>
          <w:p>
            <w:pPr>
              <w:pStyle w:val="Compact"/>
            </w:pPr>
            <w:r>
              <w:t xml:space="preserve">FGWAS: la solución</w:t>
            </w:r>
          </w:p>
        </w:tc>
        <w:tc>
          <w:tcPr/>
          <w:p>
            <w:pPr>
              <w:pStyle w:val="Compact"/>
            </w:pPr>
            <w:r>
              <w:t xml:space="preserve">4</w:t>
            </w:r>
          </w:p>
        </w:tc>
        <w:tc>
          <w:tcPr/>
          <w:p>
            <w:pPr>
              <w:pStyle w:val="Compact"/>
            </w:pPr>
            <w:r>
              <w:t xml:space="preserve">~3:55</w:t>
            </w:r>
          </w:p>
        </w:tc>
      </w:tr>
      <w:tr>
        <w:tc>
          <w:tcPr/>
          <w:p>
            <w:pPr>
              <w:pStyle w:val="Compact"/>
            </w:pPr>
            <w:r>
              <w:t xml:space="preserve">Métodos</w:t>
            </w:r>
          </w:p>
        </w:tc>
        <w:tc>
          <w:tcPr/>
          <w:p>
            <w:pPr>
              <w:pStyle w:val="Compact"/>
            </w:pPr>
            <w:r>
              <w:t xml:space="preserve">2</w:t>
            </w:r>
          </w:p>
        </w:tc>
        <w:tc>
          <w:tcPr/>
          <w:p>
            <w:pPr>
              <w:pStyle w:val="Compact"/>
            </w:pPr>
            <w:r>
              <w:t xml:space="preserve">~2:30</w:t>
            </w:r>
          </w:p>
        </w:tc>
      </w:tr>
      <w:tr>
        <w:tc>
          <w:tcPr/>
          <w:p>
            <w:pPr>
              <w:pStyle w:val="Compact"/>
            </w:pPr>
            <w:r>
              <w:t xml:space="preserve">Resultados</w:t>
            </w:r>
          </w:p>
        </w:tc>
        <w:tc>
          <w:tcPr/>
          <w:p>
            <w:pPr>
              <w:pStyle w:val="Compact"/>
            </w:pPr>
            <w:r>
              <w:t xml:space="preserve">4</w:t>
            </w:r>
          </w:p>
        </w:tc>
        <w:tc>
          <w:tcPr/>
          <w:p>
            <w:pPr>
              <w:pStyle w:val="Compact"/>
            </w:pPr>
            <w:r>
              <w:t xml:space="preserve">~5:10</w:t>
            </w:r>
          </w:p>
        </w:tc>
      </w:tr>
      <w:tr>
        <w:tc>
          <w:tcPr/>
          <w:p>
            <w:pPr>
              <w:pStyle w:val="Compact"/>
            </w:pPr>
            <w:r>
              <w:t xml:space="preserve">Conclusiones y próximos pasos</w:t>
            </w:r>
          </w:p>
        </w:tc>
        <w:tc>
          <w:tcPr/>
          <w:p>
            <w:pPr>
              <w:pStyle w:val="Compact"/>
            </w:pPr>
            <w:r>
              <w:t xml:space="preserve">3</w:t>
            </w:r>
          </w:p>
        </w:tc>
        <w:tc>
          <w:tcPr/>
          <w:p>
            <w:pPr>
              <w:pStyle w:val="Compact"/>
            </w:pPr>
            <w:r>
              <w:t xml:space="preserve">~3:00</w:t>
            </w:r>
          </w:p>
        </w:tc>
      </w:tr>
      <w:tr>
        <w:tc>
          <w:tcPr/>
          <w:p>
            <w:pPr>
              <w:pStyle w:val="Compact"/>
            </w:pPr>
            <w:r>
              <w:t xml:space="preserve">Colaboradores y cierre</w:t>
            </w:r>
          </w:p>
        </w:tc>
        <w:tc>
          <w:tcPr/>
          <w:p>
            <w:pPr>
              <w:pStyle w:val="Compact"/>
            </w:pPr>
            <w:r>
              <w:t xml:space="preserve">2</w:t>
            </w:r>
          </w:p>
        </w:tc>
        <w:tc>
          <w:tcPr/>
          <w:p>
            <w:pPr>
              <w:pStyle w:val="Compact"/>
            </w:pPr>
            <w:r>
              <w:t xml:space="preserve">~1:05</w:t>
            </w:r>
          </w:p>
        </w:tc>
      </w:tr>
      <w:tr>
        <w:tc>
          <w:tcPr/>
          <w:p>
            <w:pPr>
              <w:pStyle w:val="Compact"/>
            </w:pPr>
            <w:r>
              <w:rPr>
                <w:b/>
                <w:bCs/>
              </w:rPr>
              <w:t xml:space="preserve">TOTAL</w:t>
            </w:r>
          </w:p>
        </w:tc>
        <w:tc>
          <w:tcPr/>
          <w:p>
            <w:pPr>
              <w:pStyle w:val="Compact"/>
            </w:pPr>
            <w:r>
              <w:rPr>
                <w:b/>
                <w:bCs/>
              </w:rPr>
              <w:t xml:space="preserve">23</w:t>
            </w:r>
          </w:p>
        </w:tc>
        <w:tc>
          <w:tcPr/>
          <w:p>
            <w:pPr>
              <w:pStyle w:val="Compact"/>
            </w:pPr>
            <w:r>
              <w:rPr>
                <w:b/>
                <w:bCs/>
              </w:rPr>
              <w:t xml:space="preserve">~23:25</w:t>
            </w:r>
          </w:p>
        </w:tc>
      </w:tr>
    </w:tbl>
    <w:p>
      <w:pPr>
        <w:pStyle w:val="BodyText"/>
      </w:pPr>
      <w:r>
        <w:rPr>
          <w:b/>
          <w:bCs/>
        </w:rPr>
        <w:t xml:space="preserve">Nota:</w:t>
      </w:r>
      <w:r>
        <w:t xml:space="preserve"> </w:t>
      </w:r>
      <w:r>
        <w:t xml:space="preserve">El tiempo está calibrado para una presentación de ~25 minutos dejando ~2 minutos de margen para transiciones y ajustes de ritmo. Si el formato del examen requiere 30 o 40 minutos, las secciones de resultados y relevancia clínica pueden expandirse con más detalle en los mecanismos de la reversión de diabetes y las implicaciones para MR.</w:t>
      </w:r>
    </w:p>
    <w:p>
      <w:r>
        <w:pict>
          <v:rect style="width:0;height:1.5pt" o:hralign="center" o:hrstd="t" o:hr="t"/>
        </w:pict>
      </w:r>
    </w:p>
    <w:bookmarkEnd w:id="52"/>
    <w:bookmarkStart w:id="53"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07"/>
        </w:numPr>
      </w:pPr>
      <w:r>
        <w:rPr>
          <w:b/>
          <w:bCs/>
        </w:rPr>
        <w:t xml:space="preserve">Slide 8</w:t>
      </w:r>
      <w:r>
        <w:t xml:space="preserve"> </w:t>
      </w:r>
      <w:r>
        <w:t xml:space="preserve">— Sesgos en GWAS (diagrama TikZ de barras apiladas); borrador en</w:t>
      </w:r>
      <w:r>
        <w:t xml:space="preserve"> </w:t>
      </w:r>
      <w:r>
        <w:rPr>
          <w:rStyle w:val="VerbatimChar"/>
        </w:rPr>
        <w:t xml:space="preserve">introduction.tex</w:t>
      </w:r>
      <w:r>
        <w:t xml:space="preserve"> </w:t>
      </w:r>
      <w:r>
        <w:t xml:space="preserve">L142–221</w:t>
      </w:r>
    </w:p>
    <w:p>
      <w:pPr>
        <w:pStyle w:val="Compact"/>
        <w:numPr>
          <w:ilvl w:val="0"/>
          <w:numId w:val="1008"/>
        </w:numPr>
      </w:pPr>
      <w:r>
        <w:rPr>
          <w:b/>
          <w:bCs/>
        </w:rPr>
        <w:t xml:space="preserve">Slide 9</w:t>
      </w:r>
      <w:r>
        <w:t xml:space="preserve"> </w:t>
      </w:r>
      <w:r>
        <w:t xml:space="preserve">— FGWAS y segregación mendeliana; borrador en</w:t>
      </w:r>
      <w:r>
        <w:t xml:space="preserve"> </w:t>
      </w:r>
      <w:r>
        <w:rPr>
          <w:rStyle w:val="VerbatimChar"/>
        </w:rPr>
        <w:t xml:space="preserve">introduction.tex</w:t>
      </w:r>
      <w:r>
        <w:t xml:space="preserve"> </w:t>
      </w:r>
      <w:r>
        <w:t xml:space="preserve">L223–241</w:t>
      </w:r>
    </w:p>
    <w:p>
      <w:pPr>
        <w:pStyle w:val="Compact"/>
        <w:numPr>
          <w:ilvl w:val="0"/>
          <w:numId w:val="1009"/>
        </w:numPr>
      </w:pPr>
      <w:r>
        <w:rPr>
          <w:b/>
          <w:bCs/>
        </w:rPr>
        <w:t xml:space="preserve">Slide 10</w:t>
      </w:r>
      <w:r>
        <w:t xml:space="preserve"> </w:t>
      </w:r>
      <w:r>
        <w:t xml:space="preserve">— Estimador robusto de Guan et al.; borrador en</w:t>
      </w:r>
      <w:r>
        <w:t xml:space="preserve"> </w:t>
      </w:r>
      <w:r>
        <w:rPr>
          <w:rStyle w:val="VerbatimChar"/>
        </w:rPr>
        <w:t xml:space="preserve">introduction.tex</w:t>
      </w:r>
      <w:r>
        <w:t xml:space="preserve"> </w:t>
      </w:r>
      <w:r>
        <w:t xml:space="preserve">L243–263</w:t>
      </w:r>
    </w:p>
    <w:p>
      <w:pPr>
        <w:pStyle w:val="Compact"/>
        <w:numPr>
          <w:ilvl w:val="0"/>
          <w:numId w:val="1010"/>
        </w:numPr>
      </w:pPr>
      <w:r>
        <w:rPr>
          <w:b/>
          <w:bCs/>
        </w:rPr>
        <w:t xml:space="preserve">Slide 11</w:t>
      </w:r>
      <w:r>
        <w:t xml:space="preserve"> </w:t>
      </w:r>
      <w:r>
        <w:t xml:space="preserve">— Validez interna vs portabilidad; borrador en</w:t>
      </w:r>
      <w:r>
        <w:t xml:space="preserve"> </w:t>
      </w:r>
      <w:r>
        <w:rPr>
          <w:rStyle w:val="VerbatimChar"/>
        </w:rPr>
        <w:t xml:space="preserve">introduction.tex</w:t>
      </w:r>
      <w:r>
        <w:t xml:space="preserve"> </w:t>
      </w:r>
      <w:r>
        <w:t xml:space="preserve">L265–276</w:t>
      </w:r>
    </w:p>
    <w:p>
      <w:pPr>
        <w:pStyle w:val="Compact"/>
        <w:numPr>
          <w:ilvl w:val="0"/>
          <w:numId w:val="1011"/>
        </w:numPr>
      </w:pPr>
      <w:r>
        <w:rPr>
          <w:b/>
          <w:bCs/>
        </w:rPr>
        <w:t xml:space="preserve">Slide 12</w:t>
      </w:r>
      <w:r>
        <w:t xml:space="preserve"> </w:t>
      </w:r>
      <w:r>
        <w:t xml:space="preserve">— Resumen (3 cajas); borrador en</w:t>
      </w:r>
      <w:r>
        <w:t xml:space="preserve"> </w:t>
      </w:r>
      <w:r>
        <w:rPr>
          <w:rStyle w:val="VerbatimChar"/>
        </w:rPr>
        <w:t xml:space="preserve">introduction.tex</w:t>
      </w:r>
      <w:r>
        <w:t xml:space="preserve"> </w:t>
      </w:r>
      <w:r>
        <w:t xml:space="preserve">L282–294</w:t>
      </w:r>
    </w:p>
    <w:p>
      <w:pPr>
        <w:pStyle w:val="Compact"/>
        <w:numPr>
          <w:ilvl w:val="0"/>
          <w:numId w:val="1012"/>
        </w:numPr>
      </w:pPr>
      <w:r>
        <w:rPr>
          <w:b/>
          <w:bCs/>
        </w:rPr>
        <w:t xml:space="preserve">Slide 15</w:t>
      </w:r>
      <w:r>
        <w:t xml:space="preserve"> </w:t>
      </w:r>
      <w:r>
        <w:t xml:space="preserve">— N</w:t>
      </w:r>
      <w:r>
        <w:rPr>
          <w:vertAlign w:val="subscript"/>
        </w:rPr>
        <w:t xml:space="preserve">eff</w:t>
      </w:r>
      <w:r>
        <w:t xml:space="preserve"> </w:t>
      </w:r>
      <w:r>
        <w:t xml:space="preserve">boxplot (necesita figura)</w:t>
      </w:r>
    </w:p>
    <w:p>
      <w:pPr>
        <w:pStyle w:val="Compact"/>
        <w:numPr>
          <w:ilvl w:val="0"/>
          <w:numId w:val="1013"/>
        </w:numPr>
      </w:pPr>
      <w:r>
        <w:rPr>
          <w:b/>
          <w:bCs/>
        </w:rPr>
        <w:t xml:space="preserve">Slide 16</w:t>
      </w:r>
      <w:r>
        <w:t xml:space="preserve"> </w:t>
      </w:r>
      <w:r>
        <w:t xml:space="preserve">— Dumbbell plot de heredabilidad (necesita figura)</w:t>
      </w:r>
    </w:p>
    <w:p>
      <w:pPr>
        <w:pStyle w:val="Compact"/>
        <w:numPr>
          <w:ilvl w:val="0"/>
          <w:numId w:val="1014"/>
        </w:numPr>
      </w:pPr>
      <w:r>
        <w:rPr>
          <w:b/>
          <w:bCs/>
        </w:rPr>
        <w:t xml:space="preserve">Slide 17</w:t>
      </w:r>
      <w:r>
        <w:t xml:space="preserve"> </w:t>
      </w:r>
      <w:r>
        <w:t xml:space="preserve">— Mecanismos de la reversión de diabetes (diagrama nuevo)</w:t>
      </w:r>
    </w:p>
    <w:p>
      <w:pPr>
        <w:pStyle w:val="Compact"/>
        <w:numPr>
          <w:ilvl w:val="0"/>
          <w:numId w:val="1015"/>
        </w:numPr>
      </w:pPr>
      <w:r>
        <w:rPr>
          <w:b/>
          <w:bCs/>
        </w:rPr>
        <w:t xml:space="preserve">Slide 18</w:t>
      </w:r>
      <w:r>
        <w:t xml:space="preserve"> </w:t>
      </w:r>
      <w:r>
        <w:t xml:space="preserve">— Tabla de SMDs</w:t>
      </w:r>
    </w:p>
    <w:p>
      <w:pPr>
        <w:pStyle w:val="Compact"/>
        <w:numPr>
          <w:ilvl w:val="0"/>
          <w:numId w:val="1016"/>
        </w:numPr>
      </w:pPr>
      <w:r>
        <w:rPr>
          <w:b/>
          <w:bCs/>
        </w:rPr>
        <w:t xml:space="preserve">Slide 19</w:t>
      </w:r>
      <w:r>
        <w:t xml:space="preserve"> </w:t>
      </w:r>
      <w:r>
        <w:t xml:space="preserve">— Conclusiones</w:t>
      </w:r>
    </w:p>
    <w:p>
      <w:pPr>
        <w:pStyle w:val="Compact"/>
        <w:numPr>
          <w:ilvl w:val="0"/>
          <w:numId w:val="1017"/>
        </w:numPr>
      </w:pPr>
      <w:r>
        <w:rPr>
          <w:b/>
          <w:bCs/>
        </w:rPr>
        <w:t xml:space="preserve">Slide 20</w:t>
      </w:r>
      <w:r>
        <w:t xml:space="preserve"> </w:t>
      </w:r>
      <w:r>
        <w:t xml:space="preserve">— Próximos pasos</w:t>
      </w:r>
    </w:p>
    <w:p>
      <w:pPr>
        <w:pStyle w:val="Compact"/>
        <w:numPr>
          <w:ilvl w:val="0"/>
          <w:numId w:val="1018"/>
        </w:numPr>
      </w:pPr>
      <w:r>
        <w:rPr>
          <w:b/>
          <w:bCs/>
        </w:rPr>
        <w:t xml:space="preserve">Slide 21</w:t>
      </w:r>
      <w:r>
        <w:t xml:space="preserve"> </w:t>
      </w:r>
      <w:r>
        <w:t xml:space="preserve">— Relevancia clínica</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2026-07-30T19:07:58Z</dcterms:created>
  <dcterms:modified xsi:type="dcterms:W3CDTF">2026-07-30T19:07:58Z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