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en el laboratorio de la Dra. Mashaal Sohail. El día de hoy vengo a presentarles mi proyecto de candidatura: Estudios de asociación genómica libres de sesgos para rasgos complejos y enfermedades en más de 100,000 mexicanos. Antes de continuar, quiero darle las gracias al [Dra. Daniela o Dr. Jaime], quien es parte de mi comité tutor y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 Ahora…</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Un estudio reciente, utilizando datos de INEGI y la CONAPO, encontraron que 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BlockText"/>
      </w:pPr>
      <w:r>
        <w:t xml:space="preserve">Y en el MCPS no vimos algo tan diferente.</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62e2f6ed0c277d3d63e666fa7b2fde3db4c3811"/>
    <w:p>
      <w:pPr>
        <w:pStyle w:val="Heading2"/>
      </w:pPr>
      <w:r>
        <w:t xml:space="preserve">SLIDE 3 —</w:t>
      </w:r>
      <w:r>
        <w:t xml:space="preserve"> </w:t>
      </w:r>
      <w:r>
        <w:t xml:space="preserve">“La diabetes es más común y mortal en México que en países de altos ingresos”</w:t>
      </w:r>
    </w:p>
    <w:p>
      <w:pPr>
        <w:pStyle w:val="FirstParagraph"/>
      </w:pPr>
      <w:r>
        <w:rPr>
          <w:b/>
          <w:bCs/>
        </w:rPr>
        <w:t xml:space="preserve">[Contenido visual]:</w:t>
      </w:r>
      <w:r>
        <w:t xml:space="preserve"> </w:t>
      </w:r>
      <w:r>
        <w:t xml:space="preserve">Dos columnas en la cohorte MCPS: prevalencia de diabetes (izquierda) y razones de tasas (rate ratios) de mortalidad (derecha).</w:t>
      </w:r>
    </w:p>
    <w:p>
      <w:pPr>
        <w:pStyle w:val="BodyText"/>
      </w:pPr>
      <w:r>
        <w:rPr>
          <w:b/>
          <w:bCs/>
        </w:rPr>
        <w:t xml:space="preserve">Guion:</w:t>
      </w:r>
    </w:p>
    <w:p>
      <w:pPr>
        <w:pStyle w:val="BlockText"/>
      </w:pPr>
      <w:r>
        <w:t xml:space="preserve">Cuando se ideó esta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En MCPS, un paciente adulto con diabetes tiene un riesgo relativo de mortalidad 4 veces más alto en comparación con los pacientes sin diabetes. Esto es casi el doble si lo comparamos con países de mayores ingresos como Estados Unidos o Inglaterra en ese entonces.</w:t>
      </w:r>
    </w:p>
    <w:p>
      <w:pPr>
        <w:pStyle w:val="BlockText"/>
      </w:pPr>
      <w:r>
        <w:t xml:space="preserve">Y en una población con una prevalencia tan alta, pues se vuelve un problema de salud pública importante. Entender el problema de las enfermedades metabólicas es un tema epidemiológico que se está atendiendo desde distintos frentes, sobre todo con estudios observacionales. Nuestra contribución para entender porque estas enfermedades cardiovasculares son tan prevalentes en nuestro país es: usando la genética como un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Pero, en el panorama actual de la genómica, también nos enfrentamos a un serio problema de representación. Durante mucho tiempo y en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predictivas que derivan de estos estudios están calibrados para el contexto demográfico estos países.</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 una cohorte de Los Ángeles en Estados Unidos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 mientras más diversa sea la población que analizamos.</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Y la respuesta a porqué sucede esto nos la puede dar la misma genética de poblaciones humanas.</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Miren, los enfoques estadísticos estándar asumen dos cosas sobre las poblaciones humanas: que son homogéneas y que, si son homogéneas, las podemos categorizar en grupos continentales. Sin embargo, la estructura genética de las poblaciones humanas, así como de cualquier otra especie, se trata de un espectro continuo, no de categorías discretas, y esto se debe a eventos demográficos de migración, deriva genética, mutaciones, etcétera.</w:t>
      </w:r>
    </w:p>
    <w:p>
      <w:pPr>
        <w:pStyle w:val="FirstParagraph"/>
      </w:pPr>
      <w:r>
        <w:t xml:space="preserve">⏱️</w:t>
      </w:r>
      <w:r>
        <w:t xml:space="preserve"> </w:t>
      </w:r>
      <w:r>
        <w:rPr>
          <w:i/>
          <w:iCs/>
        </w:rPr>
        <w:t xml:space="preserve">~30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Dos paneles — (Izquierda) Mosaico de bloques de haplotipos en cromosomas admixtos, (Derecha) Subestructura continental de México.</w:t>
      </w:r>
    </w:p>
    <w:p>
      <w:pPr>
        <w:pStyle w:val="BodyText"/>
      </w:pPr>
      <w:r>
        <w:rPr>
          <w:b/>
          <w:bCs/>
        </w:rPr>
        <w:t xml:space="preserve">Guion:</w:t>
      </w:r>
    </w:p>
    <w:p>
      <w:pPr>
        <w:pStyle w:val="BlockText"/>
      </w:pPr>
      <w:r>
        <w:t xml:space="preserve">Hace aproximadamente 500 años —apenas unas 15 a 20 generaciones evolutivas atrás—, tres macrogrupos humanos que habían divergido hace miles de años entraron en contacto masivo a partir de la colonización: poblaciones europeas, del oeste de África y originarias de Mesoamérica y Aridoamérica.</w:t>
      </w:r>
    </w:p>
    <w:p>
      <w:pPr>
        <w:pStyle w:val="BlockText"/>
      </w:pPr>
      <w:r>
        <w:t xml:space="preserve">A nivel genómico, esta mezcla creó mosaicos de haplotipos en los cromosomas, como vemos en estos cariogramas donde cada color es un segmento de diferente ancestría. Y no solo eso: la diversidad de la ancestría originaria en México está estratificada. Entre los grupos Seri en Sonora y Lacandones en Chiapas existe una divergencia mayor a la que existe entre grupos europeos y asiáticos de HapMap3. Estos niveles de diversidad generan mosaicos,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Tenemos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Hay puntajes de riesgo poligénico multi-ancestría, que combinan datos de múltiples cohortes o de cohortes con individuos mestizos.</w:t>
      </w:r>
      <w:r>
        <w:t xml:space="preserve"> </w:t>
      </w:r>
      <w:r>
        <w:rPr>
          <w:b/>
          <w:bCs/>
        </w:rPr>
        <w:t xml:space="preserve">[Click: Aparece columna 3 (LAI)]</w:t>
      </w:r>
      <w:r>
        <w:t xml:space="preserve"> </w:t>
      </w:r>
      <w:r>
        <w:t xml:space="preserve">También existen métodos de ancestría local que modelan el desequilibrio de ligamiento y las frecuencias alélicas condicionados al segmento ancestral.</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4" w:name="Xcf06de8fe32b6aebbd8a70d7df344922df44f27"/>
    <w:p>
      <w:pPr>
        <w:pStyle w:val="Heading1"/>
      </w:pPr>
      <w:r>
        <w:t xml:space="preserve">SECCIÓN 2 — ¿POR QUÉ FALLAN LAS HERRAMIENTAS ACTUALES?</w:t>
      </w:r>
    </w:p>
    <w:bookmarkStart w:id="32" w:name="X800d1234d895f968a296bfb736114606acda6aa"/>
    <w:p>
      <w:pPr>
        <w:pStyle w:val="Heading2"/>
      </w:pPr>
      <w:r>
        <w:t xml:space="preserve">SLIDE 9 (continuación) —</w:t>
      </w:r>
      <w:r>
        <w:t xml:space="preserve"> </w:t>
      </w:r>
      <w:r>
        <w:t xml:space="preserve">“Estudios de Asociación de Genoma Completo (GWAS)”</w:t>
      </w:r>
    </w:p>
    <w:p>
      <w:pPr>
        <w:pStyle w:val="FirstParagraph"/>
      </w:pPr>
      <w:r>
        <w:rPr>
          <w:b/>
          <w:bCs/>
        </w:rPr>
        <w:t xml:space="preserve">[Contenido visual]:</w:t>
      </w:r>
      <w:r>
        <w:t xml:space="preserve"> </w:t>
      </w:r>
      <w:r>
        <w:t xml:space="preserve">Diagrama de un solo locus y gráfico de Manhattan (Uffelmann, 2021).</w:t>
      </w:r>
    </w:p>
    <w:p>
      <w:pPr>
        <w:pStyle w:val="BodyText"/>
      </w:pPr>
      <w:r>
        <w:rPr>
          <w:b/>
          <w:bCs/>
        </w:rPr>
        <w:t xml:space="preserve">Guion:</w:t>
      </w:r>
    </w:p>
    <w:p>
      <w:pPr>
        <w:pStyle w:val="BlockText"/>
      </w:pPr>
      <w:r>
        <w:t xml:space="preserve">Entonces, recordemos qué hace un GWAS. Estos estudios evalúan la correlación entre millones de variantes genéticas y nuestro rasgo de interés. A la izquierda tenemos un ejemplo de cómo funciona en un solo locus de riesgo, y a la derecha cómo estas señales individuales se proyectan a nivel genómico en lo que llamamos un gráfico de Manhattan, donde los picos representan las asociaciones genéticamente significativas.</w:t>
      </w:r>
    </w:p>
    <w:p>
      <w:pPr>
        <w:pStyle w:val="BlockText"/>
      </w:pPr>
      <w:r>
        <w:t xml:space="preserve">Pero recordemos que la correlación no es causalidad. Existen razones diversas por las que un fenotipo puede variar, no todo es atribuible a la genética.</w:t>
      </w:r>
    </w:p>
    <w:p>
      <w:pPr>
        <w:pStyle w:val="FirstParagraph"/>
      </w:pPr>
      <w:r>
        <w:t xml:space="preserve">⏱️</w:t>
      </w:r>
      <w:r>
        <w:t xml:space="preserve"> </w:t>
      </w:r>
      <w:r>
        <w:rPr>
          <w:i/>
          <w:iCs/>
        </w:rPr>
        <w:t xml:space="preserve">~30 segundos</w:t>
      </w:r>
    </w:p>
    <w:bookmarkEnd w:id="32"/>
    <w:bookmarkStart w:id="33"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t xml:space="preserve">Entonces, podemos descomponer las señales de un en 4 efectos:</w:t>
      </w:r>
    </w:p>
    <w:p>
      <w:pPr>
        <w:pStyle w:val="BlockText"/>
      </w:pPr>
      <w:r>
        <w:rPr>
          <w:b/>
          <w:bCs/>
        </w:rPr>
        <w:t xml:space="preserve">Efectos genéticos directos</w:t>
      </w:r>
      <w:r>
        <w:t xml:space="preserve"> </w:t>
      </w:r>
      <w:r>
        <w:t xml:space="preserve">-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tenemos efectos de confusión que distorsionan o sobre-estiman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r>
        <w:pict>
          <v:rect style="width:0;height:1.5pt" o:hralign="center" o:hrstd="t" o:hr="t"/>
        </w:pict>
      </w:r>
    </w:p>
    <w:bookmarkEnd w:id="33"/>
    <w:bookmarkEnd w:id="34"/>
    <w:bookmarkStart w:id="37" w:name="sección-3-la-solución-diseños-familiares"/>
    <w:p>
      <w:pPr>
        <w:pStyle w:val="Heading1"/>
      </w:pPr>
      <w:r>
        <w:t xml:space="preserve">SECCIÓN 3 — LA SOLUCIÓN: DISEÑOS FAMILIARES</w:t>
      </w:r>
    </w:p>
    <w:bookmarkStart w:id="35"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 y comparación sobre la pérdida de datos si se exigen ambos padres genotipados.</w:t>
      </w:r>
    </w:p>
    <w:p>
      <w:pPr>
        <w:pStyle w:val="BodyText"/>
      </w:pPr>
      <w:r>
        <w:rPr>
          <w:b/>
          <w:bCs/>
        </w:rPr>
        <w:t xml:space="preserve">Guion:</w:t>
      </w:r>
    </w:p>
    <w:p>
      <w:pPr>
        <w:pStyle w:val="BlockText"/>
      </w:pPr>
      <w:r>
        <w:t xml:space="preserve">Por lo tanto la solución que proponemos viene desde la biología misma con los GWAS familiares. Su principal fortaleza es que la aleatorización de las muestras no proviene de la población — que puede estar influenciado por los efectos de confusion —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r>
        <w:t xml:space="preserve"> </w:t>
      </w:r>
      <w:r>
        <w:t xml:space="preserve">Sin embargo, al condicionar por el genotipo parental, el modelo es matemáticamente inmune a la estratificación poblacional, lo cual es vital en México dado nuestro complejo mestizaje continuo.</w:t>
      </w:r>
    </w:p>
    <w:p>
      <w:pPr>
        <w:pStyle w:val="FirstParagraph"/>
      </w:pPr>
      <w:r>
        <w:t xml:space="preserve">⏱️</w:t>
      </w:r>
      <w:r>
        <w:t xml:space="preserve"> </w:t>
      </w:r>
      <w:r>
        <w:rPr>
          <w:i/>
          <w:iCs/>
        </w:rPr>
        <w:t xml:space="preserve">~1 minuto</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4"/>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End w:id="37"/>
    <w:bookmarkStart w:id="40" w:name="sección-4-objetivos-de-investigación"/>
    <w:p>
      <w:pPr>
        <w:pStyle w:val="Heading1"/>
      </w:pPr>
      <w:r>
        <w:t xml:space="preserve">SECCIÓN 4 — OBJETIVOS DE INVESTIGACIÓN</w:t>
      </w:r>
    </w:p>
    <w:bookmarkStart w:id="38"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w:t>
      </w:r>
      <w:r>
        <w:t xml:space="preserve"> </w:t>
      </w:r>
      <w:r>
        <w:rPr>
          <w:i/>
          <w:iCs/>
        </w:rPr>
        <w:t xml:space="preserve">loci</w:t>
      </w:r>
      <w:r>
        <w:t xml:space="preserve"> </w:t>
      </w:r>
      <w:r>
        <w:t xml:space="preserve">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8"/>
    <w:bookmarkStart w:id="39"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 (notando que los primeros tres, en color, son resultados actuales, mientras que los dos últimos en gris son análisis futuros):</w:t>
      </w:r>
    </w:p>
    <w:p>
      <w:pPr>
        <w:pStyle w:val="Compact"/>
        <w:numPr>
          <w:ilvl w:val="0"/>
          <w:numId w:val="1005"/>
        </w:numPr>
      </w:pPr>
      <w:r>
        <w:t xml:space="preserve">Primero, realizar las asociaciones con el estimador robusto, con el interés principal de comprobar qué tanto aumenta el tamaño de muestra con este estimador.</w:t>
      </w:r>
    </w:p>
    <w:p>
      <w:pPr>
        <w:pStyle w:val="Compact"/>
        <w:numPr>
          <w:ilvl w:val="0"/>
          <w:numId w:val="1005"/>
        </w:numPr>
      </w:pPr>
      <w:r>
        <w:t xml:space="preserve">Segundo, calcular las estimaciones directas de la heredabilidad.</w:t>
      </w:r>
    </w:p>
    <w:p>
      <w:pPr>
        <w:pStyle w:val="Compact"/>
        <w:numPr>
          <w:ilvl w:val="0"/>
          <w:numId w:val="1005"/>
        </w:numPr>
      </w:pPr>
      <w:r>
        <w:t xml:space="preserve">Tercero, comparar el tamaño de los efectos poblacionales y familiares para cuantificar los sesgos.</w:t>
      </w:r>
    </w:p>
    <w:p>
      <w:pPr>
        <w:pStyle w:val="Compact"/>
        <w:numPr>
          <w:ilvl w:val="0"/>
          <w:numId w:val="1005"/>
        </w:numPr>
      </w:pPr>
      <w:r>
        <w:t xml:space="preserve">Cuarto, realizar análisis posteriores; aunque aún por definir, proponemos el cálculo de scores poligénicos o PGS.</w:t>
      </w:r>
    </w:p>
    <w:p>
      <w:pPr>
        <w:pStyle w:val="Compact"/>
        <w:numPr>
          <w:ilvl w:val="0"/>
          <w:numId w:val="1005"/>
        </w:numPr>
      </w:pPr>
      <w:r>
        <w:t xml:space="preserve">Y quinto, desarrollar una plataforma abierta en línea para acceder a todos estos resultados.</w:t>
      </w:r>
    </w:p>
    <w:p>
      <w:pPr>
        <w:pStyle w:val="FirstParagraph"/>
      </w:pPr>
      <w:r>
        <w:t xml:space="preserve">⏱️</w:t>
      </w:r>
      <w:r>
        <w:t xml:space="preserve"> </w:t>
      </w:r>
      <w:r>
        <w:rPr>
          <w:i/>
          <w:iCs/>
        </w:rPr>
        <w:t xml:space="preserve">~30 segundos</w:t>
      </w:r>
    </w:p>
    <w:p>
      <w:r>
        <w:pict>
          <v:rect style="width:0;height:1.5pt" o:hralign="center" o:hrstd="t" o:hr="t"/>
        </w:pict>
      </w:r>
    </w:p>
    <w:bookmarkEnd w:id="39"/>
    <w:bookmarkEnd w:id="40"/>
    <w:bookmarkStart w:id="62" w:name="sección-5-métodos"/>
    <w:p>
      <w:pPr>
        <w:pStyle w:val="Heading1"/>
      </w:pPr>
      <w:r>
        <w:t xml:space="preserve">SECCIÓN 5 — MÉTODOS</w:t>
      </w:r>
    </w:p>
    <w:bookmarkStart w:id="41"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6"/>
        </w:numPr>
      </w:pPr>
      <w:r>
        <w:t xml:space="preserve">Partimos de los datos genotípicos del MCPS — aproximadamente 138,500 individuos genotipados con el chip Illumina GSAv2, imputados al panel de referencia TOPMed.</w:t>
      </w:r>
    </w:p>
    <w:p>
      <w:pPr>
        <w:pStyle w:val="Compact"/>
        <w:numPr>
          <w:ilvl w:val="0"/>
          <w:numId w:val="1006"/>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6"/>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6"/>
        </w:numPr>
      </w:pPr>
      <w:r>
        <w:t xml:space="preserve">Corremos dos análisis en paralelo:</w:t>
      </w:r>
      <w:r>
        <w:t xml:space="preserve"> </w:t>
      </w:r>
      <w:r>
        <w:rPr>
          <w:b/>
          <w:bCs/>
        </w:rPr>
        <w:t xml:space="preserve">GWAS poblacional</w:t>
      </w:r>
      <w:r>
        <w:t xml:space="preserve"> </w:t>
      </w:r>
      <w:r>
        <w:t xml:space="preserve">con REGENIE en los 29,041 individuos no emparentados, y estudios familiares con SNIPAR usando los 100,323 individuos en redes familiares.</w:t>
      </w:r>
    </w:p>
    <w:p>
      <w:pPr>
        <w:pStyle w:val="Compact"/>
        <w:numPr>
          <w:ilvl w:val="0"/>
          <w:numId w:val="1006"/>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1"/>
    <w:bookmarkStart w:id="42" w:name="X6a93d6c5513bfcd6b0bf152c62f947154b28e28"/>
    <w:p>
      <w:pPr>
        <w:pStyle w:val="Heading2"/>
      </w:pPr>
      <w:r>
        <w:t xml:space="preserve">SLIDE 17A —</w:t>
      </w:r>
      <w:r>
        <w:t xml:space="preserve"> </w:t>
      </w:r>
      <w:r>
        <w:t xml:space="preserve">“El estimador robusto (Guan et al., 2025)”</w:t>
      </w:r>
    </w:p>
    <w:p>
      <w:pPr>
        <w:pStyle w:val="FirstParagraph"/>
      </w:pPr>
      <w:r>
        <w:rPr>
          <w:b/>
          <w:bCs/>
        </w:rPr>
        <w:t xml:space="preserve">[Contenido visual]:</w:t>
      </w:r>
      <w:r>
        <w:t xml:space="preserve"> </w:t>
      </w:r>
      <w:r>
        <w:t xml:space="preserve">Gráfica de ganancia de poder estadístico (</w:t>
      </w:r>
      <m:oMath>
        <m:sSub>
          <m:e>
            <m:r>
              <m:t>N</m:t>
            </m:r>
          </m:e>
          <m:sub>
            <m:r>
              <m:rPr>
                <m:nor/>
                <m:sty m:val="p"/>
              </m:rPr>
              <m:t>eff</m:t>
            </m:r>
          </m:sub>
        </m:sSub>
      </m:oMath>
      <w:r>
        <w:t xml:space="preserve">) respecto al diseño de hermanos (con nota sobre validación pendiente de los números de la cohorte).</w:t>
      </w:r>
    </w:p>
    <w:p>
      <w:pPr>
        <w:pStyle w:val="BodyText"/>
      </w:pPr>
      <w:r>
        <w:rPr>
          <w:b/>
          <w:bCs/>
        </w:rPr>
        <w:t xml:space="preserve">Guion:</w:t>
      </w:r>
    </w:p>
    <w:p>
      <w:pPr>
        <w:pStyle w:val="BlockText"/>
      </w:pPr>
      <w:r>
        <w:t xml:space="preserve">Escogimos este estimador robusto de Guan y colaboradores (2025) porque ataca directamente el mayor problema de los FGWAS: la severa pérdida de poder estadístico. Este método aprovecha la variación de cualquier individuo que cuente con al menos un familiar de primer grado genotipado, infiriendo los alelos no transmitidos para recuperar una enorme cantidad de tamaño de muestra efectivo (</w:t>
      </w:r>
      <m:oMath>
        <m:sSub>
          <m:e>
            <m:r>
              <m:t>N</m:t>
            </m:r>
          </m:e>
          <m:sub>
            <m:r>
              <m:rPr>
                <m:nor/>
                <m:sty m:val="p"/>
              </m:rPr>
              <m:t>eff</m:t>
            </m:r>
          </m:sub>
        </m:sSub>
      </m:oMath>
      <w:r>
        <w:t xml:space="preserve">). Además, y esto es crucial para nuestro contexto, es un estimador estrictamente</w:t>
      </w:r>
      <w:r>
        <w:t xml:space="preserve"> </w:t>
      </w:r>
      <w:r>
        <w:t xml:space="preserve">“robusto”</w:t>
      </w:r>
      <w:r>
        <w:t xml:space="preserve"> </w:t>
      </w:r>
      <w:r>
        <w:t xml:space="preserve">porque a diferencia de otros métodos, solo utiliza la variación aleatoria de la segregación mendeliana y no asume frecuencias alélicas poblacionales; esto evita introducir sesgos por la fuerte estructura poblacional y el mestizaje en México.</w:t>
      </w:r>
    </w:p>
    <w:p>
      <w:pPr>
        <w:pStyle w:val="FirstParagraph"/>
      </w:pPr>
      <w:r>
        <w:t xml:space="preserve">⏱️</w:t>
      </w:r>
      <w:r>
        <w:t xml:space="preserve"> </w:t>
      </w:r>
      <w:r>
        <w:rPr>
          <w:i/>
          <w:iCs/>
        </w:rPr>
        <w:t xml:space="preserve">~45 segundos</w:t>
      </w:r>
    </w:p>
    <w:p>
      <w:r>
        <w:pict>
          <v:rect style="width:0;height:1.5pt" o:hralign="center" o:hrstd="t" o:hr="t"/>
        </w:pict>
      </w:r>
    </w:p>
    <w:bookmarkEnd w:id="42"/>
    <w:bookmarkStart w:id="43" w:name="X2534e47e848c4971c5ea6fcf4bc7c3aab8be56b"/>
    <w:p>
      <w:pPr>
        <w:pStyle w:val="Heading2"/>
      </w:pPr>
      <w:r>
        <w:t xml:space="preserve">SLIDE 17B —</w:t>
      </w:r>
      <w:r>
        <w:t xml:space="preserve"> </w:t>
      </w:r>
      <w:r>
        <w:t xml:space="preserve">“Estructura familiar en la cohorte MCPS”</w:t>
      </w:r>
    </w:p>
    <w:p>
      <w:pPr>
        <w:pStyle w:val="FirstParagraph"/>
      </w:pPr>
      <w:r>
        <w:rPr>
          <w:b/>
          <w:bCs/>
        </w:rPr>
        <w:t xml:space="preserve">[Contenido visual]:</w:t>
      </w:r>
      <w:r>
        <w:t xml:space="preserve"> </w:t>
      </w:r>
      <w:r>
        <w:t xml:space="preserve">Gráfica de redes familiares en la cohorte MCPS (</w:t>
      </w:r>
      <w:r>
        <w:rPr>
          <w:rStyle w:val="VerbatimChar"/>
        </w:rPr>
        <w:t xml:space="preserve">ziyatdinov2023-family-networks.png</w:t>
      </w:r>
      <w:r>
        <w:t xml:space="preserve">).</w:t>
      </w:r>
    </w:p>
    <w:p>
      <w:pPr>
        <w:pStyle w:val="BodyText"/>
      </w:pPr>
      <w:r>
        <w:rPr>
          <w:b/>
          <w:bCs/>
        </w:rPr>
        <w:t xml:space="preserve">Guion:</w:t>
      </w:r>
    </w:p>
    <w:p>
      <w:pPr>
        <w:pStyle w:val="BlockText"/>
      </w:pPr>
      <w:r>
        <w:t xml:space="preserve">En este context, la cohorte MCPS es un ejemplo ideal para obtener efectos genéticos directos con este método. Dado que el reclutamiento se realizó de casa en casa, existe una cantidad masiva de relaciones de parentesco. Esto nos permite reconstruir extensas</w:t>
      </w:r>
      <w:r>
        <w:t xml:space="preserve"> </w:t>
      </w:r>
      <w:r>
        <w:rPr>
          <w:b/>
          <w:bCs/>
        </w:rPr>
        <w:t xml:space="preserve">familias informativas</w:t>
      </w:r>
      <w:r>
        <w:t xml:space="preserve">, lo que es absolutamente clave para potenciar el diseño experimental del estimador robusto sobre otras cohortes.</w:t>
      </w:r>
    </w:p>
    <w:p>
      <w:pPr>
        <w:pStyle w:val="FirstParagraph"/>
      </w:pPr>
      <w:r>
        <w:t xml:space="preserve">⏱️</w:t>
      </w:r>
      <w:r>
        <w:t xml:space="preserve"> </w:t>
      </w:r>
      <w:r>
        <w:rPr>
          <w:i/>
          <w:iCs/>
        </w:rPr>
        <w:t xml:space="preserve">~30 segundos</w:t>
      </w:r>
    </w:p>
    <w:p>
      <w:r>
        <w:pict>
          <v:rect style="width:0;height:1.5pt" o:hralign="center" o:hrstd="t" o:hr="t"/>
        </w:pict>
      </w:r>
    </w:p>
    <w:bookmarkEnd w:id="43"/>
    <w:bookmarkStart w:id="44" w:name="Xab499bef9f428c3712d8edde7b5bdb739bcaeca"/>
    <w:p>
      <w:pPr>
        <w:pStyle w:val="Heading2"/>
      </w:pPr>
      <w:r>
        <w:t xml:space="preserve">SLIDE 18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4"/>
    <w:bookmarkStart w:id="45" w:name="X8489c67e5310da53d844f2fb572e5ed96d2027f"/>
    <w:p>
      <w:pPr>
        <w:pStyle w:val="Heading2"/>
      </w:pPr>
      <w:r>
        <w:t xml:space="preserve">SLIDE 19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 e iterativo</w:t>
      </w:r>
      <w:r>
        <w:t xml:space="preserve"> </w:t>
      </w:r>
      <w:r>
        <w:t xml:space="preserve">a lo largo de cuatro semestres.</w:t>
      </w:r>
    </w:p>
    <w:p>
      <w:pPr>
        <w:pStyle w:val="BlockText"/>
      </w:pPr>
      <w:r>
        <w:t xml:space="preserve">Durante el</w:t>
      </w:r>
      <w:r>
        <w:t xml:space="preserve"> </w:t>
      </w:r>
      <w:r>
        <w:rPr>
          <w:b/>
          <w:bCs/>
        </w:rPr>
        <w:t xml:space="preserve">primer semestre</w:t>
      </w:r>
      <w:r>
        <w:t xml:space="preserve">, las ejecuciones piloto —restringidas al cromosoma 22 y a tres fenotipos— nos ayudaron a calibrar los parámetros iniciales del pipeline.</w:t>
      </w:r>
    </w:p>
    <w:p>
      <w:pPr>
        <w:pStyle w:val="BlockText"/>
      </w:pPr>
      <w:r>
        <w:t xml:space="preserve">Posteriormente, en el</w:t>
      </w:r>
      <w:r>
        <w:t xml:space="preserve"> </w:t>
      </w:r>
      <w:r>
        <w:rPr>
          <w:b/>
          <w:bCs/>
        </w:rPr>
        <w:t xml:space="preserve">segundo semestre</w:t>
      </w:r>
      <w:r>
        <w:t xml:space="preserve"> </w:t>
      </w:r>
      <w:r>
        <w:t xml:space="preserve">—con mucha ayuda del equipo de MCPS en Oxford—, escalamos la infraestructura utilizando los datos imputados con el panel de referencia TOPMed, estableciendo así el marco de imputación mendeliana a escala genómica.</w:t>
      </w:r>
    </w:p>
    <w:p>
      <w:pPr>
        <w:pStyle w:val="BlockText"/>
      </w:pPr>
      <w:r>
        <w:t xml:space="preserve">En el</w:t>
      </w:r>
      <w:r>
        <w:t xml:space="preserve"> </w:t>
      </w:r>
      <w:r>
        <w:rPr>
          <w:b/>
          <w:bCs/>
        </w:rPr>
        <w:t xml:space="preserve">Semestre 3</w:t>
      </w:r>
      <w:r>
        <w:t xml:space="preserve"> </w:t>
      </w:r>
      <w:r>
        <w:t xml:space="preserve">incorporamos las estimaciones del GWAS poblacional y desplegamos de forma íntegra el estimador robusto.</w:t>
      </w:r>
    </w:p>
    <w:p>
      <w:pPr>
        <w:pStyle w:val="BlockText"/>
      </w:pPr>
      <w:r>
        <w:t xml:space="preserve">Finalmente, en el</w:t>
      </w:r>
      <w:r>
        <w:t xml:space="preserve"> </w:t>
      </w:r>
      <w:r>
        <w:rPr>
          <w:b/>
          <w:bCs/>
        </w:rPr>
        <w:t xml:space="preserve">Semestre 4</w:t>
      </w:r>
      <w:r>
        <w:t xml:space="preserve"> </w:t>
      </w:r>
      <w:r>
        <w:t xml:space="preserve">completaremos el atlas genético abarcando los 28 rasgos propuestos y concluiremos el análisis integral.</w:t>
      </w:r>
      <w:r>
        <w:t xml:space="preserve"> </w:t>
      </w:r>
      <w:r>
        <w:t xml:space="preserve">Esta progresión metódica nos permitió validar exhaustivamente cada fase analítica antes de proyectarla a la totalidad del genoma.</w:t>
      </w:r>
    </w:p>
    <w:p>
      <w:pPr>
        <w:pStyle w:val="FirstParagraph"/>
      </w:pPr>
      <w:r>
        <w:t xml:space="preserve">⏱️</w:t>
      </w:r>
      <w:r>
        <w:t xml:space="preserve"> </w:t>
      </w:r>
      <w:r>
        <w:rPr>
          <w:i/>
          <w:iCs/>
        </w:rPr>
        <w:t xml:space="preserve">~1 minuto 20 segundos</w:t>
      </w:r>
    </w:p>
    <w:p>
      <w:r>
        <w:pict>
          <v:rect style="width:0;height:1.5pt" o:hralign="center" o:hrstd="t" o:hr="t"/>
        </w:pict>
      </w:r>
    </w:p>
    <w:bookmarkEnd w:id="45"/>
    <w:bookmarkStart w:id="46" w:name="slide-20-datos-de-entrada-fenotipos"/>
    <w:p>
      <w:pPr>
        <w:pStyle w:val="Heading2"/>
      </w:pPr>
      <w:r>
        <w:t xml:space="preserve">SLIDE 20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7"/>
    <w:bookmarkStart w:id="48"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8"/>
    <w:bookmarkStart w:id="49" w:name="X57f19b1266b97e2df77265a69183c2ac425bb9c"/>
    <w:p>
      <w:pPr>
        <w:pStyle w:val="Heading2"/>
      </w:pPr>
      <w:r>
        <w:t xml:space="preserve">SLIDE 23 (Transición) —</w:t>
      </w:r>
      <w:r>
        <w:t xml:space="preserve"> </w:t>
      </w:r>
      <w:r>
        <w:t xml:space="preserve">“Objetivos: Asociaciones”</w:t>
      </w:r>
    </w:p>
    <w:p>
      <w:pPr>
        <w:pStyle w:val="FirstParagraph"/>
      </w:pPr>
      <w:r>
        <w:rPr>
          <w:b/>
          <w:bCs/>
        </w:rPr>
        <w:t xml:space="preserve">[Contenido visual]:</w:t>
      </w:r>
      <w:r>
        <w:t xml:space="preserve"> </w:t>
      </w:r>
      <w:r>
        <w:t xml:space="preserve">Diapositiva de objetivos con el punto 1 (Asociaciones) en color, los demás en gris.</w:t>
      </w:r>
    </w:p>
    <w:p>
      <w:pPr>
        <w:pStyle w:val="BodyText"/>
      </w:pPr>
      <w:r>
        <w:rPr>
          <w:b/>
          <w:bCs/>
        </w:rPr>
        <w:t xml:space="preserve">Guion:</w:t>
      </w:r>
    </w:p>
    <w:p>
      <w:pPr>
        <w:pStyle w:val="BlockText"/>
      </w:pPr>
      <w:r>
        <w:t xml:space="preserve">Retomando nuestros objetivos, comenzaremos evaluando el incremento en el tamaño de muestra al utilizar el estimador robusto.</w:t>
      </w:r>
    </w:p>
    <w:p>
      <w:pPr>
        <w:pStyle w:val="FirstParagraph"/>
      </w:pPr>
      <w:r>
        <w:t xml:space="preserve">⏱️</w:t>
      </w:r>
      <w:r>
        <w:t xml:space="preserve"> </w:t>
      </w:r>
      <w:r>
        <w:rPr>
          <w:i/>
          <w:iCs/>
        </w:rPr>
        <w:t xml:space="preserve">~10 segundos</w:t>
      </w:r>
    </w:p>
    <w:p>
      <w:r>
        <w:pict>
          <v:rect style="width:0;height:1.5pt" o:hralign="center" o:hrstd="t" o:hr="t"/>
        </w:pict>
      </w:r>
    </w:p>
    <w:bookmarkEnd w:id="49"/>
    <w:bookmarkStart w:id="50"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50"/>
    <w:bookmarkStart w:id="51" w:name="X26cea5bb161ca3591240cd971ed725fb99e718c"/>
    <w:p>
      <w:pPr>
        <w:pStyle w:val="Heading2"/>
      </w:pPr>
      <w:r>
        <w:t xml:space="preserve">SLIDE 24 (Transición) —</w:t>
      </w:r>
      <w:r>
        <w:t xml:space="preserve"> </w:t>
      </w:r>
      <w:r>
        <w:t xml:space="preserve">“Objetivos: Heredabilidad”</w:t>
      </w:r>
    </w:p>
    <w:p>
      <w:pPr>
        <w:pStyle w:val="FirstParagraph"/>
      </w:pPr>
      <w:r>
        <w:rPr>
          <w:b/>
          <w:bCs/>
        </w:rPr>
        <w:t xml:space="preserve">[Contenido visual]:</w:t>
      </w:r>
      <w:r>
        <w:t xml:space="preserve"> </w:t>
      </w:r>
      <w:r>
        <w:t xml:space="preserve">Diapositiva de objetivos con el punto 2 (Heredabilidad) en color, los demás en gris.</w:t>
      </w:r>
    </w:p>
    <w:p>
      <w:pPr>
        <w:pStyle w:val="BodyText"/>
      </w:pPr>
      <w:r>
        <w:rPr>
          <w:b/>
          <w:bCs/>
        </w:rPr>
        <w:t xml:space="preserve">Guion:</w:t>
      </w:r>
    </w:p>
    <w:p>
      <w:pPr>
        <w:pStyle w:val="BlockText"/>
      </w:pPr>
      <w:r>
        <w:t xml:space="preserve">Pasando al segundo objetivo, nos enfocamos ahora en las estimaciones directas de heredabilidad.</w:t>
      </w:r>
    </w:p>
    <w:p>
      <w:pPr>
        <w:pStyle w:val="FirstParagraph"/>
      </w:pPr>
      <w:r>
        <w:t xml:space="preserve">⏱️</w:t>
      </w:r>
      <w:r>
        <w:t xml:space="preserve"> </w:t>
      </w:r>
      <w:r>
        <w:rPr>
          <w:i/>
          <w:iCs/>
        </w:rPr>
        <w:t xml:space="preserve">~10 segundos</w:t>
      </w:r>
    </w:p>
    <w:p>
      <w:r>
        <w:pict>
          <v:rect style="width:0;height:1.5pt" o:hralign="center" o:hrstd="t" o:hr="t"/>
        </w:pict>
      </w:r>
    </w:p>
    <w:bookmarkEnd w:id="51"/>
    <w:bookmarkStart w:id="52" w:name="X99e5664e569afaf30d2cdf4f9d4d5922fd25035"/>
    <w:p>
      <w:pPr>
        <w:pStyle w:val="Heading2"/>
      </w:pPr>
      <w:r>
        <w:t xml:space="preserve">SLIDE 24A —</w:t>
      </w:r>
      <w:r>
        <w:t xml:space="preserve"> </w:t>
      </w:r>
      <w:r>
        <w:t xml:space="preserve">“Resumen Metodológico: Heredabilidad”</w:t>
      </w:r>
    </w:p>
    <w:p>
      <w:pPr>
        <w:pStyle w:val="FirstParagraph"/>
      </w:pPr>
      <w:r>
        <w:rPr>
          <w:b/>
          <w:bCs/>
        </w:rPr>
        <w:t xml:space="preserve">[Contenido visual]:</w:t>
      </w:r>
      <w:r>
        <w:t xml:space="preserve"> </w:t>
      </w:r>
      <w:r>
        <w:t xml:space="preserve">Viñetas describiendo el software (SNIPAR, REGENIE, LDSC), variantes (autosomas) y la hipótesis esperada.</w:t>
      </w:r>
    </w:p>
    <w:p>
      <w:pPr>
        <w:pStyle w:val="BodyText"/>
      </w:pPr>
      <w:r>
        <w:rPr>
          <w:b/>
          <w:bCs/>
        </w:rPr>
        <w:t xml:space="preserve">Guion:</w:t>
      </w:r>
    </w:p>
    <w:p>
      <w:pPr>
        <w:pStyle w:val="BlockText"/>
      </w:pPr>
      <w:r>
        <w:t xml:space="preserve">Para lograr esto, aplicamos el estimador robusto SNIPAR y modelos poblacionales con REGENIE sobre todas las variantes comunes, calculando la heredabilidad con LDSC. Nuestra hipótesis, basada en estudios previos, era que el modelo poblacional presentaría estimaciones infladas por la estructura poblacional, y que nuestro diseño familiar nos permitiría observar el efecto directo real.</w:t>
      </w:r>
    </w:p>
    <w:p>
      <w:pPr>
        <w:pStyle w:val="FirstParagraph"/>
      </w:pPr>
      <w:r>
        <w:t xml:space="preserve">⏱️</w:t>
      </w:r>
      <w:r>
        <w:t xml:space="preserve"> </w:t>
      </w:r>
      <w:r>
        <w:rPr>
          <w:i/>
          <w:iCs/>
        </w:rPr>
        <w:t xml:space="preserve">~20 segundos</w:t>
      </w:r>
    </w:p>
    <w:p>
      <w:r>
        <w:pict>
          <v:rect style="width:0;height:1.5pt" o:hralign="center" o:hrstd="t" o:hr="t"/>
        </w:pict>
      </w:r>
    </w:p>
    <w:bookmarkEnd w:id="52"/>
    <w:bookmarkStart w:id="53"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53"/>
    <w:bookmarkStart w:id="54"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4"/>
    <w:bookmarkStart w:id="55"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bookmarkEnd w:id="55"/>
    <w:bookmarkStart w:id="56" w:name="Xdc0e0a27211f1e5d6f8d9e6a64878059a9eab7b"/>
    <w:p>
      <w:pPr>
        <w:pStyle w:val="Heading2"/>
      </w:pPr>
      <w:r>
        <w:t xml:space="preserve">SLIDE 27 —</w:t>
      </w:r>
      <w:r>
        <w:t xml:space="preserve"> </w:t>
      </w:r>
      <w:r>
        <w:t xml:space="preserve">“Comparación de prevalencias entre subcohortes”</w:t>
      </w:r>
    </w:p>
    <w:p>
      <w:pPr>
        <w:pStyle w:val="FirstParagraph"/>
      </w:pPr>
      <w:r>
        <w:rPr>
          <w:b/>
          <w:bCs/>
        </w:rPr>
        <w:t xml:space="preserve">[Contenido visual]:</w:t>
      </w:r>
      <w:r>
        <w:t xml:space="preserve"> </w:t>
      </w:r>
      <w:r>
        <w:t xml:space="preserve">Gráfico de comparación de prevalencias de fenotipos por subcohorte.</w:t>
      </w:r>
    </w:p>
    <w:p>
      <w:pPr>
        <w:pStyle w:val="BodyText"/>
      </w:pPr>
      <w:r>
        <w:rPr>
          <w:b/>
          <w:bCs/>
        </w:rPr>
        <w:t xml:space="preserve">Guion:</w:t>
      </w:r>
    </w:p>
    <w:p>
      <w:pPr>
        <w:pStyle w:val="BlockText"/>
      </w:pPr>
      <w:r>
        <w:t xml:space="preserve">Para entender mejor de dónde provienen estos sesgos, primero comparamos las prevalencias de los distintos fenotipos entre nuestras subcohortes. Observamos que la distribución no es uniforme, lo cual nos da un primer indicio claro de que los criterios de inclusión y la estructura familiar generan una sobre-representación de ciertos fenotipos.</w:t>
      </w:r>
    </w:p>
    <w:p>
      <w:pPr>
        <w:pStyle w:val="FirstParagraph"/>
      </w:pPr>
      <w:r>
        <w:t xml:space="preserve">⏱️</w:t>
      </w:r>
      <w:r>
        <w:t xml:space="preserve"> </w:t>
      </w:r>
      <w:r>
        <w:rPr>
          <w:i/>
          <w:iCs/>
        </w:rPr>
        <w:t xml:space="preserve">~30 segundos</w:t>
      </w:r>
    </w:p>
    <w:p>
      <w:r>
        <w:pict>
          <v:rect style="width:0;height:1.5pt" o:hralign="center" o:hrstd="t" o:hr="t"/>
        </w:pict>
      </w:r>
    </w:p>
    <w:bookmarkEnd w:id="56"/>
    <w:bookmarkStart w:id="57" w:name="X81846fe6a7ad779a70556fb82333166be88b3ba"/>
    <w:p>
      <w:pPr>
        <w:pStyle w:val="Heading2"/>
      </w:pPr>
      <w:r>
        <w:t xml:space="preserve">SLIDE 28 —</w:t>
      </w:r>
      <w:r>
        <w:t xml:space="preserve"> </w:t>
      </w:r>
      <w:r>
        <w:t xml:space="preserve">“Las subcohortes tiene diferencias sistemáticas por sesgos de averiguación”</w:t>
      </w:r>
    </w:p>
    <w:p>
      <w:pPr>
        <w:pStyle w:val="FirstParagraph"/>
      </w:pPr>
      <w:r>
        <w:rPr>
          <w:b/>
          <w:bCs/>
        </w:rPr>
        <w:t xml:space="preserve">[Contenido visual]:</w:t>
      </w:r>
      <w:r>
        <w:t xml:space="preserve"> </w:t>
      </w:r>
      <w:r>
        <w:t xml:space="preserve">Gráfico de bosque (</w:t>
      </w:r>
      <w:r>
        <w:rPr>
          <w:i/>
          <w:iCs/>
        </w:rPr>
        <w:t xml:space="preserve">forest plot</w:t>
      </w:r>
      <w:r>
        <w:t xml:space="preserve">) evaluando diferencias de medias estandarizadas (SMD) por sesgos de averiguación.</w:t>
      </w:r>
    </w:p>
    <w:p>
      <w:pPr>
        <w:pStyle w:val="BodyText"/>
      </w:pPr>
      <w:r>
        <w:rPr>
          <w:b/>
          <w:bCs/>
        </w:rPr>
        <w:t xml:space="preserve">Guion:</w:t>
      </w:r>
    </w:p>
    <w:p>
      <w:pPr>
        <w:pStyle w:val="BlockText"/>
      </w:pPr>
      <w:r>
        <w:t xml:space="preserve">Analizando los sesgos de averiguación, observamos diferencias sistemáticas significativas entre las subcohortes de nuestra muestra. Al ver el tamaño del efecto estandarizado en múltiples fenotipos, se hace evidente que la forma en que los individuos fueron reclutados o detectados altera las mediciones poblacionales frente a los datos dentro-de-familia.</w:t>
      </w:r>
    </w:p>
    <w:p>
      <w:pPr>
        <w:pStyle w:val="FirstParagraph"/>
      </w:pPr>
      <w:r>
        <w:t xml:space="preserve">⏱️</w:t>
      </w:r>
      <w:r>
        <w:t xml:space="preserve"> </w:t>
      </w:r>
      <w:r>
        <w:rPr>
          <w:i/>
          <w:iCs/>
        </w:rPr>
        <w:t xml:space="preserve">~50 segundos</w:t>
      </w:r>
    </w:p>
    <w:p>
      <w:r>
        <w:pict>
          <v:rect style="width:0;height:1.5pt" o:hralign="center" o:hrstd="t" o:hr="t"/>
        </w:pict>
      </w:r>
    </w:p>
    <w:bookmarkEnd w:id="57"/>
    <w:bookmarkStart w:id="58" w:name="X810baa7789e6bd076b416cd36ab05183fde436e"/>
    <w:p>
      <w:pPr>
        <w:pStyle w:val="Heading2"/>
      </w:pPr>
      <w:r>
        <w:t xml:space="preserve">SLIDE 29 —</w:t>
      </w:r>
      <w:r>
        <w:t xml:space="preserve"> </w:t>
      </w:r>
      <w:r>
        <w:t xml:space="preserve">“Patrones y Conclusiones de Atenuación”</w:t>
      </w:r>
    </w:p>
    <w:p>
      <w:pPr>
        <w:pStyle w:val="FirstParagraph"/>
      </w:pPr>
      <w:r>
        <w:rPr>
          <w:b/>
          <w:bCs/>
        </w:rPr>
        <w:t xml:space="preserve">[Contenido visual]:</w:t>
      </w:r>
      <w:r>
        <w:t xml:space="preserve"> </w:t>
      </w:r>
      <w:r>
        <w:t xml:space="preserve">Viñetas de texto resumiendo los tres patrones principales encontrados en la comparación de heredabilidades.</w:t>
      </w:r>
    </w:p>
    <w:p>
      <w:pPr>
        <w:pStyle w:val="BodyText"/>
      </w:pPr>
      <w:r>
        <w:rPr>
          <w:b/>
          <w:bCs/>
        </w:rPr>
        <w:t xml:space="preserve">Guion:</w:t>
      </w:r>
    </w:p>
    <w:p>
      <w:pPr>
        <w:pStyle w:val="BlockText"/>
      </w:pPr>
      <w:r>
        <w:t xml:space="preserve">Sintetizando estos hallazgos, podemos dividirlos en tres grandes patrones. Primero, para los rasgos mediados socialmente como el logro educativo y la estatura, observamos una fuerte atenuación, indicando que están dominados por efectos genéticos indirectos y el apareamiento selectivo.</w:t>
      </w:r>
      <w:r>
        <w:t xml:space="preserve"> </w:t>
      </w:r>
      <w:r>
        <w:t xml:space="preserve">Segundo, para los rasgos cardiometabólicos la atenuación es mínima, lo que nos da confianza de que los estudios poblacionales están capturando efectos biológicos directos.</w:t>
      </w:r>
      <w:r>
        <w:t xml:space="preserve"> </w:t>
      </w:r>
      <w:r>
        <w:t xml:space="preserve">Y tercero, el caso especial de la diabetes, donde vemos una inversión. Esta mayor heredabilidad directa refleja probablemente cómo la estructura genética admixta deflaciona las estimaciones poblacionales al controlar de forma imperfecta la estratificación.</w:t>
      </w:r>
    </w:p>
    <w:p>
      <w:pPr>
        <w:pStyle w:val="FirstParagraph"/>
      </w:pPr>
      <w:r>
        <w:t xml:space="preserve">⏱️</w:t>
      </w:r>
      <w:r>
        <w:t xml:space="preserve"> </w:t>
      </w:r>
      <w:r>
        <w:rPr>
          <w:i/>
          <w:iCs/>
        </w:rPr>
        <w:t xml:space="preserve">~50 segundos</w:t>
      </w:r>
    </w:p>
    <w:p>
      <w:r>
        <w:pict>
          <v:rect style="width:0;height:1.5pt" o:hralign="center" o:hrstd="t" o:hr="t"/>
        </w:pict>
      </w:r>
    </w:p>
    <w:bookmarkEnd w:id="58"/>
    <w:bookmarkStart w:id="59" w:name="Xf2fb6112b923b37321b0cc321c443481980524c"/>
    <w:p>
      <w:pPr>
        <w:pStyle w:val="Heading2"/>
      </w:pPr>
      <w:r>
        <w:t xml:space="preserve">SLIDE 30 (Transición) —</w:t>
      </w:r>
      <w:r>
        <w:t xml:space="preserve"> </w:t>
      </w:r>
      <w:r>
        <w:t xml:space="preserve">“Objetivos: Comparación de efectos”</w:t>
      </w:r>
    </w:p>
    <w:p>
      <w:pPr>
        <w:pStyle w:val="FirstParagraph"/>
      </w:pPr>
      <w:r>
        <w:rPr>
          <w:b/>
          <w:bCs/>
        </w:rPr>
        <w:t xml:space="preserve">[Contenido visual]:</w:t>
      </w:r>
      <w:r>
        <w:t xml:space="preserve"> </w:t>
      </w:r>
      <w:r>
        <w:t xml:space="preserve">Diapositiva de objetivos con el punto 3 (Comparación de efectos) en color, los demás en gris.</w:t>
      </w:r>
    </w:p>
    <w:p>
      <w:pPr>
        <w:pStyle w:val="BodyText"/>
      </w:pPr>
      <w:r>
        <w:rPr>
          <w:b/>
          <w:bCs/>
        </w:rPr>
        <w:t xml:space="preserve">Guion:</w:t>
      </w:r>
    </w:p>
    <w:p>
      <w:pPr>
        <w:pStyle w:val="BlockText"/>
      </w:pPr>
      <w:r>
        <w:t xml:space="preserve">Ahora, abordaremos el tercer objetivo: la cuantificación empírica del sesgo mediante la comparación de los tamaños de efecto, atenuaciones a nivel locus y las diferencias genéticas por ancestría.</w:t>
      </w:r>
    </w:p>
    <w:p>
      <w:pPr>
        <w:pStyle w:val="FirstParagraph"/>
      </w:pPr>
      <w:r>
        <w:t xml:space="preserve">⏱️</w:t>
      </w:r>
      <w:r>
        <w:t xml:space="preserve"> </w:t>
      </w:r>
      <w:r>
        <w:rPr>
          <w:i/>
          <w:iCs/>
        </w:rPr>
        <w:t xml:space="preserve">~15 segundos</w:t>
      </w:r>
    </w:p>
    <w:p>
      <w:r>
        <w:pict>
          <v:rect style="width:0;height:1.5pt" o:hralign="center" o:hrstd="t" o:hr="t"/>
        </w:pict>
      </w:r>
    </w:p>
    <w:bookmarkEnd w:id="59"/>
    <w:bookmarkStart w:id="60" w:name="X66d9b231b30e5628852bbfea9771e7ea93f3b30"/>
    <w:p>
      <w:pPr>
        <w:pStyle w:val="Heading2"/>
      </w:pPr>
      <w:r>
        <w:t xml:space="preserve">SLIDE 30A —</w:t>
      </w:r>
      <w:r>
        <w:t xml:space="preserve"> </w:t>
      </w:r>
      <w:r>
        <w:t xml:space="preserve">“Resumen Metodológico: Locus Independientes”</w:t>
      </w:r>
    </w:p>
    <w:p>
      <w:pPr>
        <w:pStyle w:val="FirstParagraph"/>
      </w:pPr>
      <w:r>
        <w:rPr>
          <w:b/>
          <w:bCs/>
        </w:rPr>
        <w:t xml:space="preserve">[Contenido visual]:</w:t>
      </w:r>
      <w:r>
        <w:t xml:space="preserve"> </w:t>
      </w:r>
      <w:r>
        <w:t xml:space="preserve">Viñetas describiendo el software (PLINK2, SNIPAR), las variantes analizadas (Loci genoma-significativos) y la hipótesis.</w:t>
      </w:r>
    </w:p>
    <w:p>
      <w:pPr>
        <w:pStyle w:val="BodyText"/>
      </w:pPr>
      <w:r>
        <w:rPr>
          <w:b/>
          <w:bCs/>
        </w:rPr>
        <w:t xml:space="preserve">Guion:</w:t>
      </w:r>
    </w:p>
    <w:p>
      <w:pPr>
        <w:pStyle w:val="BlockText"/>
      </w:pPr>
      <w:r>
        <w:t xml:space="preserve">Para esta etapa, filtramos nuestras asociaciones utilizando un procedimiento de clumping con PLINK2 para aislar los locus independientes con significancia genómica. Esperábamos que los efectos poblacionales estuvieran localmente inflados por confusión ambiental, y que el diseño familiar atenuara estos sesgos acercándose al verdadero efecto biológico.</w:t>
      </w:r>
    </w:p>
    <w:p>
      <w:pPr>
        <w:pStyle w:val="FirstParagraph"/>
      </w:pPr>
      <w:r>
        <w:t xml:space="preserve">⏱️</w:t>
      </w:r>
      <w:r>
        <w:t xml:space="preserve"> </w:t>
      </w:r>
      <w:r>
        <w:rPr>
          <w:i/>
          <w:iCs/>
        </w:rPr>
        <w:t xml:space="preserve">~20 segundos</w:t>
      </w:r>
    </w:p>
    <w:p>
      <w:r>
        <w:pict>
          <v:rect style="width:0;height:1.5pt" o:hralign="center" o:hrstd="t" o:hr="t"/>
        </w:pict>
      </w:r>
    </w:p>
    <w:bookmarkEnd w:id="60"/>
    <w:bookmarkStart w:id="61" w:name="X719be405e374ccf5ec607f847ce33ff773cd869"/>
    <w:p>
      <w:pPr>
        <w:pStyle w:val="Heading2"/>
      </w:pPr>
      <w:r>
        <w:t xml:space="preserve">SLIDE 30 —</w:t>
      </w:r>
      <w:r>
        <w:t xml:space="preserve"> </w:t>
      </w:r>
      <w:r>
        <w:t xml:space="preserve">“Atenuación a nivel de</w:t>
      </w:r>
      <w:r>
        <w:t xml:space="preserve"> </w:t>
      </w:r>
      <w:r>
        <w:rPr>
          <w:i/>
          <w:iCs/>
        </w:rPr>
        <w:t xml:space="preserve">locus</w:t>
      </w:r>
      <w:r>
        <w:t xml:space="preserve"> </w:t>
      </w:r>
      <w:r>
        <w:t xml:space="preserve">independientes (Clumping)”</w:t>
      </w:r>
    </w:p>
    <w:p>
      <w:pPr>
        <w:pStyle w:val="FirstParagraph"/>
      </w:pPr>
      <w:r>
        <w:rPr>
          <w:b/>
          <w:bCs/>
        </w:rPr>
        <w:t xml:space="preserve">[Contenido visual]:</w:t>
      </w:r>
      <w:r>
        <w:t xml:space="preserve"> </w:t>
      </w:r>
      <w:r>
        <w:t xml:space="preserve">Tabla de resultados de</w:t>
      </w:r>
      <w:r>
        <w:t xml:space="preserve"> </w:t>
      </w:r>
      <w:r>
        <w:rPr>
          <w:i/>
          <w:iCs/>
        </w:rPr>
        <w:t xml:space="preserve">fine-mapping</w:t>
      </w:r>
      <w:r>
        <w:t xml:space="preserve"> </w:t>
      </w:r>
      <w:r>
        <w:t xml:space="preserve">comparando PopGWAS y FGWAS en</w:t>
      </w:r>
      <w:r>
        <w:t xml:space="preserve"> </w:t>
      </w:r>
      <w:r>
        <w:rPr>
          <w:i/>
          <w:iCs/>
        </w:rPr>
        <w:t xml:space="preserve">loci</w:t>
      </w:r>
      <w:r>
        <w:t xml:space="preserve"> </w:t>
      </w:r>
      <w:r>
        <w:t xml:space="preserve">representativos.</w:t>
      </w:r>
    </w:p>
    <w:p>
      <w:pPr>
        <w:pStyle w:val="BodyText"/>
      </w:pPr>
      <w:r>
        <w:rPr>
          <w:b/>
          <w:bCs/>
        </w:rPr>
        <w:t xml:space="preserve">Guion:</w:t>
      </w:r>
    </w:p>
    <w:p>
      <w:pPr>
        <w:pStyle w:val="BlockText"/>
      </w:pPr>
      <w:r>
        <w:t xml:space="preserve">Para confirmar que esta atenuación global en la heredabilidad también ocurre a nivel local, aislamos los</w:t>
      </w:r>
      <w:r>
        <w:t xml:space="preserve"> </w:t>
      </w:r>
      <w:r>
        <w:rPr>
          <w:i/>
          <w:iCs/>
        </w:rPr>
        <w:t xml:space="preserve">loci</w:t>
      </w:r>
      <w:r>
        <w:t xml:space="preserve"> </w:t>
      </w:r>
      <w:r>
        <w:t xml:space="preserve">independientes mediante</w:t>
      </w:r>
      <w:r>
        <w:t xml:space="preserve"> </w:t>
      </w:r>
      <w:r>
        <w:rPr>
          <w:i/>
          <w:iCs/>
        </w:rPr>
        <w:t xml:space="preserve">clumping</w:t>
      </w:r>
      <w:r>
        <w:t xml:space="preserve">.</w:t>
      </w:r>
      <w:r>
        <w:t xml:space="preserve"> </w:t>
      </w:r>
      <w:r>
        <w:t xml:space="preserve">Lo que encontramos, como se muestra en esta tabla, es que variantes fuertemente asociadas a diabetes en GWAS poblacionales, como en el gen CDKAL1 o CDKN2B, ven sus efectos reducidos casi a cero en los análisis dentro-de-familia. Esto nos demuestra empíricamente que la señal capturada por el estudio poblacional en estos</w:t>
      </w:r>
      <w:r>
        <w:t xml:space="preserve"> </w:t>
      </w:r>
      <w:r>
        <w:rPr>
          <w:i/>
          <w:iCs/>
        </w:rPr>
        <w:t xml:space="preserve">loci</w:t>
      </w:r>
      <w:r>
        <w:t xml:space="preserve"> </w:t>
      </w:r>
      <w:r>
        <w:t xml:space="preserve">era principalmente ruido originado por estratificación ambiental.</w:t>
      </w:r>
    </w:p>
    <w:p>
      <w:pPr>
        <w:pStyle w:val="FirstParagraph"/>
      </w:pPr>
      <w:r>
        <w:t xml:space="preserve">⏱️</w:t>
      </w:r>
      <w:r>
        <w:t xml:space="preserve"> </w:t>
      </w:r>
      <w:r>
        <w:rPr>
          <w:i/>
          <w:iCs/>
        </w:rPr>
        <w:t xml:space="preserve">~50 segundos</w:t>
      </w:r>
    </w:p>
    <w:p>
      <w:r>
        <w:pict>
          <v:rect style="width:0;height:1.5pt" o:hralign="center" o:hrstd="t" o:hr="t"/>
        </w:pict>
      </w:r>
    </w:p>
    <w:bookmarkEnd w:id="61"/>
    <w:bookmarkEnd w:id="62"/>
    <w:bookmarkStart w:id="66" w:name="sección-7-conclusiones-y-próximos-pasos"/>
    <w:p>
      <w:pPr>
        <w:pStyle w:val="Heading1"/>
      </w:pPr>
      <w:r>
        <w:t xml:space="preserve">SECCIÓN 7 — CONCLUSIONES Y PRÓXIMOS PASOS</w:t>
      </w:r>
    </w:p>
    <w:bookmarkStart w:id="63" w:name="X6b1db0ca94fd25b3d5af4d1b7b694708e5eb5e6"/>
    <w:p>
      <w:pPr>
        <w:pStyle w:val="Heading2"/>
      </w:pPr>
      <w:r>
        <w:t xml:space="preserve">SLIDE 32 —</w:t>
      </w:r>
      <w:r>
        <w:t xml:space="preserve"> </w:t>
      </w:r>
      <w:r>
        <w:t xml:space="preserve">“Conclusiones: Relevancia de los Modelos Familiares”</w:t>
      </w:r>
    </w:p>
    <w:p>
      <w:pPr>
        <w:pStyle w:val="FirstParagraph"/>
      </w:pPr>
      <w:r>
        <w:rPr>
          <w:b/>
          <w:bCs/>
        </w:rPr>
        <w:t xml:space="preserve">[Contenido visual]:</w:t>
      </w:r>
      <w:r>
        <w:t xml:space="preserve"> </w:t>
      </w:r>
      <w:r>
        <w:t xml:space="preserve">Viñetas resumiendo (1) Diagnóstico de Sesgos, (2) Poder Estadístico en MCPS, y (3) Predicción de Riesgo, con sub-viñetas ejemplificando nuestros resultados en diabetes, tamaño de muestra y PRS.</w:t>
      </w:r>
    </w:p>
    <w:p>
      <w:pPr>
        <w:pStyle w:val="BodyText"/>
      </w:pPr>
      <w:r>
        <w:rPr>
          <w:b/>
          <w:bCs/>
        </w:rPr>
        <w:t xml:space="preserve">Guion:</w:t>
      </w:r>
    </w:p>
    <w:p>
      <w:pPr>
        <w:pStyle w:val="BlockText"/>
      </w:pPr>
      <w:r>
        <w:t xml:space="preserve">Para concluir, agrupamos la relevancia de nuestros modelos familiares en tres puntos clave.</w:t>
      </w:r>
    </w:p>
    <w:p>
      <w:pPr>
        <w:pStyle w:val="BlockText"/>
      </w:pPr>
      <w:r>
        <w:t xml:space="preserve">En primer lugar, es crucial comprender que los GWAS familiares operan como herramientas diagnósticas. Como ejemplo destacado, en diabetes mellitus —un fenotipo con alto sesgo poblacional y fuertemente ligado a la ancestría según reportes recientes— logramos identificar falsos positivos en loci canónicos que estaban impulsados meramente por confusión ambiental.</w:t>
      </w:r>
    </w:p>
    <w:p>
      <w:pPr>
        <w:pStyle w:val="BlockText"/>
      </w:pPr>
      <w:r>
        <w:t xml:space="preserve">En segundo lugar, al implementar el estimador robusto, logramos incrementar nuestro poder estadístico con un tamaño de muestra aproximadamente 36% mayor que los diseños clásicos. Esto nos permitió constatar fehacientemente la existencia de dichos sesgos estructurales sin perder información valiosa.</w:t>
      </w:r>
    </w:p>
    <w:p>
      <w:pPr>
        <w:pStyle w:val="BlockText"/>
      </w:pPr>
      <w:r>
        <w:t xml:space="preserve">Finalmente, de cara al futuro, resulta imperativo desarrollar herramientas de predicción más precisas para México. Evaluar empíricamente si los scores poligénicos derivados de estimaciones familiares mejoran nuestra precisión predictiva es el siguiente gran paso para consolidar esta evidencia.</w:t>
      </w:r>
    </w:p>
    <w:p>
      <w:pPr>
        <w:pStyle w:val="FirstParagraph"/>
      </w:pPr>
      <w:r>
        <w:t xml:space="preserve">⏱️</w:t>
      </w:r>
      <w:r>
        <w:t xml:space="preserve"> </w:t>
      </w:r>
      <w:r>
        <w:rPr>
          <w:i/>
          <w:iCs/>
        </w:rPr>
        <w:t xml:space="preserve">~1 minuto 45 segundos</w:t>
      </w:r>
    </w:p>
    <w:p>
      <w:r>
        <w:pict>
          <v:rect style="width:0;height:1.5pt" o:hralign="center" o:hrstd="t" o:hr="t"/>
        </w:pict>
      </w:r>
    </w:p>
    <w:bookmarkEnd w:id="63"/>
    <w:bookmarkStart w:id="64" w:name="Xa637efa289a6e9b7275e419c3dae2b0a477a301"/>
    <w:p>
      <w:pPr>
        <w:pStyle w:val="Heading2"/>
      </w:pPr>
      <w:r>
        <w:t xml:space="preserve">SLIDE 33 —</w:t>
      </w:r>
      <w:r>
        <w:t xml:space="preserve"> </w:t>
      </w:r>
      <w:r>
        <w:t xml:space="preserve">“Diferencias significativas (FDR) y frecuencias alélicas”</w:t>
      </w:r>
    </w:p>
    <w:p>
      <w:pPr>
        <w:pStyle w:val="FirstParagraph"/>
      </w:pPr>
      <w:r>
        <w:rPr>
          <w:b/>
          <w:bCs/>
        </w:rPr>
        <w:t xml:space="preserve">[Contenido visual]:</w:t>
      </w:r>
      <w:r>
        <w:t xml:space="preserve"> </w:t>
      </w:r>
      <w:r>
        <w:t xml:space="preserve">Tabla con los SNPs que presentan diferencias de efecto significativas y sus frecuencias alélicas por ancestría.</w:t>
      </w:r>
    </w:p>
    <w:p>
      <w:pPr>
        <w:pStyle w:val="BodyText"/>
      </w:pPr>
      <w:r>
        <w:rPr>
          <w:b/>
          <w:bCs/>
        </w:rPr>
        <w:t xml:space="preserve">Guion:</w:t>
      </w:r>
    </w:p>
    <w:p>
      <w:pPr>
        <w:pStyle w:val="BlockText"/>
      </w:pPr>
      <w:r>
        <w:t xml:space="preserve">Para profundizar en estos hallazgos, analizamos específicamente los SNPs con diferencias significativas en un false discovery rate. Como observamos en esta tabla, al agregar la información de las frecuencias alélicas del MCPS, vemos claramente la distribución en individuos de ancestría indígena mexicana (IMX) frente a europea (EUR). Esto ilustra cómo la estructura poblacional puede inflar los efectos en loci que tradicionalmente asociábamos a fenotipos como la diabetes o niveles de colesterol.</w:t>
      </w:r>
    </w:p>
    <w:p>
      <w:pPr>
        <w:pStyle w:val="FirstParagraph"/>
      </w:pPr>
      <w:r>
        <w:t xml:space="preserve">⏱️</w:t>
      </w:r>
      <w:r>
        <w:t xml:space="preserve"> </w:t>
      </w:r>
      <w:r>
        <w:rPr>
          <w:i/>
          <w:iCs/>
        </w:rPr>
        <w:t xml:space="preserve">~45 segundos</w:t>
      </w:r>
    </w:p>
    <w:p>
      <w:r>
        <w:pict>
          <v:rect style="width:0;height:1.5pt" o:hralign="center" o:hrstd="t" o:hr="t"/>
        </w:pict>
      </w:r>
    </w:p>
    <w:bookmarkEnd w:id="64"/>
    <w:bookmarkStart w:id="65" w:name="slide-34-próximos-pasos"/>
    <w:p>
      <w:pPr>
        <w:pStyle w:val="Heading2"/>
      </w:pPr>
      <w:r>
        <w:t xml:space="preserve">SLIDE 34 —</w:t>
      </w:r>
      <w:r>
        <w:t xml:space="preserve"> </w:t>
      </w:r>
      <w:r>
        <w:t xml:space="preserve">“Próximos pasos”</w:t>
      </w:r>
    </w:p>
    <w:p>
      <w:pPr>
        <w:pStyle w:val="FirstParagraph"/>
      </w:pPr>
      <w:r>
        <w:rPr>
          <w:b/>
          <w:bCs/>
        </w:rPr>
        <w:t xml:space="preserve">Guion:</w:t>
      </w:r>
    </w:p>
    <w:p>
      <w:pPr>
        <w:pStyle w:val="BlockText"/>
      </w:pPr>
      <w:r>
        <w:t xml:space="preserve">Para el resto de la tesis, los pasos subsecuentes son:</w:t>
      </w:r>
    </w:p>
    <w:p>
      <w:pPr>
        <w:pStyle w:val="BlockText"/>
        <w:numPr>
          <w:ilvl w:val="0"/>
          <w:numId w:val="1007"/>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7"/>
        </w:numPr>
      </w:pPr>
      <w:r>
        <w:rPr>
          <w:b/>
          <w:bCs/>
          <w:i/>
          <w:iCs/>
        </w:rPr>
        <w:t xml:space="preserve">Fine-mapping</w:t>
      </w:r>
      <w:r>
        <w:rPr>
          <w:b/>
          <w:bCs/>
        </w:rPr>
        <w:t xml:space="preserve"> </w:t>
      </w:r>
      <w:r>
        <w:rPr>
          <w:b/>
          <w:bCs/>
        </w:rPr>
        <w:t xml:space="preserve">funcional</w:t>
      </w:r>
      <w:r>
        <w:t xml:space="preserve"> </w:t>
      </w:r>
      <w:r>
        <w:t xml:space="preserve">— aislar señales independientes y contrastar estimaciones utilizando métodos de corrección rigurosos.</w:t>
      </w:r>
    </w:p>
    <w:p>
      <w:pPr>
        <w:pStyle w:val="BlockText"/>
        <w:numPr>
          <w:ilvl w:val="0"/>
          <w:numId w:val="1007"/>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7"/>
        </w:numPr>
      </w:pPr>
      <w:r>
        <w:rPr>
          <w:b/>
          <w:bCs/>
        </w:rPr>
        <w:t xml:space="preserve">Publicaciones</w:t>
      </w:r>
      <w:r>
        <w:t xml:space="preserve"> </w:t>
      </w:r>
      <w:r>
        <w:t xml:space="preserve">— redactar un artículo de revisión sobre diseños familiares en poblaciones admixtas (deadline: 11 de noviembre de 2026) y el artículo original de resultados.</w:t>
      </w:r>
    </w:p>
    <w:p>
      <w:pPr>
        <w:pStyle w:val="BlockText"/>
        <w:numPr>
          <w:ilvl w:val="0"/>
          <w:numId w:val="1007"/>
        </w:numPr>
      </w:pPr>
      <w:r>
        <w:rPr>
          <w:b/>
          <w:bCs/>
        </w:rPr>
        <w:t xml:space="preserve">Congresos</w:t>
      </w:r>
      <w:r>
        <w:t xml:space="preserve"> </w:t>
      </w:r>
      <w:r>
        <w:t xml:space="preserve">— diseminación en el Simposio EPCM del INMEGEN (octubre 2026) y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65"/>
    <w:bookmarkEnd w:id="66"/>
    <w:bookmarkStart w:id="69" w:name="X3b12542ebf4e4c269161f065ef64fb189d30203"/>
    <w:p>
      <w:pPr>
        <w:pStyle w:val="Heading1"/>
      </w:pPr>
      <w:r>
        <w:t xml:space="preserve">SECCIÓN 8 — COLABORADORES Y AGRADECIMIENTOS</w:t>
      </w:r>
    </w:p>
    <w:bookmarkStart w:id="67" w:name="slide-35-current-collaborations"/>
    <w:p>
      <w:pPr>
        <w:pStyle w:val="Heading2"/>
      </w:pPr>
      <w:r>
        <w:t xml:space="preserve">SLIDE 35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67"/>
    <w:bookmarkStart w:id="68" w:name="slide-36-gracias-a-todxs"/>
    <w:p>
      <w:pPr>
        <w:pStyle w:val="Heading2"/>
      </w:pPr>
      <w:r>
        <w:t xml:space="preserve">SLIDE 36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68"/>
    <w:bookmarkEnd w:id="69"/>
    <w:bookmarkStart w:id="70"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70"/>
    <w:bookmarkStart w:id="71"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08"/>
        </w:numPr>
      </w:pPr>
      <w:r>
        <w:rPr>
          <w:b/>
          <w:bCs/>
        </w:rPr>
        <w:t xml:space="preserve">Slide 10</w:t>
      </w:r>
      <w:r>
        <w:t xml:space="preserve"> </w:t>
      </w:r>
      <w:r>
        <w:t xml:space="preserve">— Sesgos en GWAS (diagrama de barras apiladas)</w:t>
      </w:r>
    </w:p>
    <w:p>
      <w:pPr>
        <w:pStyle w:val="Compact"/>
        <w:numPr>
          <w:ilvl w:val="0"/>
          <w:numId w:val="1009"/>
        </w:numPr>
      </w:pPr>
      <w:r>
        <w:rPr>
          <w:b/>
          <w:bCs/>
        </w:rPr>
        <w:t xml:space="preserve">Slide 11</w:t>
      </w:r>
      <w:r>
        <w:t xml:space="preserve"> </w:t>
      </w:r>
      <w:r>
        <w:t xml:space="preserve">— Estudios familiares y segregación meiótica</w:t>
      </w:r>
    </w:p>
    <w:p>
      <w:pPr>
        <w:pStyle w:val="Compact"/>
        <w:numPr>
          <w:ilvl w:val="0"/>
          <w:numId w:val="1010"/>
        </w:numPr>
      </w:pPr>
      <w:r>
        <w:rPr>
          <w:b/>
          <w:bCs/>
        </w:rPr>
        <w:t xml:space="preserve">Slide 12</w:t>
      </w:r>
      <w:r>
        <w:t xml:space="preserve"> </w:t>
      </w:r>
      <w:r>
        <w:t xml:space="preserve">— Estimador robusto</w:t>
      </w:r>
    </w:p>
    <w:p>
      <w:pPr>
        <w:pStyle w:val="Compact"/>
        <w:numPr>
          <w:ilvl w:val="0"/>
          <w:numId w:val="1011"/>
        </w:numPr>
      </w:pPr>
      <w:r>
        <w:rPr>
          <w:b/>
          <w:bCs/>
        </w:rPr>
        <w:t xml:space="preserve">Slide 13</w:t>
      </w:r>
      <w:r>
        <w:t xml:space="preserve"> </w:t>
      </w:r>
      <w:r>
        <w:t xml:space="preserve">— Validez interna vs portabilidad</w:t>
      </w:r>
    </w:p>
    <w:p>
      <w:pPr>
        <w:pStyle w:val="Compact"/>
        <w:numPr>
          <w:ilvl w:val="0"/>
          <w:numId w:val="1012"/>
        </w:numPr>
      </w:pPr>
      <w:r>
        <w:rPr>
          <w:b/>
          <w:bCs/>
        </w:rPr>
        <w:t xml:space="preserve">Slide 14</w:t>
      </w:r>
      <w:r>
        <w:t xml:space="preserve"> </w:t>
      </w:r>
      <w:r>
        <w:t xml:space="preserve">— Resumen (3 cajas)</w:t>
      </w:r>
    </w:p>
    <w:p>
      <w:pPr>
        <w:pStyle w:val="Compact"/>
        <w:numPr>
          <w:ilvl w:val="0"/>
          <w:numId w:val="1013"/>
        </w:numPr>
      </w:pPr>
      <w:r>
        <w:rPr>
          <w:b/>
          <w:bCs/>
        </w:rPr>
        <w:t xml:space="preserve">Slide 15</w:t>
      </w:r>
      <w:r>
        <w:t xml:space="preserve"> </w:t>
      </w:r>
      <w:r>
        <w:t xml:space="preserve">— Objetivos de investigación</w:t>
      </w:r>
    </w:p>
    <w:p>
      <w:pPr>
        <w:pStyle w:val="Compact"/>
        <w:numPr>
          <w:ilvl w:val="0"/>
          <w:numId w:val="1014"/>
        </w:numPr>
      </w:pPr>
      <w:r>
        <w:rPr>
          <w:b/>
          <w:bCs/>
        </w:rPr>
        <w:t xml:space="preserve">Slide 16</w:t>
      </w:r>
      <w:r>
        <w:t xml:space="preserve"> </w:t>
      </w:r>
      <w:r>
        <w:t xml:space="preserve">— Objetivos específicos</w:t>
      </w:r>
    </w:p>
    <w:p>
      <w:pPr>
        <w:pStyle w:val="Compact"/>
        <w:numPr>
          <w:ilvl w:val="0"/>
          <w:numId w:val="1015"/>
        </w:numPr>
      </w:pPr>
      <w:r>
        <w:rPr>
          <w:b/>
          <w:bCs/>
        </w:rPr>
        <w:t xml:space="preserve">Slide 19</w:t>
      </w:r>
      <w:r>
        <w:t xml:space="preserve"> </w:t>
      </w:r>
      <w:r>
        <w:t xml:space="preserve">— Flujo de trabajo completo</w:t>
      </w:r>
    </w:p>
    <w:p>
      <w:pPr>
        <w:pStyle w:val="Compact"/>
        <w:numPr>
          <w:ilvl w:val="0"/>
          <w:numId w:val="1016"/>
        </w:numPr>
      </w:pPr>
      <w:r>
        <w:rPr>
          <w:b/>
          <w:bCs/>
        </w:rPr>
        <w:t xml:space="preserve">Slide 28</w:t>
      </w:r>
      <w:r>
        <w:t xml:space="preserve"> </w:t>
      </w:r>
      <w:r>
        <w:t xml:space="preserve">— Datos de entrada: Fenotipos</w:t>
      </w:r>
    </w:p>
    <w:p>
      <w:pPr>
        <w:pStyle w:val="Compact"/>
        <w:numPr>
          <w:ilvl w:val="0"/>
          <w:numId w:val="1017"/>
        </w:numPr>
      </w:pPr>
      <w:r>
        <w:rPr>
          <w:b/>
          <w:bCs/>
        </w:rPr>
        <w:t xml:space="preserve">Slide 27</w:t>
      </w:r>
      <w:r>
        <w:t xml:space="preserve"> </w:t>
      </w:r>
      <w:r>
        <w:t xml:space="preserve">— Datos de entrada: Genotipos</w:t>
      </w:r>
    </w:p>
    <w:p>
      <w:pPr>
        <w:pStyle w:val="Compact"/>
        <w:numPr>
          <w:ilvl w:val="0"/>
          <w:numId w:val="1018"/>
        </w:numPr>
      </w:pPr>
      <w:r>
        <w:rPr>
          <w:b/>
          <w:bCs/>
        </w:rPr>
        <w:t xml:space="preserve">Slide 28</w:t>
      </w:r>
      <w:r>
        <w:t xml:space="preserve"> </w:t>
      </w:r>
      <w:r>
        <w:t xml:space="preserve">— Tamaños Efectivos de Muestra</w:t>
      </w:r>
    </w:p>
    <w:p>
      <w:pPr>
        <w:pStyle w:val="Compact"/>
        <w:numPr>
          <w:ilvl w:val="0"/>
          <w:numId w:val="1019"/>
        </w:numPr>
      </w:pPr>
      <w:r>
        <w:rPr>
          <w:b/>
          <w:bCs/>
        </w:rPr>
        <w:t xml:space="preserve">Slide 27</w:t>
      </w:r>
      <w:r>
        <w:t xml:space="preserve"> </w:t>
      </w:r>
      <w:r>
        <w:t xml:space="preserve">— Estimaciones de heredabilidad (scatter)</w:t>
      </w:r>
    </w:p>
    <w:p>
      <w:pPr>
        <w:pStyle w:val="Compact"/>
        <w:numPr>
          <w:ilvl w:val="0"/>
          <w:numId w:val="1020"/>
        </w:numPr>
      </w:pPr>
      <w:r>
        <w:rPr>
          <w:b/>
          <w:bCs/>
        </w:rPr>
        <w:t xml:space="preserve">Slide 28</w:t>
      </w:r>
      <w:r>
        <w:t xml:space="preserve"> </w:t>
      </w:r>
      <w:r>
        <w:t xml:space="preserve">— Estimaciones de heredabilidad (diferencias normalizadas)</w:t>
      </w:r>
    </w:p>
    <w:p>
      <w:pPr>
        <w:pStyle w:val="Compact"/>
        <w:numPr>
          <w:ilvl w:val="0"/>
          <w:numId w:val="1021"/>
        </w:numPr>
      </w:pPr>
      <w:r>
        <w:rPr>
          <w:b/>
          <w:bCs/>
        </w:rPr>
        <w:t xml:space="preserve">Slide 27</w:t>
      </w:r>
      <w:r>
        <w:t xml:space="preserve"> </w:t>
      </w:r>
      <w:r>
        <w:t xml:space="preserve">— Correlación de estimadores</w:t>
      </w:r>
    </w:p>
    <w:p>
      <w:pPr>
        <w:pStyle w:val="Compact"/>
        <w:numPr>
          <w:ilvl w:val="0"/>
          <w:numId w:val="1022"/>
        </w:numPr>
      </w:pPr>
      <w:r>
        <w:rPr>
          <w:b/>
          <w:bCs/>
        </w:rPr>
        <w:t xml:space="preserve">Slide 28</w:t>
      </w:r>
      <w:r>
        <w:t xml:space="preserve"> </w:t>
      </w:r>
      <w:r>
        <w:t xml:space="preserve">— Conclusiones</w:t>
      </w:r>
    </w:p>
    <w:p>
      <w:pPr>
        <w:pStyle w:val="Compact"/>
        <w:numPr>
          <w:ilvl w:val="0"/>
          <w:numId w:val="1023"/>
        </w:numPr>
      </w:pPr>
      <w:r>
        <w:rPr>
          <w:b/>
          <w:bCs/>
        </w:rPr>
        <w:t xml:space="preserve">Slide 27</w:t>
      </w:r>
      <w:r>
        <w:t xml:space="preserve"> </w:t>
      </w:r>
      <w:r>
        <w:t xml:space="preserve">— Próximos pasos</w:t>
      </w:r>
    </w:p>
    <w:p>
      <w:pPr>
        <w:pStyle w:val="Compact"/>
        <w:numPr>
          <w:ilvl w:val="0"/>
          <w:numId w:val="1024"/>
        </w:numPr>
      </w:pPr>
      <w:r>
        <w:rPr>
          <w:b/>
          <w:bCs/>
        </w:rPr>
        <w:t xml:space="preserve">Slide 28</w:t>
      </w:r>
      <w:r>
        <w:t xml:space="preserve"> </w:t>
      </w:r>
      <w:r>
        <w:t xml:space="preserve">— Relevancia clínica</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2"/>
  </w:num>
  <w:num w:numId="1023">
    <w:abstractNumId w:val="992"/>
  </w:num>
  <w:num w:numId="102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2026-08-05T20:05:48Z</dcterms:created>
  <dcterms:modified xsi:type="dcterms:W3CDTF">2026-08-05T20:05:48Z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