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2BB" w:rsidRPr="0040366D" w:rsidRDefault="00D302BB" w:rsidP="00D302BB">
      <w:pPr>
        <w:spacing w:before="100" w:beforeAutospacing="1" w:after="100" w:afterAutospacing="1"/>
        <w:jc w:val="center"/>
        <w:outlineLvl w:val="1"/>
        <w:rPr>
          <w:rFonts w:eastAsia="Times New Roman" w:cstheme="minorHAnsi"/>
          <w:b/>
          <w:bCs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SUS-Fragebogen (System Usability Scale) – TOKADI</w:t>
      </w:r>
    </w:p>
    <w:p w:rsidR="00D302BB" w:rsidRPr="0040366D" w:rsidRDefault="00D302BB" w:rsidP="00D302BB">
      <w:p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Anweisung: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t xml:space="preserve"> Bitte bewerten Sie, wie sehr Sie den folgenden Aussagen zutreffen.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br/>
        <w:t>(1 = stimme überhaupt nicht zu, 5 = stimme voll zu)</w:t>
      </w:r>
    </w:p>
    <w:tbl>
      <w:tblPr>
        <w:tblStyle w:val="EinfacheTabelle2"/>
        <w:tblW w:w="0" w:type="auto"/>
        <w:tblLook w:val="04A0" w:firstRow="1" w:lastRow="0" w:firstColumn="1" w:lastColumn="0" w:noHBand="0" w:noVBand="1"/>
      </w:tblPr>
      <w:tblGrid>
        <w:gridCol w:w="838"/>
        <w:gridCol w:w="6289"/>
        <w:gridCol w:w="389"/>
        <w:gridCol w:w="389"/>
        <w:gridCol w:w="389"/>
        <w:gridCol w:w="389"/>
        <w:gridCol w:w="389"/>
      </w:tblGrid>
      <w:tr w:rsidR="00D302BB" w:rsidRPr="0040366D" w:rsidTr="00D302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center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Item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Aussage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3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4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5</w:t>
            </w:r>
          </w:p>
        </w:tc>
      </w:tr>
      <w:tr w:rsidR="00D302BB" w:rsidRPr="0040366D" w:rsidTr="00D30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SUS_1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Ich denke, ich würde TOKADI gerne häufig benutzen.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D302BB" w:rsidRPr="0040366D" w:rsidTr="00D302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SUS_2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Ich fand TOKADI unnötig komplex.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D302BB" w:rsidRPr="0040366D" w:rsidTr="00D30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SUS_3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Ich fand TOKADI einfach zu bedienen.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D302BB" w:rsidRPr="0040366D" w:rsidTr="00D302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SUS_4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Ich denke, ich bräuchte Unterstützung, um TOKADI richtig zu nutzen.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D302BB" w:rsidRPr="0040366D" w:rsidTr="00D30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SUS_5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Ich fand, die verschiedenen Funktionen in TOKADI waren gut integriert.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D302BB" w:rsidRPr="0040366D" w:rsidTr="00D302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SUS_6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Ich fand die Bedienung von TOKADI verwirrend.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D302BB" w:rsidRPr="0040366D" w:rsidTr="00D30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SUS_7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Ich kann mir vorstellen, dass die meisten Menschen den Umgang mit TOKADI sehr schnell lernen.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D302BB" w:rsidRPr="0040366D" w:rsidTr="00D302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SUS_8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Ich fand TOKADI sehr umständlich zu nutzen.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D302BB" w:rsidRPr="0040366D" w:rsidTr="00D30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SUS_9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Ich fühlte mich im Umgang mit TOKADI sehr sicher.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D302BB" w:rsidRPr="0040366D" w:rsidTr="00D302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SUS_10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Ich musste eine Menge lernen, bevor ich anfangen konnte TOKADI zu verwenden.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</w:tbl>
    <w:p w:rsidR="00D302BB" w:rsidRPr="0040366D" w:rsidRDefault="00D302BB" w:rsidP="00D302BB">
      <w:pPr>
        <w:spacing w:after="0"/>
        <w:jc w:val="left"/>
        <w:rPr>
          <w:rFonts w:eastAsia="Times New Roman" w:cstheme="minorHAnsi"/>
          <w:sz w:val="20"/>
          <w:szCs w:val="20"/>
          <w:lang w:val="de-DE" w:eastAsia="de-DE"/>
        </w:rPr>
      </w:pPr>
    </w:p>
    <w:p w:rsidR="00D302BB" w:rsidRPr="0040366D" w:rsidRDefault="00D302BB" w:rsidP="00D302BB">
      <w:pPr>
        <w:spacing w:before="100" w:beforeAutospacing="1" w:after="100" w:afterAutospacing="1"/>
        <w:jc w:val="left"/>
        <w:outlineLvl w:val="2"/>
        <w:rPr>
          <w:rFonts w:eastAsia="Times New Roman" w:cstheme="minorHAnsi"/>
          <w:b/>
          <w:bCs/>
          <w:sz w:val="20"/>
          <w:szCs w:val="20"/>
          <w:lang w:val="de-DE" w:eastAsia="de-DE"/>
        </w:rPr>
        <w:sectPr w:rsidR="00D302BB" w:rsidRPr="0040366D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:rsidR="00D302BB" w:rsidRPr="0040366D" w:rsidRDefault="00D302BB" w:rsidP="00D302BB">
      <w:pPr>
        <w:spacing w:before="100" w:beforeAutospacing="1" w:after="100" w:afterAutospacing="1"/>
        <w:jc w:val="left"/>
        <w:outlineLvl w:val="2"/>
        <w:rPr>
          <w:rFonts w:eastAsia="Times New Roman" w:cstheme="minorHAnsi"/>
          <w:b/>
          <w:bCs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lastRenderedPageBreak/>
        <w:t>SUS-Berechnungsvorschrift</w:t>
      </w:r>
    </w:p>
    <w:p w:rsidR="00D302BB" w:rsidRPr="0040366D" w:rsidRDefault="00D302BB" w:rsidP="00D302B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Negativ formulierte Items (invertieren):</w:t>
      </w:r>
      <w:r w:rsidR="009D3D10">
        <w:rPr>
          <w:rFonts w:eastAsia="Times New Roman" w:cstheme="minorHAnsi"/>
          <w:sz w:val="20"/>
          <w:szCs w:val="20"/>
          <w:lang w:val="de-DE" w:eastAsia="de-DE"/>
        </w:rPr>
        <w:br/>
        <w:t>Items 2, 4, 6, 8, 10</w:t>
      </w:r>
      <w:r w:rsidR="009D3D10">
        <w:rPr>
          <w:rFonts w:eastAsia="Times New Roman" w:cstheme="minorHAnsi"/>
          <w:sz w:val="20"/>
          <w:szCs w:val="20"/>
          <w:lang w:val="de-DE" w:eastAsia="de-DE"/>
        </w:rPr>
        <w:br/>
      </w:r>
      <w:r w:rsidR="009D3D10" w:rsidRPr="009D3D10">
        <w:rPr>
          <w:rFonts w:eastAsia="Times New Roman" w:cstheme="minorHAnsi"/>
          <w:bCs/>
          <w:sz w:val="20"/>
          <w:szCs w:val="20"/>
          <w:lang w:val="de-DE" w:eastAsia="de-DE"/>
        </w:rPr>
        <w:t>(</w:t>
      </w:r>
      <w:r w:rsidR="0011078F">
        <w:rPr>
          <w:rFonts w:eastAsia="Times New Roman" w:cstheme="minorHAnsi"/>
          <w:bCs/>
          <w:sz w:val="20"/>
          <w:szCs w:val="20"/>
          <w:lang w:val="de-DE" w:eastAsia="de-DE"/>
        </w:rPr>
        <w:t xml:space="preserve">Itemwert = 5; </w:t>
      </w:r>
      <w:r w:rsidRPr="009D3D10">
        <w:rPr>
          <w:rFonts w:eastAsia="Times New Roman" w:cstheme="minorHAnsi"/>
          <w:bCs/>
          <w:sz w:val="20"/>
          <w:szCs w:val="20"/>
          <w:lang w:val="de-DE" w:eastAsia="de-DE"/>
        </w:rPr>
        <w:t>alter Wert</w:t>
      </w:r>
      <w:r w:rsidR="009D3D10">
        <w:rPr>
          <w:rFonts w:eastAsia="Times New Roman" w:cstheme="minorHAnsi"/>
          <w:bCs/>
          <w:sz w:val="20"/>
          <w:szCs w:val="20"/>
          <w:lang w:val="de-DE" w:eastAsia="de-DE"/>
        </w:rPr>
        <w:t xml:space="preserve">; </w:t>
      </w:r>
      <w:r w:rsidRPr="0040366D">
        <w:rPr>
          <w:rFonts w:eastAsia="Times New Roman" w:cstheme="minorHAnsi"/>
          <w:i/>
          <w:iCs/>
          <w:sz w:val="20"/>
          <w:szCs w:val="20"/>
          <w:lang w:val="de-DE" w:eastAsia="de-DE"/>
        </w:rPr>
        <w:t>z. B. aus 1 wird 4, aus 3 wird 2, aus 5 wird 0)</w:t>
      </w:r>
      <w:r w:rsidR="009D3D10">
        <w:rPr>
          <w:rFonts w:eastAsia="Times New Roman" w:cstheme="minorHAnsi"/>
          <w:i/>
          <w:iCs/>
          <w:sz w:val="20"/>
          <w:szCs w:val="20"/>
          <w:lang w:val="de-DE" w:eastAsia="de-DE"/>
        </w:rPr>
        <w:br/>
      </w:r>
    </w:p>
    <w:p w:rsidR="00D302BB" w:rsidRPr="0040366D" w:rsidRDefault="00D302BB" w:rsidP="00D302B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Positiv formulierte Items (unverändert):</w:t>
      </w:r>
      <w:r w:rsidR="009D3D10">
        <w:rPr>
          <w:rFonts w:eastAsia="Times New Roman" w:cstheme="minorHAnsi"/>
          <w:sz w:val="20"/>
          <w:szCs w:val="20"/>
          <w:lang w:val="de-DE" w:eastAsia="de-DE"/>
        </w:rPr>
        <w:br/>
        <w:t>Items 1, 3, 5, 7, 9</w:t>
      </w:r>
      <w:r w:rsidR="009D3D10">
        <w:rPr>
          <w:rFonts w:eastAsia="Times New Roman" w:cstheme="minorHAnsi"/>
          <w:sz w:val="20"/>
          <w:szCs w:val="20"/>
          <w:lang w:val="de-DE" w:eastAsia="de-DE"/>
        </w:rPr>
        <w:br/>
      </w:r>
      <w:r w:rsidR="009D3D10" w:rsidRPr="009D3D10">
        <w:rPr>
          <w:rFonts w:eastAsia="Times New Roman" w:cstheme="minorHAnsi"/>
          <w:sz w:val="20"/>
          <w:szCs w:val="20"/>
          <w:lang w:val="de-DE" w:eastAsia="de-DE"/>
        </w:rPr>
        <w:t>(</w:t>
      </w:r>
      <w:r w:rsidRPr="009D3D10">
        <w:rPr>
          <w:rFonts w:eastAsia="Times New Roman" w:cstheme="minorHAnsi"/>
          <w:bCs/>
          <w:sz w:val="20"/>
          <w:szCs w:val="20"/>
          <w:lang w:val="de-DE" w:eastAsia="de-DE"/>
        </w:rPr>
        <w:t xml:space="preserve">Itemwert = alter Wert </w:t>
      </w:r>
      <w:r w:rsidR="0011078F">
        <w:rPr>
          <w:rFonts w:eastAsia="Times New Roman" w:cstheme="minorHAnsi"/>
          <w:bCs/>
          <w:sz w:val="20"/>
          <w:szCs w:val="20"/>
          <w:lang w:val="de-DE" w:eastAsia="de-DE"/>
        </w:rPr>
        <w:t>[</w:t>
      </w:r>
      <w:r w:rsidRPr="009D3D10">
        <w:rPr>
          <w:rFonts w:eastAsia="Times New Roman" w:cstheme="minorHAnsi"/>
          <w:bCs/>
          <w:sz w:val="20"/>
          <w:szCs w:val="20"/>
          <w:lang w:val="de-DE" w:eastAsia="de-DE"/>
        </w:rPr>
        <w:t>1</w:t>
      </w:r>
      <w:r w:rsidR="0011078F">
        <w:rPr>
          <w:rFonts w:eastAsia="Times New Roman" w:cstheme="minorHAnsi"/>
          <w:bCs/>
          <w:sz w:val="20"/>
          <w:szCs w:val="20"/>
          <w:lang w:val="de-DE" w:eastAsia="de-DE"/>
        </w:rPr>
        <w:t>]</w:t>
      </w:r>
      <w:r w:rsidR="009D3D10" w:rsidRPr="009D3D10">
        <w:rPr>
          <w:rFonts w:eastAsia="Times New Roman" w:cstheme="minorHAnsi"/>
          <w:bCs/>
          <w:sz w:val="20"/>
          <w:szCs w:val="20"/>
          <w:lang w:val="de-DE" w:eastAsia="de-DE"/>
        </w:rPr>
        <w:t>)</w:t>
      </w:r>
      <w:r w:rsidR="009D3D10">
        <w:rPr>
          <w:rFonts w:eastAsia="Times New Roman" w:cstheme="minorHAnsi"/>
          <w:bCs/>
          <w:sz w:val="20"/>
          <w:szCs w:val="20"/>
          <w:lang w:val="de-DE" w:eastAsia="de-DE"/>
        </w:rPr>
        <w:br/>
      </w:r>
    </w:p>
    <w:p w:rsidR="00D302BB" w:rsidRPr="0040366D" w:rsidRDefault="00D302BB" w:rsidP="00D302B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Summe bilden:</w:t>
      </w:r>
      <w:r w:rsidR="009D3D10">
        <w:rPr>
          <w:rFonts w:eastAsia="Times New Roman" w:cstheme="minorHAnsi"/>
          <w:sz w:val="20"/>
          <w:szCs w:val="20"/>
          <w:lang w:val="de-DE" w:eastAsia="de-DE"/>
        </w:rPr>
        <w:br/>
        <w:t>Alle 10 Itemwerte addieren</w:t>
      </w:r>
      <w:r w:rsidR="009D3D10">
        <w:rPr>
          <w:rFonts w:eastAsia="Times New Roman" w:cstheme="minorHAnsi"/>
          <w:sz w:val="20"/>
          <w:szCs w:val="20"/>
          <w:lang w:val="de-DE" w:eastAsia="de-DE"/>
        </w:rPr>
        <w:br/>
      </w:r>
      <w:r w:rsidRPr="009D3D10">
        <w:rPr>
          <w:rFonts w:eastAsia="Times New Roman" w:cstheme="minorHAnsi"/>
          <w:bCs/>
          <w:sz w:val="20"/>
          <w:szCs w:val="20"/>
          <w:lang w:val="de-DE" w:eastAsia="de-DE"/>
        </w:rPr>
        <w:t>Rohwert (0–40)</w:t>
      </w:r>
      <w:r w:rsidR="009D3D10">
        <w:rPr>
          <w:rFonts w:eastAsia="Times New Roman" w:cstheme="minorHAnsi"/>
          <w:bCs/>
          <w:sz w:val="20"/>
          <w:szCs w:val="20"/>
          <w:lang w:val="de-DE" w:eastAsia="de-DE"/>
        </w:rPr>
        <w:br/>
      </w:r>
    </w:p>
    <w:p w:rsidR="00D302BB" w:rsidRPr="0040366D" w:rsidRDefault="00D302BB" w:rsidP="00D302B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SUS-Score berechnen: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br/>
      </w:r>
      <w:r w:rsidRPr="009D3D10">
        <w:rPr>
          <w:rFonts w:eastAsia="Times New Roman" w:cstheme="minorHAnsi"/>
          <w:bCs/>
          <w:sz w:val="20"/>
          <w:szCs w:val="20"/>
          <w:lang w:val="de-DE" w:eastAsia="de-DE"/>
        </w:rPr>
        <w:t>Rohwert × 2,5</w:t>
      </w:r>
      <w:r w:rsidR="009D3D10">
        <w:rPr>
          <w:rFonts w:eastAsia="Times New Roman" w:cstheme="minorHAnsi"/>
          <w:sz w:val="20"/>
          <w:szCs w:val="20"/>
          <w:lang w:val="de-DE" w:eastAsia="de-DE"/>
        </w:rPr>
        <w:br/>
      </w:r>
      <w:r w:rsidRPr="009D3D10">
        <w:rPr>
          <w:rFonts w:eastAsia="Times New Roman" w:cstheme="minorHAnsi"/>
          <w:bCs/>
          <w:sz w:val="20"/>
          <w:szCs w:val="20"/>
          <w:lang w:val="de-DE" w:eastAsia="de-DE"/>
        </w:rPr>
        <w:t>SUS-Score (0–100)</w:t>
      </w:r>
    </w:p>
    <w:p w:rsidR="00D302BB" w:rsidRPr="0040366D" w:rsidRDefault="00D302BB" w:rsidP="00D302BB">
      <w:pPr>
        <w:spacing w:before="100" w:beforeAutospacing="1" w:after="100" w:afterAutospacing="1"/>
        <w:jc w:val="left"/>
        <w:outlineLvl w:val="2"/>
        <w:rPr>
          <w:rFonts w:eastAsia="Times New Roman" w:cstheme="minorHAnsi"/>
          <w:b/>
          <w:bCs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SUS-Interpretationshilfe (Sauro 2011; Bangor et al. 2009)</w:t>
      </w:r>
    </w:p>
    <w:tbl>
      <w:tblPr>
        <w:tblStyle w:val="EinfacheTabelle2"/>
        <w:tblW w:w="0" w:type="auto"/>
        <w:tblLook w:val="04A0" w:firstRow="1" w:lastRow="0" w:firstColumn="1" w:lastColumn="0" w:noHBand="0" w:noVBand="1"/>
      </w:tblPr>
      <w:tblGrid>
        <w:gridCol w:w="1360"/>
        <w:gridCol w:w="7549"/>
      </w:tblGrid>
      <w:tr w:rsidR="00D302BB" w:rsidRPr="0040366D" w:rsidTr="00566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center"/>
              <w:rPr>
                <w:rFonts w:eastAsia="Times New Roman" w:cstheme="minorHAnsi"/>
                <w:b w:val="0"/>
                <w:bCs w:val="0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Score-Bereich</w:t>
            </w:r>
          </w:p>
        </w:tc>
        <w:tc>
          <w:tcPr>
            <w:tcW w:w="0" w:type="auto"/>
            <w:hideMark/>
          </w:tcPr>
          <w:p w:rsidR="00D302BB" w:rsidRPr="0040366D" w:rsidRDefault="00D302BB" w:rsidP="009D3D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Bedeutung</w:t>
            </w:r>
          </w:p>
        </w:tc>
      </w:tr>
      <w:tr w:rsidR="00D302BB" w:rsidRPr="0040366D" w:rsidTr="00566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unter 51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Schlecht (Sauro 2011)</w:t>
            </w:r>
          </w:p>
        </w:tc>
      </w:tr>
      <w:tr w:rsidR="00D302BB" w:rsidRPr="0040366D" w:rsidTr="00566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51 bis 68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Akzeptabel (Sauro 2011)</w:t>
            </w:r>
          </w:p>
        </w:tc>
      </w:tr>
      <w:tr w:rsidR="00D302BB" w:rsidRPr="0040366D" w:rsidTr="00566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68 bis 80,3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 xml:space="preserve">Gut (Sauro 2011); </w:t>
            </w:r>
            <w:r w:rsidR="009022EB" w:rsidRPr="009022EB">
              <w:rPr>
                <w:rFonts w:eastAsia="Times New Roman" w:cstheme="minorHAnsi"/>
                <w:sz w:val="20"/>
                <w:szCs w:val="20"/>
                <w:lang w:val="de-DE" w:eastAsia="de-DE"/>
              </w:rPr>
              <w:t xml:space="preserve">Adjektiv-Bewertungsskala </w:t>
            </w: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«Good» bei 71,4 (Bangor et al. 2009)</w:t>
            </w:r>
          </w:p>
        </w:tc>
      </w:tr>
      <w:tr w:rsidR="00D302BB" w:rsidRPr="0040366D" w:rsidTr="00566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ab 80,3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 xml:space="preserve">Exzellent (Sauro 2011); </w:t>
            </w:r>
            <w:r w:rsidR="009022EB" w:rsidRPr="009022EB">
              <w:rPr>
                <w:rFonts w:eastAsia="Times New Roman" w:cstheme="minorHAnsi"/>
                <w:sz w:val="20"/>
                <w:szCs w:val="20"/>
                <w:lang w:val="de-DE" w:eastAsia="de-DE"/>
              </w:rPr>
              <w:t xml:space="preserve">Adjektiv-Bewertungsskala </w:t>
            </w: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«Excellent» bei 85,5 (Bangor et al. 2009)</w:t>
            </w:r>
          </w:p>
        </w:tc>
      </w:tr>
    </w:tbl>
    <w:p w:rsidR="00D302BB" w:rsidRPr="0040366D" w:rsidRDefault="00D302BB" w:rsidP="00D302BB">
      <w:pPr>
        <w:spacing w:after="0"/>
        <w:jc w:val="left"/>
        <w:rPr>
          <w:rFonts w:eastAsia="Times New Roman" w:cstheme="minorHAnsi"/>
          <w:sz w:val="20"/>
          <w:szCs w:val="20"/>
          <w:lang w:val="de-DE" w:eastAsia="de-DE"/>
        </w:rPr>
      </w:pPr>
    </w:p>
    <w:p w:rsidR="00D302BB" w:rsidRPr="0040366D" w:rsidRDefault="00D302BB" w:rsidP="00D302BB">
      <w:pPr>
        <w:spacing w:before="100" w:beforeAutospacing="1" w:after="100" w:afterAutospacing="1"/>
        <w:jc w:val="left"/>
        <w:outlineLvl w:val="1"/>
        <w:rPr>
          <w:rFonts w:eastAsia="Times New Roman" w:cstheme="minorHAnsi"/>
          <w:b/>
          <w:bCs/>
          <w:sz w:val="20"/>
          <w:szCs w:val="20"/>
          <w:lang w:val="de-DE" w:eastAsia="de-DE"/>
        </w:rPr>
        <w:sectPr w:rsidR="00D302BB" w:rsidRPr="0040366D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:rsidR="00D302BB" w:rsidRPr="0040366D" w:rsidRDefault="00D302BB" w:rsidP="00D302BB">
      <w:pPr>
        <w:spacing w:before="100" w:beforeAutospacing="1" w:after="100" w:afterAutospacing="1"/>
        <w:jc w:val="center"/>
        <w:outlineLvl w:val="1"/>
        <w:rPr>
          <w:rFonts w:eastAsia="Times New Roman" w:cstheme="minorHAnsi"/>
          <w:b/>
          <w:bCs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lastRenderedPageBreak/>
        <w:t>UMUX-Fragebogen (Usability Metric for User Experience) – TOKADI</w:t>
      </w:r>
    </w:p>
    <w:p w:rsidR="00D302BB" w:rsidRPr="0040366D" w:rsidRDefault="00D302BB" w:rsidP="00D302BB">
      <w:p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Anweisung: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t xml:space="preserve"> Bitte bewerten Sie, wie zutreffend die folgenden Aussagen für TOKADI sind.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br/>
        <w:t>(1 = stimme überhaupt nicht zu, 7 = stimme voll zu)</w:t>
      </w:r>
    </w:p>
    <w:tbl>
      <w:tblPr>
        <w:tblStyle w:val="EinfacheTabelle2"/>
        <w:tblW w:w="0" w:type="auto"/>
        <w:tblLook w:val="04A0" w:firstRow="1" w:lastRow="0" w:firstColumn="1" w:lastColumn="0" w:noHBand="0" w:noVBand="1"/>
      </w:tblPr>
      <w:tblGrid>
        <w:gridCol w:w="964"/>
        <w:gridCol w:w="5272"/>
        <w:gridCol w:w="389"/>
        <w:gridCol w:w="389"/>
        <w:gridCol w:w="389"/>
        <w:gridCol w:w="389"/>
        <w:gridCol w:w="389"/>
        <w:gridCol w:w="389"/>
        <w:gridCol w:w="389"/>
      </w:tblGrid>
      <w:tr w:rsidR="00D302BB" w:rsidRPr="0040366D" w:rsidTr="00D302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center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Item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Aussage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3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4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5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6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7</w:t>
            </w:r>
          </w:p>
        </w:tc>
      </w:tr>
      <w:tr w:rsidR="00D302BB" w:rsidRPr="0040366D" w:rsidTr="00D30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UMUX_1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Die Möglichkeiten von TOKADI erfüllen meine Anforderungen.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D302BB" w:rsidRPr="0040366D" w:rsidTr="00D302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UMUX_2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TOKADI zu nutzen war für mich frustrierend.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D302BB" w:rsidRPr="0040366D" w:rsidTr="00D30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UMUX_3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TOKADI ist einfach zu bedienen.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D302BB" w:rsidRPr="0040366D" w:rsidTr="00D302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UMUX_4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Ich habe viel Zeit damit verbracht TOKADI zu korrigieren.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</w:tbl>
    <w:p w:rsidR="00D302BB" w:rsidRPr="0040366D" w:rsidRDefault="00D302BB" w:rsidP="00D302BB">
      <w:pPr>
        <w:spacing w:after="0"/>
        <w:jc w:val="left"/>
        <w:rPr>
          <w:rFonts w:eastAsia="Times New Roman" w:cstheme="minorHAnsi"/>
          <w:sz w:val="20"/>
          <w:szCs w:val="20"/>
          <w:lang w:val="de-DE" w:eastAsia="de-DE"/>
        </w:rPr>
      </w:pPr>
    </w:p>
    <w:p w:rsidR="00D302BB" w:rsidRPr="0040366D" w:rsidRDefault="00D302BB" w:rsidP="00D302BB">
      <w:pPr>
        <w:spacing w:before="100" w:beforeAutospacing="1" w:after="100" w:afterAutospacing="1"/>
        <w:jc w:val="left"/>
        <w:outlineLvl w:val="2"/>
        <w:rPr>
          <w:rFonts w:eastAsia="Times New Roman" w:cstheme="minorHAnsi"/>
          <w:b/>
          <w:bCs/>
          <w:sz w:val="20"/>
          <w:szCs w:val="20"/>
          <w:lang w:val="de-DE" w:eastAsia="de-DE"/>
        </w:rPr>
        <w:sectPr w:rsidR="00D302BB" w:rsidRPr="0040366D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:rsidR="00D302BB" w:rsidRPr="0040366D" w:rsidRDefault="00D302BB" w:rsidP="00D302BB">
      <w:pPr>
        <w:spacing w:before="100" w:beforeAutospacing="1" w:after="100" w:afterAutospacing="1"/>
        <w:jc w:val="left"/>
        <w:outlineLvl w:val="2"/>
        <w:rPr>
          <w:rFonts w:eastAsia="Times New Roman" w:cstheme="minorHAnsi"/>
          <w:b/>
          <w:bCs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lastRenderedPageBreak/>
        <w:t>UMUX-Berechnungsvorschrift</w:t>
      </w:r>
    </w:p>
    <w:p w:rsidR="00D302BB" w:rsidRPr="0040366D" w:rsidRDefault="00D302BB" w:rsidP="00D302B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Negativ formulierte Items (invertieren):</w:t>
      </w:r>
      <w:r w:rsidR="009D3D10">
        <w:rPr>
          <w:rFonts w:eastAsia="Times New Roman" w:cstheme="minorHAnsi"/>
          <w:sz w:val="20"/>
          <w:szCs w:val="20"/>
          <w:lang w:val="de-DE" w:eastAsia="de-DE"/>
        </w:rPr>
        <w:br/>
        <w:t xml:space="preserve">Items 2 und 4 </w:t>
      </w:r>
      <w:r w:rsidR="009D3D10">
        <w:rPr>
          <w:rFonts w:eastAsia="Times New Roman" w:cstheme="minorHAnsi"/>
          <w:sz w:val="20"/>
          <w:szCs w:val="20"/>
          <w:lang w:val="de-DE" w:eastAsia="de-DE"/>
        </w:rPr>
        <w:br/>
      </w:r>
      <w:r w:rsidR="009D3D10" w:rsidRPr="009D3D10">
        <w:rPr>
          <w:rFonts w:eastAsia="Times New Roman" w:cstheme="minorHAnsi"/>
          <w:sz w:val="20"/>
          <w:szCs w:val="20"/>
          <w:lang w:val="de-DE" w:eastAsia="de-DE"/>
        </w:rPr>
        <w:t>(</w:t>
      </w:r>
      <w:r w:rsidR="008F1059">
        <w:rPr>
          <w:rFonts w:eastAsia="Times New Roman" w:cstheme="minorHAnsi"/>
          <w:bCs/>
          <w:sz w:val="20"/>
          <w:szCs w:val="20"/>
          <w:lang w:val="de-DE" w:eastAsia="de-DE"/>
        </w:rPr>
        <w:t xml:space="preserve">neuer Wert = 8; </w:t>
      </w:r>
      <w:r w:rsidRPr="009D3D10">
        <w:rPr>
          <w:rFonts w:eastAsia="Times New Roman" w:cstheme="minorHAnsi"/>
          <w:bCs/>
          <w:sz w:val="20"/>
          <w:szCs w:val="20"/>
          <w:lang w:val="de-DE" w:eastAsia="de-DE"/>
        </w:rPr>
        <w:t>alter Wert</w:t>
      </w:r>
      <w:r w:rsidR="009D3D10" w:rsidRPr="009D3D10">
        <w:rPr>
          <w:rFonts w:eastAsia="Times New Roman" w:cstheme="minorHAnsi"/>
          <w:bCs/>
          <w:sz w:val="20"/>
          <w:szCs w:val="20"/>
          <w:lang w:val="de-DE" w:eastAsia="de-DE"/>
        </w:rPr>
        <w:t xml:space="preserve"> </w:t>
      </w:r>
      <w:r w:rsidRPr="009D3D10">
        <w:rPr>
          <w:rFonts w:eastAsia="Times New Roman" w:cstheme="minorHAnsi"/>
          <w:i/>
          <w:iCs/>
          <w:sz w:val="20"/>
          <w:szCs w:val="20"/>
          <w:lang w:val="de-DE" w:eastAsia="de-DE"/>
        </w:rPr>
        <w:t xml:space="preserve">z. B. aus 1 wird 7, aus 2 wird 6, </w:t>
      </w:r>
      <w:r w:rsidR="009D3D10" w:rsidRPr="009D3D10">
        <w:rPr>
          <w:rFonts w:eastAsia="Times New Roman" w:cstheme="minorHAnsi"/>
          <w:i/>
          <w:iCs/>
          <w:sz w:val="20"/>
          <w:szCs w:val="20"/>
          <w:lang w:val="de-DE" w:eastAsia="de-DE"/>
        </w:rPr>
        <w:br/>
      </w:r>
      <w:r w:rsidRPr="009D3D10">
        <w:rPr>
          <w:rFonts w:eastAsia="Times New Roman" w:cstheme="minorHAnsi"/>
          <w:i/>
          <w:iCs/>
          <w:sz w:val="20"/>
          <w:szCs w:val="20"/>
          <w:lang w:val="de-DE" w:eastAsia="de-DE"/>
        </w:rPr>
        <w:t>aus 3 wird 5, aus 4 wird 4, aus 5 wird 3, aus 6 wird 2, aus 7 wird 1)</w:t>
      </w:r>
      <w:r w:rsidR="009D3D10">
        <w:rPr>
          <w:rFonts w:eastAsia="Times New Roman" w:cstheme="minorHAnsi"/>
          <w:i/>
          <w:iCs/>
          <w:sz w:val="20"/>
          <w:szCs w:val="20"/>
          <w:lang w:val="de-DE" w:eastAsia="de-DE"/>
        </w:rPr>
        <w:br/>
      </w:r>
    </w:p>
    <w:p w:rsidR="00D302BB" w:rsidRPr="009D3D10" w:rsidRDefault="00D302BB" w:rsidP="00D302B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Positiv formulierte Items (unverändert):</w:t>
      </w:r>
      <w:r w:rsidR="009D3D10">
        <w:rPr>
          <w:rFonts w:eastAsia="Times New Roman" w:cstheme="minorHAnsi"/>
          <w:sz w:val="20"/>
          <w:szCs w:val="20"/>
          <w:lang w:val="de-DE" w:eastAsia="de-DE"/>
        </w:rPr>
        <w:br/>
        <w:t>Items 1 und 3</w:t>
      </w:r>
      <w:r w:rsidR="009D3D10">
        <w:rPr>
          <w:rFonts w:eastAsia="Times New Roman" w:cstheme="minorHAnsi"/>
          <w:sz w:val="20"/>
          <w:szCs w:val="20"/>
          <w:lang w:val="de-DE" w:eastAsia="de-DE"/>
        </w:rPr>
        <w:br/>
      </w:r>
      <w:r w:rsidR="009D3D10" w:rsidRPr="009D3D10">
        <w:rPr>
          <w:rFonts w:eastAsia="Times New Roman" w:cstheme="minorHAnsi"/>
          <w:bCs/>
          <w:sz w:val="20"/>
          <w:szCs w:val="20"/>
          <w:lang w:val="de-DE" w:eastAsia="de-DE"/>
        </w:rPr>
        <w:t>(</w:t>
      </w:r>
      <w:r w:rsidRPr="009D3D10">
        <w:rPr>
          <w:rFonts w:eastAsia="Times New Roman" w:cstheme="minorHAnsi"/>
          <w:bCs/>
          <w:sz w:val="20"/>
          <w:szCs w:val="20"/>
          <w:lang w:val="de-DE" w:eastAsia="de-DE"/>
        </w:rPr>
        <w:t>Wert bleibt wie angekreuzt</w:t>
      </w:r>
      <w:r w:rsidR="009D3D10" w:rsidRPr="009D3D10">
        <w:rPr>
          <w:rFonts w:eastAsia="Times New Roman" w:cstheme="minorHAnsi"/>
          <w:bCs/>
          <w:sz w:val="20"/>
          <w:szCs w:val="20"/>
          <w:lang w:val="de-DE" w:eastAsia="de-DE"/>
        </w:rPr>
        <w:t>)</w:t>
      </w:r>
      <w:r w:rsidR="009D3D10">
        <w:rPr>
          <w:rFonts w:eastAsia="Times New Roman" w:cstheme="minorHAnsi"/>
          <w:bCs/>
          <w:sz w:val="20"/>
          <w:szCs w:val="20"/>
          <w:lang w:val="de-DE" w:eastAsia="de-DE"/>
        </w:rPr>
        <w:br/>
      </w:r>
    </w:p>
    <w:p w:rsidR="00D302BB" w:rsidRPr="0040366D" w:rsidRDefault="00D302BB" w:rsidP="00D302B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UMUX-Score berechnen: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br/>
      </w:r>
      <w:r w:rsidRPr="009D3D10">
        <w:rPr>
          <w:rFonts w:eastAsia="Times New Roman" w:cstheme="minorHAnsi"/>
          <w:bCs/>
          <w:sz w:val="20"/>
          <w:szCs w:val="20"/>
          <w:lang w:val="de-DE" w:eastAsia="de-DE"/>
        </w:rPr>
        <w:t>((Summe der 4 Werte – 4) / 24) × 100</w:t>
      </w:r>
      <w:r w:rsidR="009D3D10">
        <w:rPr>
          <w:rFonts w:eastAsia="Times New Roman" w:cstheme="minorHAnsi"/>
          <w:sz w:val="20"/>
          <w:szCs w:val="20"/>
          <w:lang w:val="de-DE" w:eastAsia="de-DE"/>
        </w:rPr>
        <w:br/>
      </w:r>
      <w:r w:rsidRPr="009D3D10">
        <w:rPr>
          <w:rFonts w:eastAsia="Times New Roman" w:cstheme="minorHAnsi"/>
          <w:bCs/>
          <w:sz w:val="20"/>
          <w:szCs w:val="20"/>
          <w:lang w:val="de-DE" w:eastAsia="de-DE"/>
        </w:rPr>
        <w:t>UMUX-Score (0–100)</w:t>
      </w:r>
    </w:p>
    <w:p w:rsidR="00D302BB" w:rsidRPr="0040366D" w:rsidRDefault="00D302BB" w:rsidP="00D302BB">
      <w:pPr>
        <w:spacing w:before="100" w:beforeAutospacing="1" w:after="100" w:afterAutospacing="1"/>
        <w:ind w:left="720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i/>
          <w:iCs/>
          <w:sz w:val="20"/>
          <w:szCs w:val="20"/>
          <w:lang w:val="de-DE" w:eastAsia="de-DE"/>
        </w:rPr>
        <w:t>Alternative:</w:t>
      </w:r>
      <w:r w:rsidR="009D3D10">
        <w:rPr>
          <w:rFonts w:eastAsia="Times New Roman" w:cstheme="minorHAnsi"/>
          <w:sz w:val="20"/>
          <w:szCs w:val="20"/>
          <w:lang w:val="de-DE" w:eastAsia="de-DE"/>
        </w:rPr>
        <w:t xml:space="preserve"> Summe der 4 Werte (je 1–7) </w:t>
      </w:r>
      <w:r w:rsidR="009D3D10">
        <w:rPr>
          <w:rFonts w:eastAsia="Times New Roman" w:cstheme="minorHAnsi"/>
          <w:sz w:val="20"/>
          <w:szCs w:val="20"/>
          <w:lang w:val="de-DE" w:eastAsia="de-DE"/>
        </w:rPr>
        <w:br/>
      </w:r>
      <w:r w:rsidRPr="009D3D10">
        <w:rPr>
          <w:rFonts w:eastAsia="Times New Roman" w:cstheme="minorHAnsi"/>
          <w:bCs/>
          <w:sz w:val="20"/>
          <w:szCs w:val="20"/>
          <w:lang w:val="de-DE" w:eastAsia="de-DE"/>
        </w:rPr>
        <w:t>Rohwert (4–28)</w:t>
      </w:r>
      <w:r w:rsidRPr="009D3D10">
        <w:rPr>
          <w:rFonts w:eastAsia="Times New Roman" w:cstheme="minorHAnsi"/>
          <w:sz w:val="20"/>
          <w:szCs w:val="20"/>
          <w:lang w:val="de-DE" w:eastAsia="de-DE"/>
        </w:rPr>
        <w:br/>
      </w:r>
      <w:r w:rsidRPr="0040366D">
        <w:rPr>
          <w:rFonts w:eastAsia="Times New Roman" w:cstheme="minorHAnsi"/>
          <w:sz w:val="20"/>
          <w:szCs w:val="20"/>
          <w:lang w:val="de-DE" w:eastAsia="de-DE"/>
        </w:rPr>
        <w:t xml:space="preserve">UMUX-Score = </w:t>
      </w:r>
      <w:r w:rsidRPr="009D3D10">
        <w:rPr>
          <w:rFonts w:eastAsia="Times New Roman" w:cstheme="minorHAnsi"/>
          <w:bCs/>
          <w:sz w:val="20"/>
          <w:szCs w:val="20"/>
          <w:lang w:val="de-DE" w:eastAsia="de-DE"/>
        </w:rPr>
        <w:t>(Rohwert – 4) / 24 × 100</w:t>
      </w:r>
    </w:p>
    <w:p w:rsidR="00D302BB" w:rsidRPr="0040366D" w:rsidRDefault="00D302BB" w:rsidP="00D302BB">
      <w:pPr>
        <w:spacing w:before="100" w:beforeAutospacing="1" w:after="100" w:afterAutospacing="1"/>
        <w:jc w:val="left"/>
        <w:outlineLvl w:val="2"/>
        <w:rPr>
          <w:rFonts w:eastAsia="Times New Roman" w:cstheme="minorHAnsi"/>
          <w:b/>
          <w:bCs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UMUX-Interpretationshilfe</w:t>
      </w:r>
    </w:p>
    <w:p w:rsidR="007D155C" w:rsidRDefault="009022EB">
      <w:pPr>
        <w:spacing w:before="60"/>
      </w:pPr>
      <w:r w:rsidRPr="009022EB">
        <w:rPr>
          <w:rFonts w:cstheme="minorHAnsi"/>
          <w:sz w:val="20"/>
          <w:szCs w:val="20"/>
        </w:rPr>
        <w:t>Für den UMUX liegen keine etablierten Adjektiv-Bewertungsskala</w:t>
      </w:r>
      <w:r>
        <w:rPr>
          <w:rFonts w:cstheme="minorHAnsi"/>
          <w:sz w:val="20"/>
          <w:szCs w:val="20"/>
        </w:rPr>
        <w:t xml:space="preserve"> </w:t>
      </w:r>
      <w:r w:rsidRPr="009022EB">
        <w:rPr>
          <w:rFonts w:cstheme="minorHAnsi"/>
          <w:sz w:val="20"/>
          <w:szCs w:val="20"/>
        </w:rPr>
        <w:t>vor.</w:t>
      </w:r>
      <w:r>
        <w:rPr>
          <w:rFonts w:cstheme="minorHAnsi"/>
          <w:sz w:val="20"/>
          <w:szCs w:val="20"/>
        </w:rPr>
        <w:t xml:space="preserve"> </w:t>
      </w:r>
      <w:r w:rsidR="0002479C">
        <w:rPr>
          <w:rFonts w:cstheme="minorHAnsi"/>
          <w:sz w:val="20"/>
          <w:szCs w:val="20"/>
        </w:rPr>
        <w:t>Der Wert wird im Beitrag gemeinsam mit dem SUS-Wert und der Konvergenz beider Instrumente interpretiert.</w:t>
      </w:r>
    </w:p>
    <w:p w:rsidR="00D302BB" w:rsidRPr="0040366D" w:rsidRDefault="00D302BB" w:rsidP="00D302BB">
      <w:pPr>
        <w:spacing w:before="100" w:beforeAutospacing="1" w:after="100" w:afterAutospacing="1"/>
        <w:jc w:val="left"/>
        <w:outlineLvl w:val="1"/>
        <w:rPr>
          <w:rFonts w:eastAsia="Times New Roman" w:cstheme="minorHAnsi"/>
          <w:b/>
          <w:bCs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Kurzzusammenfassung (Skalen im Überblick)</w:t>
      </w:r>
    </w:p>
    <w:tbl>
      <w:tblPr>
        <w:tblStyle w:val="EinfacheTabelle2"/>
        <w:tblW w:w="0" w:type="auto"/>
        <w:tblLook w:val="04A0" w:firstRow="1" w:lastRow="0" w:firstColumn="1" w:lastColumn="0" w:noHBand="0" w:noVBand="1"/>
      </w:tblPr>
      <w:tblGrid>
        <w:gridCol w:w="763"/>
        <w:gridCol w:w="682"/>
        <w:gridCol w:w="1085"/>
        <w:gridCol w:w="2179"/>
        <w:gridCol w:w="1360"/>
      </w:tblGrid>
      <w:tr w:rsidR="00D302BB" w:rsidRPr="0040366D" w:rsidTr="00566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center"/>
              <w:rPr>
                <w:rFonts w:eastAsia="Times New Roman" w:cstheme="minorHAnsi"/>
                <w:b w:val="0"/>
                <w:bCs w:val="0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Skala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Items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Skalierung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Negativ (zu invertieren)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Score-Bereich</w:t>
            </w:r>
          </w:p>
        </w:tc>
      </w:tr>
      <w:tr w:rsidR="00D302BB" w:rsidRPr="0040366D" w:rsidTr="00566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10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1–5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2, 4, 6, 8, 10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0–100</w:t>
            </w:r>
          </w:p>
        </w:tc>
      </w:tr>
      <w:tr w:rsidR="00D302BB" w:rsidRPr="0040366D" w:rsidTr="00566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02BB" w:rsidRPr="0040366D" w:rsidRDefault="00D302BB" w:rsidP="00D302BB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UMUX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4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1–7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2, 4</w:t>
            </w:r>
          </w:p>
        </w:tc>
        <w:tc>
          <w:tcPr>
            <w:tcW w:w="0" w:type="auto"/>
            <w:hideMark/>
          </w:tcPr>
          <w:p w:rsidR="00D302BB" w:rsidRPr="0040366D" w:rsidRDefault="00D302BB" w:rsidP="00D302B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0–100</w:t>
            </w:r>
          </w:p>
        </w:tc>
      </w:tr>
    </w:tbl>
    <w:p w:rsidR="00525CBC" w:rsidRPr="0040366D" w:rsidRDefault="00525CBC">
      <w:pPr>
        <w:rPr>
          <w:rFonts w:cstheme="minorHAnsi"/>
          <w:sz w:val="20"/>
          <w:szCs w:val="20"/>
        </w:rPr>
      </w:pPr>
    </w:p>
    <w:p w:rsidR="0040366D" w:rsidRPr="0040366D" w:rsidRDefault="0040366D">
      <w:pPr>
        <w:rPr>
          <w:rFonts w:cstheme="minorHAnsi"/>
          <w:sz w:val="20"/>
          <w:szCs w:val="20"/>
        </w:rPr>
      </w:pPr>
    </w:p>
    <w:p w:rsidR="0011078F" w:rsidRDefault="0011078F" w:rsidP="0011078F">
      <w:pPr>
        <w:spacing w:before="100" w:beforeAutospacing="1" w:after="100" w:afterAutospacing="1"/>
        <w:jc w:val="left"/>
        <w:rPr>
          <w:rFonts w:eastAsia="Times New Roman" w:cstheme="minorHAnsi"/>
          <w:b/>
          <w:bCs/>
          <w:sz w:val="20"/>
          <w:szCs w:val="20"/>
          <w:lang w:val="de-DE" w:eastAsia="de-DE"/>
        </w:rPr>
        <w:sectPr w:rsidR="0011078F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:rsidR="0040366D" w:rsidRPr="0040366D" w:rsidRDefault="0040366D" w:rsidP="0011078F">
      <w:p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lastRenderedPageBreak/>
        <w:t>SUS Questionnaire (System Usability Scale) – TOKADI</w:t>
      </w:r>
    </w:p>
    <w:p w:rsidR="0040366D" w:rsidRPr="0040366D" w:rsidRDefault="0040366D" w:rsidP="0040366D">
      <w:p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sz w:val="20"/>
          <w:szCs w:val="20"/>
          <w:lang w:val="de-DE" w:eastAsia="de-DE"/>
        </w:rPr>
        <w:t>Instruction: Please rate how much you agree with the following statements.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br/>
        <w:t>(1 = strongly disagree, 5 = strongly agree)</w:t>
      </w:r>
    </w:p>
    <w:tbl>
      <w:tblPr>
        <w:tblStyle w:val="EinfacheTabelle2"/>
        <w:tblW w:w="0" w:type="auto"/>
        <w:tblLook w:val="04A0" w:firstRow="1" w:lastRow="0" w:firstColumn="1" w:lastColumn="0" w:noHBand="0" w:noVBand="1"/>
      </w:tblPr>
      <w:tblGrid>
        <w:gridCol w:w="838"/>
        <w:gridCol w:w="6014"/>
        <w:gridCol w:w="389"/>
        <w:gridCol w:w="389"/>
        <w:gridCol w:w="389"/>
        <w:gridCol w:w="389"/>
        <w:gridCol w:w="389"/>
      </w:tblGrid>
      <w:tr w:rsidR="0040366D" w:rsidRPr="0040366D" w:rsidTr="00976D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center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Item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Statement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3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4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5</w:t>
            </w:r>
          </w:p>
        </w:tc>
      </w:tr>
      <w:tr w:rsidR="0040366D" w:rsidRPr="0040366D" w:rsidTr="00976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SUS_1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 think I would like to use TOKADI frequently.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40366D" w:rsidRPr="0040366D" w:rsidTr="00976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SUS_2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 found TOKADI unnecessarily complex.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40366D" w:rsidRPr="0040366D" w:rsidTr="00976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SUS_3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 found TOKADI easy to use.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40366D" w:rsidRPr="0040366D" w:rsidTr="00976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SUS_4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 think I would need support to use TOKADI properly.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40366D" w:rsidRPr="0040366D" w:rsidTr="00976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SUS_5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 found the various functions in TOKADI were well integrated.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40366D" w:rsidRPr="0040366D" w:rsidTr="00976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SUS_6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 found the operation of TOKADI confusing.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40366D" w:rsidRPr="0040366D" w:rsidTr="00976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SUS_7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 can imagine that most people would learn to use TOKADI very quickly.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40366D" w:rsidRPr="0040366D" w:rsidTr="00976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SUS_8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 found TOKADI very cumbersome to use.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40366D" w:rsidRPr="0040366D" w:rsidTr="00976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SUS_9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 felt very confident using TOKADI.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40366D" w:rsidRPr="0040366D" w:rsidTr="00976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SUS_10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 needed to learn a lot before I could get started with TOKADI.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</w:tbl>
    <w:p w:rsidR="0040366D" w:rsidRPr="0040366D" w:rsidRDefault="0040366D" w:rsidP="0040366D">
      <w:pPr>
        <w:spacing w:after="0"/>
        <w:jc w:val="left"/>
        <w:rPr>
          <w:rFonts w:eastAsia="Times New Roman" w:cstheme="minorHAnsi"/>
          <w:sz w:val="20"/>
          <w:szCs w:val="20"/>
          <w:lang w:val="de-DE" w:eastAsia="de-DE"/>
        </w:rPr>
      </w:pPr>
    </w:p>
    <w:p w:rsidR="0040366D" w:rsidRPr="0040366D" w:rsidRDefault="0040366D" w:rsidP="0040366D">
      <w:p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SUS Scoring Procedure</w:t>
      </w:r>
    </w:p>
    <w:p w:rsidR="0040366D" w:rsidRPr="0040366D" w:rsidRDefault="0040366D" w:rsidP="0040366D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sz w:val="20"/>
          <w:szCs w:val="20"/>
          <w:lang w:val="de-DE" w:eastAsia="de-DE"/>
        </w:rPr>
        <w:t>Reverse-code negatively worde</w:t>
      </w:r>
      <w:r w:rsidR="008A388A">
        <w:rPr>
          <w:rFonts w:eastAsia="Times New Roman" w:cstheme="minorHAnsi"/>
          <w:sz w:val="20"/>
          <w:szCs w:val="20"/>
          <w:lang w:val="de-DE" w:eastAsia="de-DE"/>
        </w:rPr>
        <w:t>d items:</w:t>
      </w:r>
      <w:r w:rsidR="008A388A">
        <w:rPr>
          <w:rFonts w:eastAsia="Times New Roman" w:cstheme="minorHAnsi"/>
          <w:sz w:val="20"/>
          <w:szCs w:val="20"/>
          <w:lang w:val="de-DE" w:eastAsia="de-DE"/>
        </w:rPr>
        <w:br/>
        <w:t>Items 2, 4, 6, 8, 10</w:t>
      </w:r>
      <w:r w:rsidR="008A388A">
        <w:rPr>
          <w:rFonts w:eastAsia="Times New Roman" w:cstheme="minorHAnsi"/>
          <w:sz w:val="20"/>
          <w:szCs w:val="20"/>
          <w:lang w:val="de-DE" w:eastAsia="de-DE"/>
        </w:rPr>
        <w:br/>
        <w:t xml:space="preserve">(item score = 5; 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t>original value</w:t>
      </w:r>
      <w:r w:rsidR="008A388A">
        <w:rPr>
          <w:rFonts w:eastAsia="Times New Roman" w:cstheme="minorHAnsi"/>
          <w:sz w:val="20"/>
          <w:szCs w:val="20"/>
          <w:lang w:val="de-DE" w:eastAsia="de-DE"/>
        </w:rPr>
        <w:t>)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br/>
        <w:t>(e.g., 1 becomes 4, 3 becomes 2, 5 becomes 0)</w:t>
      </w:r>
      <w:r w:rsidR="008A388A">
        <w:rPr>
          <w:rFonts w:eastAsia="Times New Roman" w:cstheme="minorHAnsi"/>
          <w:sz w:val="20"/>
          <w:szCs w:val="20"/>
          <w:lang w:val="de-DE" w:eastAsia="de-DE"/>
        </w:rPr>
        <w:br/>
      </w:r>
    </w:p>
    <w:p w:rsidR="0040366D" w:rsidRPr="0040366D" w:rsidRDefault="0040366D" w:rsidP="0040366D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sz w:val="20"/>
          <w:szCs w:val="20"/>
          <w:lang w:val="de-DE" w:eastAsia="de-DE"/>
        </w:rPr>
        <w:t>Positively worded items (un</w:t>
      </w:r>
      <w:r w:rsidR="008A388A">
        <w:rPr>
          <w:rFonts w:eastAsia="Times New Roman" w:cstheme="minorHAnsi"/>
          <w:sz w:val="20"/>
          <w:szCs w:val="20"/>
          <w:lang w:val="de-DE" w:eastAsia="de-DE"/>
        </w:rPr>
        <w:t>changed):</w:t>
      </w:r>
      <w:r w:rsidR="008A388A">
        <w:rPr>
          <w:rFonts w:eastAsia="Times New Roman" w:cstheme="minorHAnsi"/>
          <w:sz w:val="20"/>
          <w:szCs w:val="20"/>
          <w:lang w:val="de-DE" w:eastAsia="de-DE"/>
        </w:rPr>
        <w:br/>
        <w:t>Items 1, 3, 5, 7, 9</w:t>
      </w:r>
      <w:r w:rsidR="008A388A">
        <w:rPr>
          <w:rFonts w:eastAsia="Times New Roman" w:cstheme="minorHAnsi"/>
          <w:sz w:val="20"/>
          <w:szCs w:val="20"/>
          <w:lang w:val="de-DE" w:eastAsia="de-DE"/>
        </w:rPr>
        <w:br/>
        <w:t>(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t>item score = original value – 1</w:t>
      </w:r>
      <w:r w:rsidR="008A388A">
        <w:rPr>
          <w:rFonts w:eastAsia="Times New Roman" w:cstheme="minorHAnsi"/>
          <w:sz w:val="20"/>
          <w:szCs w:val="20"/>
          <w:lang w:val="de-DE" w:eastAsia="de-DE"/>
        </w:rPr>
        <w:t>)</w:t>
      </w:r>
      <w:r w:rsidR="008A388A">
        <w:rPr>
          <w:rFonts w:eastAsia="Times New Roman" w:cstheme="minorHAnsi"/>
          <w:sz w:val="20"/>
          <w:szCs w:val="20"/>
          <w:lang w:val="de-DE" w:eastAsia="de-DE"/>
        </w:rPr>
        <w:br/>
      </w:r>
    </w:p>
    <w:p w:rsidR="0040366D" w:rsidRPr="0040366D" w:rsidRDefault="0040366D" w:rsidP="0040366D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sz w:val="20"/>
          <w:szCs w:val="20"/>
          <w:lang w:val="de-DE" w:eastAsia="de-DE"/>
        </w:rPr>
        <w:t>Calculate th</w:t>
      </w:r>
      <w:r w:rsidR="008A388A">
        <w:rPr>
          <w:rFonts w:eastAsia="Times New Roman" w:cstheme="minorHAnsi"/>
          <w:sz w:val="20"/>
          <w:szCs w:val="20"/>
          <w:lang w:val="de-DE" w:eastAsia="de-DE"/>
        </w:rPr>
        <w:t>e sum:</w:t>
      </w:r>
      <w:r w:rsidR="008A388A">
        <w:rPr>
          <w:rFonts w:eastAsia="Times New Roman" w:cstheme="minorHAnsi"/>
          <w:sz w:val="20"/>
          <w:szCs w:val="20"/>
          <w:lang w:val="de-DE" w:eastAsia="de-DE"/>
        </w:rPr>
        <w:br/>
        <w:t>Add all 10 item scores</w:t>
      </w:r>
      <w:r w:rsidR="008A388A">
        <w:rPr>
          <w:rFonts w:eastAsia="Times New Roman" w:cstheme="minorHAnsi"/>
          <w:sz w:val="20"/>
          <w:szCs w:val="20"/>
          <w:lang w:val="de-DE" w:eastAsia="de-DE"/>
        </w:rPr>
        <w:br/>
      </w:r>
      <w:r w:rsidRPr="0040366D">
        <w:rPr>
          <w:rFonts w:eastAsia="Times New Roman" w:cstheme="minorHAnsi"/>
          <w:sz w:val="20"/>
          <w:szCs w:val="20"/>
          <w:lang w:val="de-DE" w:eastAsia="de-DE"/>
        </w:rPr>
        <w:t>raw score (0–40)</w:t>
      </w:r>
      <w:r w:rsidR="008A388A">
        <w:rPr>
          <w:rFonts w:eastAsia="Times New Roman" w:cstheme="minorHAnsi"/>
          <w:sz w:val="20"/>
          <w:szCs w:val="20"/>
          <w:lang w:val="de-DE" w:eastAsia="de-DE"/>
        </w:rPr>
        <w:br/>
      </w:r>
    </w:p>
    <w:p w:rsidR="0040366D" w:rsidRPr="0040366D" w:rsidRDefault="0040366D" w:rsidP="0040366D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sz w:val="20"/>
          <w:szCs w:val="20"/>
          <w:lang w:val="de-DE" w:eastAsia="de-DE"/>
        </w:rPr>
        <w:t>Compute the SUS score: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br/>
        <w:t>Raw</w:t>
      </w:r>
      <w:r w:rsidR="008A388A">
        <w:rPr>
          <w:rFonts w:eastAsia="Times New Roman" w:cstheme="minorHAnsi"/>
          <w:sz w:val="20"/>
          <w:szCs w:val="20"/>
          <w:lang w:val="de-DE" w:eastAsia="de-DE"/>
        </w:rPr>
        <w:t xml:space="preserve"> score × 2.5</w:t>
      </w:r>
      <w:r w:rsidR="008A388A">
        <w:rPr>
          <w:rFonts w:eastAsia="Times New Roman" w:cstheme="minorHAnsi"/>
          <w:sz w:val="20"/>
          <w:szCs w:val="20"/>
          <w:lang w:val="de-DE" w:eastAsia="de-DE"/>
        </w:rPr>
        <w:br/>
      </w:r>
      <w:r w:rsidRPr="0040366D">
        <w:rPr>
          <w:rFonts w:eastAsia="Times New Roman" w:cstheme="minorHAnsi"/>
          <w:sz w:val="20"/>
          <w:szCs w:val="20"/>
          <w:lang w:val="de-DE" w:eastAsia="de-DE"/>
        </w:rPr>
        <w:t>SUS score (0–100)</w:t>
      </w:r>
    </w:p>
    <w:p w:rsidR="0040366D" w:rsidRPr="0040366D" w:rsidRDefault="0040366D" w:rsidP="0040366D">
      <w:p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SUS interpretation benchmarks (Sauro 2011; Bangor et al. 2009)</w:t>
      </w:r>
    </w:p>
    <w:tbl>
      <w:tblPr>
        <w:tblStyle w:val="EinfacheTabelle2"/>
        <w:tblW w:w="0" w:type="auto"/>
        <w:tblLook w:val="04A0" w:firstRow="1" w:lastRow="0" w:firstColumn="1" w:lastColumn="0" w:noHBand="0" w:noVBand="1"/>
      </w:tblPr>
      <w:tblGrid>
        <w:gridCol w:w="1487"/>
        <w:gridCol w:w="7147"/>
      </w:tblGrid>
      <w:tr w:rsidR="0040366D" w:rsidRPr="0040366D" w:rsidTr="00566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center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Score Range</w:t>
            </w:r>
          </w:p>
        </w:tc>
        <w:tc>
          <w:tcPr>
            <w:tcW w:w="0" w:type="auto"/>
            <w:hideMark/>
          </w:tcPr>
          <w:p w:rsidR="0040366D" w:rsidRPr="0040366D" w:rsidRDefault="0040366D" w:rsidP="00E90F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Meaning</w:t>
            </w:r>
          </w:p>
        </w:tc>
      </w:tr>
      <w:tr w:rsidR="0040366D" w:rsidRPr="0040366D" w:rsidTr="00566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below 51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Poor (Sauro 2011)</w:t>
            </w:r>
          </w:p>
        </w:tc>
      </w:tr>
      <w:tr w:rsidR="0040366D" w:rsidRPr="0040366D" w:rsidTr="00566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51 to 68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Acceptable (Sauro 2011)</w:t>
            </w:r>
          </w:p>
        </w:tc>
      </w:tr>
      <w:tr w:rsidR="0040366D" w:rsidRPr="0040366D" w:rsidTr="00566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68 to 80.3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 xml:space="preserve">Good (Sauro 2011); </w:t>
            </w:r>
            <w:r w:rsidR="008A388A" w:rsidRPr="008A388A">
              <w:rPr>
                <w:rFonts w:eastAsia="Times New Roman" w:cstheme="minorHAnsi"/>
                <w:sz w:val="20"/>
                <w:szCs w:val="20"/>
                <w:lang w:val="de-DE" w:eastAsia="de-DE"/>
              </w:rPr>
              <w:t xml:space="preserve">Adjective Rating Scale </w:t>
            </w: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«Good» at 71.4 (Bangor et al. 2009)</w:t>
            </w:r>
          </w:p>
        </w:tc>
      </w:tr>
      <w:tr w:rsidR="0040366D" w:rsidRPr="0040366D" w:rsidTr="00566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80.3 and above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 xml:space="preserve">Excellent (Sauro 2011); </w:t>
            </w:r>
            <w:r w:rsidR="008A388A" w:rsidRPr="008A388A">
              <w:rPr>
                <w:rFonts w:eastAsia="Times New Roman" w:cstheme="minorHAnsi"/>
                <w:sz w:val="20"/>
                <w:szCs w:val="20"/>
                <w:lang w:val="de-DE" w:eastAsia="de-DE"/>
              </w:rPr>
              <w:t>Adjective Rating Scale</w:t>
            </w: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 xml:space="preserve"> «Excellent» at 85.5 (Bangor et al. 2009)</w:t>
            </w:r>
          </w:p>
        </w:tc>
      </w:tr>
    </w:tbl>
    <w:p w:rsidR="0040366D" w:rsidRPr="0040366D" w:rsidRDefault="0040366D" w:rsidP="0040366D">
      <w:pPr>
        <w:spacing w:after="0"/>
        <w:jc w:val="left"/>
        <w:rPr>
          <w:rFonts w:eastAsia="Times New Roman" w:cstheme="minorHAnsi"/>
          <w:sz w:val="20"/>
          <w:szCs w:val="20"/>
          <w:lang w:val="de-DE" w:eastAsia="de-DE"/>
        </w:rPr>
      </w:pPr>
    </w:p>
    <w:p w:rsidR="00D3407B" w:rsidRDefault="00D3407B" w:rsidP="0040366D">
      <w:pPr>
        <w:spacing w:before="100" w:beforeAutospacing="1" w:after="100" w:afterAutospacing="1"/>
        <w:jc w:val="left"/>
        <w:rPr>
          <w:rFonts w:eastAsia="Times New Roman" w:cstheme="minorHAnsi"/>
          <w:b/>
          <w:bCs/>
          <w:sz w:val="20"/>
          <w:szCs w:val="20"/>
          <w:lang w:val="de-DE" w:eastAsia="de-DE"/>
        </w:rPr>
        <w:sectPr w:rsidR="00D3407B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:rsidR="0040366D" w:rsidRPr="0040366D" w:rsidRDefault="0040366D" w:rsidP="0040366D">
      <w:p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lastRenderedPageBreak/>
        <w:t>UMUX Questionnaire (Usability Metric for User Experience) – TOKADI</w:t>
      </w:r>
    </w:p>
    <w:p w:rsidR="0040366D" w:rsidRPr="0040366D" w:rsidRDefault="0040366D" w:rsidP="0040366D">
      <w:p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sz w:val="20"/>
          <w:szCs w:val="20"/>
          <w:lang w:val="de-DE" w:eastAsia="de-DE"/>
        </w:rPr>
        <w:t>Instruction: Please rate how true the following statements are for TOKADI.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br/>
        <w:t>(1 = strongly disagree, 7 = strongly agree)</w:t>
      </w:r>
    </w:p>
    <w:tbl>
      <w:tblPr>
        <w:tblStyle w:val="EinfacheTabelle2"/>
        <w:tblW w:w="0" w:type="auto"/>
        <w:tblLook w:val="04A0" w:firstRow="1" w:lastRow="0" w:firstColumn="1" w:lastColumn="0" w:noHBand="0" w:noVBand="1"/>
      </w:tblPr>
      <w:tblGrid>
        <w:gridCol w:w="964"/>
        <w:gridCol w:w="4325"/>
        <w:gridCol w:w="389"/>
        <w:gridCol w:w="389"/>
        <w:gridCol w:w="389"/>
        <w:gridCol w:w="389"/>
        <w:gridCol w:w="389"/>
        <w:gridCol w:w="389"/>
        <w:gridCol w:w="389"/>
      </w:tblGrid>
      <w:tr w:rsidR="0040366D" w:rsidRPr="0040366D" w:rsidTr="00976D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center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Item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Statement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3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4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5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6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7</w:t>
            </w:r>
          </w:p>
        </w:tc>
      </w:tr>
      <w:tr w:rsidR="0040366D" w:rsidRPr="0040366D" w:rsidTr="00976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UMUX_1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The capabilities of TOKADI meet my requirements.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40366D" w:rsidRPr="0040366D" w:rsidTr="00976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UMUX_2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Using TOKADI was frustrating for me.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40366D" w:rsidRPr="0040366D" w:rsidTr="00976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UMUX_3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TOKADI is easy to use.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  <w:tr w:rsidR="0040366D" w:rsidRPr="0040366D" w:rsidTr="00976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UMUX_4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 spent a lot of time correcting TOKADI.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ascii="Segoe UI Symbol" w:eastAsia="Times New Roman" w:hAnsi="Segoe UI Symbol" w:cs="Segoe UI Symbol"/>
                <w:sz w:val="20"/>
                <w:szCs w:val="20"/>
                <w:lang w:val="de-DE" w:eastAsia="de-DE"/>
              </w:rPr>
              <w:t>☐</w:t>
            </w:r>
          </w:p>
        </w:tc>
      </w:tr>
    </w:tbl>
    <w:p w:rsidR="0040366D" w:rsidRPr="0040366D" w:rsidRDefault="0040366D" w:rsidP="0040366D">
      <w:pPr>
        <w:spacing w:after="0"/>
        <w:jc w:val="left"/>
        <w:rPr>
          <w:rFonts w:eastAsia="Times New Roman" w:cstheme="minorHAnsi"/>
          <w:sz w:val="20"/>
          <w:szCs w:val="20"/>
          <w:lang w:val="de-DE" w:eastAsia="de-DE"/>
        </w:rPr>
      </w:pPr>
    </w:p>
    <w:p w:rsidR="0040366D" w:rsidRPr="0040366D" w:rsidRDefault="0040366D" w:rsidP="0040366D">
      <w:p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UMUX Scoring Procedure</w:t>
      </w:r>
    </w:p>
    <w:p w:rsidR="0040366D" w:rsidRPr="0040366D" w:rsidRDefault="0040366D" w:rsidP="0040366D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sz w:val="20"/>
          <w:szCs w:val="20"/>
          <w:lang w:val="de-DE" w:eastAsia="de-DE"/>
        </w:rPr>
        <w:t>Reverse-code negatively worded items: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br/>
      </w:r>
      <w:r w:rsidR="008E229B">
        <w:rPr>
          <w:rFonts w:eastAsia="Times New Roman" w:cstheme="minorHAnsi"/>
          <w:sz w:val="20"/>
          <w:szCs w:val="20"/>
          <w:lang w:val="de-DE" w:eastAsia="de-DE"/>
        </w:rPr>
        <w:t>Items 2 and 4</w:t>
      </w:r>
      <w:r w:rsidR="008E229B">
        <w:rPr>
          <w:rFonts w:eastAsia="Times New Roman" w:cstheme="minorHAnsi"/>
          <w:sz w:val="20"/>
          <w:szCs w:val="20"/>
          <w:lang w:val="de-DE" w:eastAsia="de-DE"/>
        </w:rPr>
        <w:br/>
        <w:t xml:space="preserve">(new value = 8; 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t>original value</w:t>
      </w:r>
      <w:r w:rsidR="008E229B">
        <w:rPr>
          <w:rFonts w:eastAsia="Times New Roman" w:cstheme="minorHAnsi"/>
          <w:sz w:val="20"/>
          <w:szCs w:val="20"/>
          <w:lang w:val="de-DE" w:eastAsia="de-DE"/>
        </w:rPr>
        <w:t>)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br/>
        <w:t>(e.g., 1 becomes 7, 2 becomes 6, 3 becomes 5, 4 becomes 4, 5 becomes 3, 6 becomes 2, 7 becomes 1)</w:t>
      </w:r>
      <w:r w:rsidR="008E229B">
        <w:rPr>
          <w:rFonts w:eastAsia="Times New Roman" w:cstheme="minorHAnsi"/>
          <w:sz w:val="20"/>
          <w:szCs w:val="20"/>
          <w:lang w:val="de-DE" w:eastAsia="de-DE"/>
        </w:rPr>
        <w:br/>
      </w:r>
    </w:p>
    <w:p w:rsidR="0040366D" w:rsidRPr="0040366D" w:rsidRDefault="0040366D" w:rsidP="0040366D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sz w:val="20"/>
          <w:szCs w:val="20"/>
          <w:lang w:val="de-DE" w:eastAsia="de-DE"/>
        </w:rPr>
        <w:t>Positively worded ite</w:t>
      </w:r>
      <w:r w:rsidR="008E229B">
        <w:rPr>
          <w:rFonts w:eastAsia="Times New Roman" w:cstheme="minorHAnsi"/>
          <w:sz w:val="20"/>
          <w:szCs w:val="20"/>
          <w:lang w:val="de-DE" w:eastAsia="de-DE"/>
        </w:rPr>
        <w:t>ms (unchanged):</w:t>
      </w:r>
      <w:r w:rsidR="008E229B">
        <w:rPr>
          <w:rFonts w:eastAsia="Times New Roman" w:cstheme="minorHAnsi"/>
          <w:sz w:val="20"/>
          <w:szCs w:val="20"/>
          <w:lang w:val="de-DE" w:eastAsia="de-DE"/>
        </w:rPr>
        <w:br/>
        <w:t xml:space="preserve">Items 1 and 3 </w:t>
      </w:r>
      <w:r w:rsidR="008E229B">
        <w:rPr>
          <w:rFonts w:eastAsia="Times New Roman" w:cstheme="minorHAnsi"/>
          <w:sz w:val="20"/>
          <w:szCs w:val="20"/>
          <w:lang w:val="de-DE" w:eastAsia="de-DE"/>
        </w:rPr>
        <w:br/>
        <w:t>(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t>value remains as ticked</w:t>
      </w:r>
      <w:r w:rsidR="008E229B">
        <w:rPr>
          <w:rFonts w:eastAsia="Times New Roman" w:cstheme="minorHAnsi"/>
          <w:sz w:val="20"/>
          <w:szCs w:val="20"/>
          <w:lang w:val="de-DE" w:eastAsia="de-DE"/>
        </w:rPr>
        <w:t>)</w:t>
      </w:r>
    </w:p>
    <w:p w:rsidR="0040366D" w:rsidRPr="0040366D" w:rsidRDefault="0040366D" w:rsidP="0040366D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sz w:val="20"/>
          <w:szCs w:val="20"/>
          <w:lang w:val="de-DE" w:eastAsia="de-DE"/>
        </w:rPr>
        <w:t>Compute the UMUX score: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br/>
        <w:t xml:space="preserve">((Sum of </w:t>
      </w:r>
      <w:r w:rsidR="008E229B">
        <w:rPr>
          <w:rFonts w:eastAsia="Times New Roman" w:cstheme="minorHAnsi"/>
          <w:sz w:val="20"/>
          <w:szCs w:val="20"/>
          <w:lang w:val="de-DE" w:eastAsia="de-DE"/>
        </w:rPr>
        <w:t>the 4 values – 4) / 24) × 100</w:t>
      </w:r>
      <w:r w:rsidR="008E229B">
        <w:rPr>
          <w:rFonts w:eastAsia="Times New Roman" w:cstheme="minorHAnsi"/>
          <w:sz w:val="20"/>
          <w:szCs w:val="20"/>
          <w:lang w:val="de-DE" w:eastAsia="de-DE"/>
        </w:rPr>
        <w:br/>
      </w:r>
      <w:r w:rsidRPr="0040366D">
        <w:rPr>
          <w:rFonts w:eastAsia="Times New Roman" w:cstheme="minorHAnsi"/>
          <w:sz w:val="20"/>
          <w:szCs w:val="20"/>
          <w:lang w:val="de-DE" w:eastAsia="de-DE"/>
        </w:rPr>
        <w:t>UMUX score (0–100)</w:t>
      </w:r>
    </w:p>
    <w:p w:rsidR="0040366D" w:rsidRPr="0040366D" w:rsidRDefault="0040366D" w:rsidP="0040366D">
      <w:p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sz w:val="20"/>
          <w:szCs w:val="20"/>
          <w:lang w:val="de-DE" w:eastAsia="de-DE"/>
        </w:rPr>
        <w:t>Alternative: S</w:t>
      </w:r>
      <w:r w:rsidR="008E229B">
        <w:rPr>
          <w:rFonts w:eastAsia="Times New Roman" w:cstheme="minorHAnsi"/>
          <w:sz w:val="20"/>
          <w:szCs w:val="20"/>
          <w:lang w:val="de-DE" w:eastAsia="de-DE"/>
        </w:rPr>
        <w:t>um of the 4 values (each 1–7)</w:t>
      </w:r>
      <w:r w:rsidR="008E229B">
        <w:rPr>
          <w:rFonts w:eastAsia="Times New Roman" w:cstheme="minorHAnsi"/>
          <w:sz w:val="20"/>
          <w:szCs w:val="20"/>
          <w:lang w:val="de-DE" w:eastAsia="de-DE"/>
        </w:rPr>
        <w:br/>
      </w:r>
      <w:r w:rsidRPr="0040366D">
        <w:rPr>
          <w:rFonts w:eastAsia="Times New Roman" w:cstheme="minorHAnsi"/>
          <w:sz w:val="20"/>
          <w:szCs w:val="20"/>
          <w:lang w:val="de-DE" w:eastAsia="de-DE"/>
        </w:rPr>
        <w:t>raw score (4–28)</w:t>
      </w:r>
      <w:r w:rsidRPr="0040366D">
        <w:rPr>
          <w:rFonts w:eastAsia="Times New Roman" w:cstheme="minorHAnsi"/>
          <w:sz w:val="20"/>
          <w:szCs w:val="20"/>
          <w:lang w:val="de-DE" w:eastAsia="de-DE"/>
        </w:rPr>
        <w:br/>
        <w:t>UMUX score = (raw score – 4) / 24 × 100</w:t>
      </w:r>
    </w:p>
    <w:p w:rsidR="0040366D" w:rsidRPr="0040366D" w:rsidRDefault="0040366D" w:rsidP="0040366D">
      <w:p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UMUX Interpretation Benchmarks</w:t>
      </w:r>
    </w:p>
    <w:p w:rsidR="0040366D" w:rsidRPr="0002479C" w:rsidRDefault="008E229B" w:rsidP="0002479C">
      <w:pPr>
        <w:spacing w:before="60"/>
        <w:jc w:val="left"/>
      </w:pPr>
      <w:r w:rsidRPr="008E229B">
        <w:rPr>
          <w:rFonts w:cstheme="minorHAnsi"/>
          <w:sz w:val="20"/>
          <w:szCs w:val="20"/>
        </w:rPr>
        <w:t>No established Adjective Rating Scale exists for the UMUX.</w:t>
      </w:r>
      <w:r>
        <w:rPr>
          <w:rFonts w:cstheme="minorHAnsi"/>
          <w:sz w:val="20"/>
          <w:szCs w:val="20"/>
        </w:rPr>
        <w:t xml:space="preserve"> </w:t>
      </w:r>
      <w:r w:rsidR="0002479C">
        <w:rPr>
          <w:rFonts w:cstheme="minorHAnsi"/>
          <w:sz w:val="20"/>
          <w:szCs w:val="20"/>
        </w:rPr>
        <w:t>The score is interpreted in the article together with the SUS score and the convergence between the two instruments.</w:t>
      </w:r>
      <w:bookmarkStart w:id="0" w:name="_GoBack"/>
      <w:bookmarkEnd w:id="0"/>
    </w:p>
    <w:p w:rsidR="0040366D" w:rsidRPr="0040366D" w:rsidRDefault="0040366D" w:rsidP="0040366D">
      <w:pPr>
        <w:spacing w:before="100" w:beforeAutospacing="1" w:after="100" w:afterAutospacing="1"/>
        <w:jc w:val="left"/>
        <w:rPr>
          <w:rFonts w:eastAsia="Times New Roman" w:cstheme="minorHAnsi"/>
          <w:sz w:val="20"/>
          <w:szCs w:val="20"/>
          <w:lang w:val="de-DE" w:eastAsia="de-DE"/>
        </w:rPr>
      </w:pPr>
      <w:r w:rsidRPr="0040366D">
        <w:rPr>
          <w:rFonts w:eastAsia="Times New Roman" w:cstheme="minorHAnsi"/>
          <w:b/>
          <w:bCs/>
          <w:sz w:val="20"/>
          <w:szCs w:val="20"/>
          <w:lang w:val="de-DE" w:eastAsia="de-DE"/>
        </w:rPr>
        <w:t>Brief Summary (Scales at a Glance)</w:t>
      </w:r>
    </w:p>
    <w:tbl>
      <w:tblPr>
        <w:tblStyle w:val="EinfacheTabelle2"/>
        <w:tblW w:w="0" w:type="auto"/>
        <w:tblLook w:val="04A0" w:firstRow="1" w:lastRow="0" w:firstColumn="1" w:lastColumn="0" w:noHBand="0" w:noVBand="1"/>
      </w:tblPr>
      <w:tblGrid>
        <w:gridCol w:w="763"/>
        <w:gridCol w:w="682"/>
        <w:gridCol w:w="1203"/>
        <w:gridCol w:w="2831"/>
        <w:gridCol w:w="1233"/>
      </w:tblGrid>
      <w:tr w:rsidR="0040366D" w:rsidRPr="0040366D" w:rsidTr="00566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center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Scale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Items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Scale Range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Negatively Worded (to reverse)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Score Range</w:t>
            </w:r>
          </w:p>
        </w:tc>
      </w:tr>
      <w:tr w:rsidR="0040366D" w:rsidRPr="0040366D" w:rsidTr="00566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SUS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10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1–5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2, 4, 6, 8, 10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0–100</w:t>
            </w:r>
          </w:p>
        </w:tc>
      </w:tr>
      <w:tr w:rsidR="0040366D" w:rsidRPr="0040366D" w:rsidTr="00566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366D" w:rsidRPr="0040366D" w:rsidRDefault="0040366D" w:rsidP="0040366D">
            <w:pPr>
              <w:jc w:val="left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UMUX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4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1–7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2, 4</w:t>
            </w:r>
          </w:p>
        </w:tc>
        <w:tc>
          <w:tcPr>
            <w:tcW w:w="0" w:type="auto"/>
            <w:hideMark/>
          </w:tcPr>
          <w:p w:rsidR="0040366D" w:rsidRPr="0040366D" w:rsidRDefault="0040366D" w:rsidP="0040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de-DE" w:eastAsia="de-DE"/>
              </w:rPr>
            </w:pPr>
            <w:r w:rsidRPr="0040366D">
              <w:rPr>
                <w:rFonts w:eastAsia="Times New Roman" w:cstheme="minorHAnsi"/>
                <w:sz w:val="20"/>
                <w:szCs w:val="20"/>
                <w:lang w:val="de-DE" w:eastAsia="de-DE"/>
              </w:rPr>
              <w:t>0–100</w:t>
            </w:r>
          </w:p>
        </w:tc>
      </w:tr>
    </w:tbl>
    <w:p w:rsidR="0040366D" w:rsidRPr="0040366D" w:rsidRDefault="0040366D" w:rsidP="0040366D">
      <w:pPr>
        <w:spacing w:after="0"/>
        <w:jc w:val="left"/>
        <w:rPr>
          <w:rFonts w:eastAsia="Times New Roman" w:cstheme="minorHAnsi"/>
          <w:sz w:val="20"/>
          <w:szCs w:val="20"/>
          <w:lang w:val="de-DE" w:eastAsia="de-DE"/>
        </w:rPr>
      </w:pPr>
    </w:p>
    <w:sectPr w:rsidR="0040366D" w:rsidRPr="0040366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1D58D67-C064-4314-8746-8775A452D13A}"/>
    <w:embedBold r:id="rId2" w:fontKey="{709AE85B-548C-4638-977A-899E02353546}"/>
    <w:embedItalic r:id="rId3" w:fontKey="{6C17524D-142F-49BE-92BD-DBEFEF618C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31197E6-B4AD-4218-8F64-8E64999ABD08}"/>
    <w:embedBold r:id="rId5" w:fontKey="{A083A12E-F36E-453D-BE1A-11963CEAB2B2}"/>
    <w:embedItalic r:id="rId6" w:fontKey="{B832F1FB-CD93-432C-B18C-9A950C14383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EBCC1384-132D-4F62-B1E0-81370037EDE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5F195EE3-F926-40C5-A529-03BC7CB3D1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C2144"/>
    <w:multiLevelType w:val="multilevel"/>
    <w:tmpl w:val="B718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A139C"/>
    <w:multiLevelType w:val="multilevel"/>
    <w:tmpl w:val="EC92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3C48B4"/>
    <w:multiLevelType w:val="multilevel"/>
    <w:tmpl w:val="A684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3F0CE4"/>
    <w:multiLevelType w:val="multilevel"/>
    <w:tmpl w:val="6AA23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embedSystemFont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2BB"/>
    <w:rsid w:val="0002479C"/>
    <w:rsid w:val="0011078F"/>
    <w:rsid w:val="002146E0"/>
    <w:rsid w:val="002C202E"/>
    <w:rsid w:val="002C411E"/>
    <w:rsid w:val="0040366D"/>
    <w:rsid w:val="00453642"/>
    <w:rsid w:val="004B51FA"/>
    <w:rsid w:val="00525CBC"/>
    <w:rsid w:val="00566498"/>
    <w:rsid w:val="00651C3C"/>
    <w:rsid w:val="006717CE"/>
    <w:rsid w:val="007D155C"/>
    <w:rsid w:val="008A388A"/>
    <w:rsid w:val="008B0EA0"/>
    <w:rsid w:val="008E229B"/>
    <w:rsid w:val="008F1059"/>
    <w:rsid w:val="009022EB"/>
    <w:rsid w:val="00976DFC"/>
    <w:rsid w:val="009D3D10"/>
    <w:rsid w:val="00A11A16"/>
    <w:rsid w:val="00B1191E"/>
    <w:rsid w:val="00B57AC6"/>
    <w:rsid w:val="00BC31FC"/>
    <w:rsid w:val="00D302BB"/>
    <w:rsid w:val="00D3407B"/>
    <w:rsid w:val="00E26677"/>
    <w:rsid w:val="00E90FBE"/>
    <w:rsid w:val="00EF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C5E74"/>
  <w15:chartTrackingRefBased/>
  <w15:docId w15:val="{858C5D5C-F989-4C7B-A285-4C784730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lang w:val="en-GB"/>
    </w:rPr>
  </w:style>
  <w:style w:type="paragraph" w:styleId="berschrift2">
    <w:name w:val="heading 2"/>
    <w:basedOn w:val="Standard"/>
    <w:link w:val="berschrift2Zchn"/>
    <w:uiPriority w:val="9"/>
    <w:qFormat/>
    <w:rsid w:val="00D302BB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de-DE" w:eastAsia="de-DE"/>
    </w:rPr>
  </w:style>
  <w:style w:type="paragraph" w:styleId="berschrift3">
    <w:name w:val="heading 3"/>
    <w:basedOn w:val="Standard"/>
    <w:link w:val="berschrift3Zchn"/>
    <w:uiPriority w:val="9"/>
    <w:qFormat/>
    <w:rsid w:val="00D302BB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D302BB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302B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customStyle="1" w:styleId="ds-markdown-paragraph">
    <w:name w:val="ds-markdown-paragraph"/>
    <w:basedOn w:val="Standard"/>
    <w:rsid w:val="00D302B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styleId="Fett">
    <w:name w:val="Strong"/>
    <w:basedOn w:val="Absatz-Standardschriftart"/>
    <w:uiPriority w:val="22"/>
    <w:qFormat/>
    <w:rsid w:val="00D302BB"/>
    <w:rPr>
      <w:b/>
      <w:bCs/>
    </w:rPr>
  </w:style>
  <w:style w:type="character" w:styleId="Hervorhebung">
    <w:name w:val="Emphasis"/>
    <w:basedOn w:val="Absatz-Standardschriftart"/>
    <w:uiPriority w:val="20"/>
    <w:qFormat/>
    <w:rsid w:val="00D302BB"/>
    <w:rPr>
      <w:i/>
      <w:iCs/>
    </w:rPr>
  </w:style>
  <w:style w:type="table" w:styleId="EinfacheTabelle2">
    <w:name w:val="Plain Table 2"/>
    <w:basedOn w:val="NormaleTabelle"/>
    <w:uiPriority w:val="42"/>
    <w:rsid w:val="00D302B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57F6E-4024-4BCE-9E8E-C66ABC994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802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Bilgin</dc:creator>
  <cp:keywords/>
  <dc:description/>
  <cp:lastModifiedBy>Mustafa Bilgin</cp:lastModifiedBy>
  <cp:revision>14</cp:revision>
  <dcterms:created xsi:type="dcterms:W3CDTF">2026-08-18T14:55:00Z</dcterms:created>
  <dcterms:modified xsi:type="dcterms:W3CDTF">2026-08-31T19:21:00Z</dcterms:modified>
</cp:coreProperties>
</file>