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
    </w:p>
    <w:p>
      <w:pPr>
        <w:pStyle w:val="Normal"/>
        <w:rPr/>
      </w:pPr>
      <w:r>
        <w:rPr/>
      </w:r>
    </w:p>
    <w:p>
      <w:pPr>
        <w:pStyle w:val="Normal"/>
        <w:rPr/>
      </w:pPr>
      <w:r>
        <w:rPr/>
      </w:r>
    </w:p>
    <w:p>
      <w:pPr>
        <w:pStyle w:val="Normal"/>
        <w:rPr/>
      </w:pPr>
      <w:r>
        <w:rPr/>
      </w:r>
    </w:p>
    <w:p>
      <w:pPr>
        <w:pStyle w:val="Normal"/>
        <w:jc w:val="center"/>
        <w:rPr/>
      </w:pPr>
      <w:r>
        <w:rPr>
          <w:rFonts w:ascii="Times New Roman" w:hAnsi="Times New Roman"/>
          <w:b/>
          <w:color w:val="176B73"/>
          <w:sz w:val="36"/>
        </w:rPr>
        <w:t>项目建议书</w:t>
      </w:r>
    </w:p>
    <w:p>
      <w:pPr>
        <w:pStyle w:val="Normal"/>
        <w:rPr/>
      </w:pPr>
      <w:r>
        <w:rPr/>
      </w:r>
    </w:p>
    <w:p>
      <w:pPr>
        <w:pStyle w:val="Normal"/>
        <w:jc w:val="center"/>
        <w:rPr/>
      </w:pPr>
      <w:r>
        <w:rPr>
          <w:rFonts w:ascii="Times New Roman" w:hAnsi="Times New Roman"/>
          <w:b/>
          <w:color w:val="202833"/>
          <w:sz w:val="58"/>
        </w:rPr>
        <w:t>大模型辅助评估</w:t>
      </w:r>
    </w:p>
    <w:p>
      <w:pPr>
        <w:pStyle w:val="Normal"/>
        <w:jc w:val="center"/>
        <w:rPr>
          <w:rFonts w:ascii="Times New Roman" w:hAnsi="Times New Roman" w:eastAsia="宋体"/>
          <w:b w:val="false"/>
          <w:color w:val="202833"/>
          <w:sz w:val="19"/>
        </w:rPr>
      </w:pPr>
      <w:r>
        <w:rPr/>
      </w:r>
    </w:p>
    <w:p>
      <w:pPr>
        <w:pStyle w:val="Heading1"/>
        <w:ind w:hanging="0"/>
        <w:rPr/>
      </w:pPr>
      <w:r>
        <w:rPr>
          <w:rFonts w:eastAsia="宋体" w:ascii="Times New Roman" w:hAnsi="Times New Roman"/>
          <w:b/>
          <w:color w:val="1F4E78"/>
          <w:sz w:val="32"/>
        </w:rPr>
        <w:t xml:space="preserve">1 </w:t>
      </w:r>
      <w:r>
        <w:rPr>
          <w:rFonts w:ascii="Times New Roman" w:hAnsi="Times New Roman" w:eastAsia="宋体"/>
          <w:b/>
          <w:color w:val="1F4E78"/>
          <w:sz w:val="32"/>
        </w:rPr>
        <w:t>立项依据</w:t>
      </w:r>
    </w:p>
    <w:p>
      <w:pPr>
        <w:pStyle w:val="Heading2"/>
        <w:ind w:hanging="0"/>
        <w:rPr/>
      </w:pPr>
      <w:r>
        <w:rPr>
          <w:rFonts w:eastAsia="宋体" w:ascii="Times New Roman" w:hAnsi="Times New Roman"/>
          <w:b/>
          <w:color w:val="176B73"/>
          <w:sz w:val="28"/>
        </w:rPr>
        <w:t xml:space="preserve">1.1 </w:t>
      </w:r>
      <w:r>
        <w:rPr>
          <w:rFonts w:ascii="Times New Roman" w:hAnsi="Times New Roman" w:eastAsia="宋体"/>
          <w:b/>
          <w:color w:val="176B73"/>
          <w:sz w:val="28"/>
        </w:rPr>
        <w:t>研究的目的和意义</w:t>
      </w:r>
    </w:p>
    <w:p>
      <w:pPr>
        <w:pStyle w:val="Normal"/>
        <w:widowControl/>
        <w:rPr/>
      </w:pPr>
      <w:r>
        <w:rPr>
          <w:rFonts w:ascii="Times New Roman" w:hAnsi="Times New Roman"/>
          <w:b w:val="false"/>
          <w:color w:val="202833"/>
          <w:sz w:val="22"/>
        </w:rPr>
        <w:t>本项目面向多批次仿真、半实物和后续外场试验的离线评估环节。现有评估链已经能够消费类型化记录和已写盘日志，由确定性程序计算探测概率、虚警、航迹均方根误差、航迹连续率、身份交换次数、重复分配、未分配高威胁目标数、故障转移时间、末端关联与锁定、安全约束违规等正式指标，并输出表格、图表和中文报告。现有证据主要来自确定性回归、点质量仿真和</w:t>
      </w:r>
      <w:r>
        <w:rPr>
          <w:rFonts w:eastAsia="宋体"/>
          <w:b w:val="false"/>
          <w:color w:val="202833"/>
          <w:sz w:val="22"/>
        </w:rPr>
        <w:t>AirSim</w:t>
      </w:r>
      <w:r>
        <w:rPr>
          <w:rFonts w:ascii="Times New Roman" w:hAnsi="Times New Roman"/>
          <w:b w:val="false"/>
          <w:color w:val="202833"/>
          <w:sz w:val="22"/>
        </w:rPr>
        <w:t>试验，不等同于装备定型、实装性能或外场鉴定结论。</w:t>
      </w:r>
    </w:p>
    <w:p>
      <w:pPr>
        <w:pStyle w:val="Normal"/>
        <w:widowControl/>
        <w:rPr/>
      </w:pPr>
      <w:r>
        <w:rPr>
          <w:rFonts w:ascii="Times New Roman" w:hAnsi="Times New Roman"/>
          <w:b w:val="false"/>
          <w:color w:val="202833"/>
          <w:sz w:val="22"/>
        </w:rPr>
        <w:t>随着场景、随机种子、资源数、目标数和日志源增加，人工逐份核对时间线、归并失败原因、比较配置并编写报告的成本上升。单靠模板报告可以锁定数值，却难以处理跨模块事件关系、长日志摘要和失败解释；直接让大模型读取原始日志并自由写报告，又会引入数值改写、证据错配、因果过度推断和版本不可追溯等风险。</w:t>
      </w:r>
    </w:p>
    <w:p>
      <w:pPr>
        <w:pStyle w:val="Normal"/>
        <w:widowControl/>
        <w:rPr/>
      </w:pPr>
      <w:r>
        <w:rPr>
          <w:rFonts w:ascii="Times New Roman" w:hAnsi="Times New Roman"/>
          <w:b w:val="false"/>
          <w:color w:val="202833"/>
          <w:sz w:val="22"/>
        </w:rPr>
        <w:t>项目拟在确定性评估之后增加可删除、可回退的本地大模型分析层。该层读取只读证据包，完成事件摘要、失败二级分类、跨实验差异说明、报告草拟和离线场景建议；正式数值、显著性检验、置信区间、图表和结果门限仍由确定性程序产生。生成结果必须经过数值锁定、证据绑定、术语检查和人工复核，未通过校验时回退到确定性模板报告。</w:t>
      </w:r>
    </w:p>
    <w:p>
      <w:pPr>
        <w:pStyle w:val="Normal"/>
        <w:widowControl/>
        <w:rPr/>
      </w:pPr>
      <w:r>
        <w:rPr>
          <w:rFonts w:ascii="Times New Roman" w:hAnsi="Times New Roman"/>
          <w:b w:val="false"/>
          <w:color w:val="202833"/>
          <w:sz w:val="22"/>
        </w:rPr>
        <w:t>建设作用集中在三个方面：一是把日志、指标、事件、图表和结论连成可核验的证据链，减少报告与原始记录脱节；二是统一失败分类和状态表述，支持跨批次、跨模型版本和跨场景复盘；三是在不把敏感数据送出本地环境的前提下缩短报告整理时间。该能力不改变在线任务流程，也不扩大任何模块的控制权限。</w:t>
      </w:r>
    </w:p>
    <w:p>
      <w:pPr>
        <w:pStyle w:val="Heading3"/>
        <w:ind w:hanging="0"/>
        <w:rPr/>
      </w:pPr>
      <w:r>
        <w:rPr>
          <w:rFonts w:ascii="Times New Roman" w:hAnsi="Times New Roman" w:eastAsia="宋体"/>
          <w:b/>
          <w:color w:val="202833"/>
          <w:sz w:val="24"/>
        </w:rPr>
        <w:t>当前能力与拟建边界</w:t>
      </w:r>
    </w:p>
    <w:tbl>
      <w:tblPr>
        <w:tblStyle w:val="TableGrid"/>
        <w:tblW w:w="9411" w:type="dxa"/>
        <w:jc w:val="center"/>
        <w:tblInd w:w="0" w:type="dxa"/>
        <w:tblLayout w:type="fixed"/>
        <w:tblCellMar>
          <w:top w:w="55" w:type="dxa"/>
          <w:left w:w="65" w:type="dxa"/>
          <w:bottom w:w="55" w:type="dxa"/>
          <w:right w:w="65" w:type="dxa"/>
        </w:tblCellMar>
        <w:tblLook w:val="04a0" w:noHBand="0" w:noVBand="1" w:firstColumn="1" w:lastRow="0" w:lastColumn="0" w:firstRow="1"/>
      </w:tblPr>
      <w:tblGrid>
        <w:gridCol w:w="3137"/>
        <w:gridCol w:w="3137"/>
        <w:gridCol w:w="3137"/>
      </w:tblGrid>
      <w:tr>
        <w:trPr>
          <w:tblHeader w:val="true"/>
          <w:cantSplit w:val="true"/>
        </w:trPr>
        <w:tc>
          <w:tcPr>
            <w:tcW w:w="3137" w:type="dxa"/>
            <w:tcBorders/>
            <w:shd w:fill="1F4E78"/>
            <w:vAlign w:val="center"/>
          </w:tcPr>
          <w:p>
            <w:pPr>
              <w:pStyle w:val="Normal"/>
              <w:widowControl/>
              <w:spacing w:lineRule="auto" w:line="259" w:before="0" w:after="0"/>
              <w:ind w:hanging="0"/>
              <w:jc w:val="center"/>
              <w:rPr>
                <w:rFonts w:cs=""/>
                <w:kern w:val="0"/>
                <w:szCs w:val="22"/>
                <w:lang w:val="en-US" w:eastAsia="en-US" w:bidi="ar-SA"/>
              </w:rPr>
            </w:pPr>
            <w:r>
              <w:rPr>
                <w:rFonts w:ascii="Times New Roman" w:hAnsi="Times New Roman" w:cs=""/>
                <w:b/>
                <w:color w:val="FFFFFF"/>
                <w:kern w:val="0"/>
                <w:sz w:val="17"/>
                <w:szCs w:val="22"/>
                <w:lang w:val="en-US" w:eastAsia="en-US" w:bidi="ar-SA"/>
              </w:rPr>
              <w:t>能力项</w:t>
            </w:r>
          </w:p>
        </w:tc>
        <w:tc>
          <w:tcPr>
            <w:tcW w:w="3137" w:type="dxa"/>
            <w:tcBorders/>
            <w:shd w:fill="1F4E78"/>
            <w:vAlign w:val="center"/>
          </w:tcPr>
          <w:p>
            <w:pPr>
              <w:pStyle w:val="Normal"/>
              <w:widowControl/>
              <w:spacing w:lineRule="auto" w:line="259" w:before="0" w:after="0"/>
              <w:ind w:hanging="0"/>
              <w:jc w:val="center"/>
              <w:rPr>
                <w:rFonts w:cs=""/>
                <w:kern w:val="0"/>
                <w:szCs w:val="22"/>
                <w:lang w:val="en-US" w:eastAsia="en-US" w:bidi="ar-SA"/>
              </w:rPr>
            </w:pPr>
            <w:r>
              <w:rPr>
                <w:rFonts w:ascii="Times New Roman" w:hAnsi="Times New Roman" w:cs=""/>
                <w:b/>
                <w:color w:val="FFFFFF"/>
                <w:kern w:val="0"/>
                <w:sz w:val="17"/>
                <w:szCs w:val="22"/>
                <w:lang w:val="en-US" w:eastAsia="en-US" w:bidi="ar-SA"/>
              </w:rPr>
              <w:t>状态</w:t>
            </w:r>
          </w:p>
        </w:tc>
        <w:tc>
          <w:tcPr>
            <w:tcW w:w="3137" w:type="dxa"/>
            <w:tcBorders/>
            <w:shd w:fill="1F4E78"/>
            <w:vAlign w:val="center"/>
          </w:tcPr>
          <w:p>
            <w:pPr>
              <w:pStyle w:val="Normal"/>
              <w:widowControl/>
              <w:spacing w:lineRule="auto" w:line="259" w:before="0" w:after="0"/>
              <w:ind w:hanging="0"/>
              <w:jc w:val="center"/>
              <w:rPr>
                <w:rFonts w:cs=""/>
                <w:kern w:val="0"/>
                <w:szCs w:val="22"/>
                <w:lang w:val="en-US" w:eastAsia="en-US" w:bidi="ar-SA"/>
              </w:rPr>
            </w:pPr>
            <w:r>
              <w:rPr>
                <w:rFonts w:ascii="Times New Roman" w:hAnsi="Times New Roman" w:cs=""/>
                <w:b/>
                <w:color w:val="FFFFFF"/>
                <w:kern w:val="0"/>
                <w:sz w:val="17"/>
                <w:szCs w:val="22"/>
                <w:lang w:val="en-US" w:eastAsia="en-US" w:bidi="ar-SA"/>
              </w:rPr>
              <w:t>本项目处理方式</w:t>
            </w:r>
          </w:p>
        </w:tc>
      </w:tr>
      <w:tr>
        <w:trPr>
          <w:cantSplit w:val="true"/>
        </w:trPr>
        <w:tc>
          <w:tcPr>
            <w:tcW w:w="3137" w:type="dxa"/>
            <w:tcBorders/>
            <w:vAlign w:val="center"/>
          </w:tcPr>
          <w:p>
            <w:pPr>
              <w:pStyle w:val="Normal"/>
              <w:widowControl/>
              <w:spacing w:lineRule="auto" w:line="259" w:before="0" w:after="0"/>
              <w:ind w:hanging="0"/>
              <w:jc w:val="left"/>
              <w:rPr>
                <w:rFonts w:cs=""/>
                <w:kern w:val="0"/>
                <w:szCs w:val="22"/>
                <w:lang w:val="en-US" w:eastAsia="en-US" w:bidi="ar-SA"/>
              </w:rPr>
            </w:pPr>
            <w:r>
              <w:rPr>
                <w:rFonts w:eastAsia="宋体" w:cs=""/>
                <w:b w:val="false"/>
                <w:color w:val="202833"/>
                <w:kern w:val="0"/>
                <w:sz w:val="17"/>
                <w:szCs w:val="22"/>
                <w:lang w:val="en-US" w:eastAsia="en-US" w:bidi="ar-SA"/>
              </w:rPr>
              <w:t>D6</w:t>
            </w:r>
            <w:r>
              <w:rPr>
                <w:rFonts w:ascii="Times New Roman" w:hAnsi="Times New Roman" w:cs=""/>
                <w:b w:val="false"/>
                <w:color w:val="202833"/>
                <w:kern w:val="0"/>
                <w:sz w:val="17"/>
                <w:szCs w:val="22"/>
                <w:lang w:val="en-US" w:eastAsia="en-US" w:bidi="ar-SA"/>
              </w:rPr>
              <w:t>确定性指标、显式身份交换计数、可用性和来源审计</w:t>
            </w:r>
          </w:p>
        </w:tc>
        <w:tc>
          <w:tcPr>
            <w:tcW w:w="3137" w:type="dxa"/>
            <w:tcBorders/>
            <w:vAlign w:val="center"/>
          </w:tcPr>
          <w:p>
            <w:pPr>
              <w:pStyle w:val="Normal"/>
              <w:widowControl/>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7"/>
                <w:szCs w:val="22"/>
                <w:lang w:val="en-US" w:eastAsia="en-US" w:bidi="ar-SA"/>
              </w:rPr>
              <w:t>当前已实现并经过确定性测试；部分指标有仿真验证</w:t>
            </w:r>
          </w:p>
        </w:tc>
        <w:tc>
          <w:tcPr>
            <w:tcW w:w="3137" w:type="dxa"/>
            <w:tcBorders/>
            <w:vAlign w:val="center"/>
          </w:tcPr>
          <w:p>
            <w:pPr>
              <w:pStyle w:val="Normal"/>
              <w:widowControl/>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7"/>
                <w:szCs w:val="22"/>
                <w:lang w:val="en-US" w:eastAsia="en-US" w:bidi="ar-SA"/>
              </w:rPr>
              <w:t>保持正式结果唯一来源，不交给大模型重算</w:t>
            </w:r>
          </w:p>
        </w:tc>
      </w:tr>
      <w:tr>
        <w:trPr>
          <w:cantSplit w:val="true"/>
        </w:trPr>
        <w:tc>
          <w:tcPr>
            <w:tcW w:w="3137" w:type="dxa"/>
            <w:tcBorders/>
            <w:shd w:fill="F5F7FA"/>
            <w:vAlign w:val="center"/>
          </w:tcPr>
          <w:p>
            <w:pPr>
              <w:pStyle w:val="Normal"/>
              <w:widowControl/>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7"/>
                <w:szCs w:val="22"/>
                <w:lang w:val="en-US" w:eastAsia="en-US" w:bidi="ar-SA"/>
              </w:rPr>
              <w:t>类型化日志、</w:t>
            </w:r>
            <w:r>
              <w:rPr>
                <w:rFonts w:eastAsia="宋体" w:cs=""/>
                <w:b w:val="false"/>
                <w:color w:val="202833"/>
                <w:kern w:val="0"/>
                <w:sz w:val="17"/>
                <w:szCs w:val="22"/>
                <w:lang w:val="en-US" w:eastAsia="en-US" w:bidi="ar-SA"/>
              </w:rPr>
              <w:t>JSONL</w:t>
            </w:r>
            <w:r>
              <w:rPr>
                <w:rFonts w:ascii="Times New Roman" w:hAnsi="Times New Roman" w:cs=""/>
                <w:b w:val="false"/>
                <w:color w:val="202833"/>
                <w:kern w:val="0"/>
                <w:sz w:val="17"/>
                <w:szCs w:val="22"/>
                <w:lang w:val="en-US" w:eastAsia="en-US" w:bidi="ar-SA"/>
              </w:rPr>
              <w:t>适配、批量统计、</w:t>
            </w:r>
            <w:r>
              <w:rPr>
                <w:rFonts w:eastAsia="宋体" w:cs=""/>
                <w:b w:val="false"/>
                <w:color w:val="202833"/>
                <w:kern w:val="0"/>
                <w:sz w:val="17"/>
                <w:szCs w:val="22"/>
                <w:lang w:val="en-US" w:eastAsia="en-US" w:bidi="ar-SA"/>
              </w:rPr>
              <w:t>CSV/JSON/Markdown</w:t>
            </w:r>
            <w:r>
              <w:rPr>
                <w:rFonts w:ascii="Times New Roman" w:hAnsi="Times New Roman" w:cs=""/>
                <w:b w:val="false"/>
                <w:color w:val="202833"/>
                <w:kern w:val="0"/>
                <w:sz w:val="17"/>
                <w:szCs w:val="22"/>
                <w:lang w:val="en-US" w:eastAsia="en-US" w:bidi="ar-SA"/>
              </w:rPr>
              <w:t>和二维图表</w:t>
            </w:r>
          </w:p>
        </w:tc>
        <w:tc>
          <w:tcPr>
            <w:tcW w:w="3137" w:type="dxa"/>
            <w:tcBorders/>
            <w:shd w:fill="F5F7FA"/>
            <w:vAlign w:val="center"/>
          </w:tcPr>
          <w:p>
            <w:pPr>
              <w:pStyle w:val="Normal"/>
              <w:widowControl/>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7"/>
                <w:szCs w:val="22"/>
                <w:lang w:val="en-US" w:eastAsia="en-US" w:bidi="ar-SA"/>
              </w:rPr>
              <w:t>当前已实现</w:t>
            </w:r>
          </w:p>
        </w:tc>
        <w:tc>
          <w:tcPr>
            <w:tcW w:w="3137" w:type="dxa"/>
            <w:tcBorders/>
            <w:shd w:fill="F5F7FA"/>
            <w:vAlign w:val="center"/>
          </w:tcPr>
          <w:p>
            <w:pPr>
              <w:pStyle w:val="Normal"/>
              <w:widowControl/>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7"/>
                <w:szCs w:val="22"/>
                <w:lang w:val="en-US" w:eastAsia="en-US" w:bidi="ar-SA"/>
              </w:rPr>
              <w:t>作为证据包输入；验收前补充统一模式和哈希清单</w:t>
            </w:r>
          </w:p>
        </w:tc>
      </w:tr>
      <w:tr>
        <w:trPr>
          <w:cantSplit w:val="true"/>
        </w:trPr>
        <w:tc>
          <w:tcPr>
            <w:tcW w:w="3137" w:type="dxa"/>
            <w:tcBorders/>
            <w:vAlign w:val="center"/>
          </w:tcPr>
          <w:p>
            <w:pPr>
              <w:pStyle w:val="Normal"/>
              <w:widowControl/>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7"/>
                <w:szCs w:val="22"/>
                <w:lang w:val="en-US" w:eastAsia="en-US" w:bidi="ar-SA"/>
              </w:rPr>
              <w:t>多随机种子、</w:t>
            </w:r>
            <w:r>
              <w:rPr>
                <w:rFonts w:eastAsia="宋体" w:cs=""/>
                <w:b w:val="false"/>
                <w:color w:val="202833"/>
                <w:kern w:val="0"/>
                <w:sz w:val="17"/>
                <w:szCs w:val="22"/>
                <w:lang w:val="en-US" w:eastAsia="en-US" w:bidi="ar-SA"/>
              </w:rPr>
              <w:t>AirSim</w:t>
            </w:r>
            <w:r>
              <w:rPr>
                <w:rFonts w:ascii="Times New Roman" w:hAnsi="Times New Roman" w:cs=""/>
                <w:b w:val="false"/>
                <w:color w:val="202833"/>
                <w:kern w:val="0"/>
                <w:sz w:val="17"/>
                <w:szCs w:val="22"/>
                <w:lang w:val="en-US" w:eastAsia="en-US" w:bidi="ar-SA"/>
              </w:rPr>
              <w:t>和点质量试验结果</w:t>
            </w:r>
          </w:p>
        </w:tc>
        <w:tc>
          <w:tcPr>
            <w:tcW w:w="3137" w:type="dxa"/>
            <w:tcBorders/>
            <w:vAlign w:val="center"/>
          </w:tcPr>
          <w:p>
            <w:pPr>
              <w:pStyle w:val="Normal"/>
              <w:widowControl/>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7"/>
                <w:szCs w:val="22"/>
                <w:lang w:val="en-US" w:eastAsia="en-US" w:bidi="ar-SA"/>
              </w:rPr>
              <w:t>已有仿真证据，覆盖范围随场景而异</w:t>
            </w:r>
          </w:p>
        </w:tc>
        <w:tc>
          <w:tcPr>
            <w:tcW w:w="3137" w:type="dxa"/>
            <w:tcBorders/>
            <w:vAlign w:val="center"/>
          </w:tcPr>
          <w:p>
            <w:pPr>
              <w:pStyle w:val="Normal"/>
              <w:widowControl/>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7"/>
                <w:szCs w:val="22"/>
                <w:lang w:val="en-US" w:eastAsia="en-US" w:bidi="ar-SA"/>
              </w:rPr>
              <w:t>只按仿真证据表述，不外推为实装能力</w:t>
            </w:r>
          </w:p>
        </w:tc>
      </w:tr>
      <w:tr>
        <w:trPr>
          <w:cantSplit w:val="true"/>
        </w:trPr>
        <w:tc>
          <w:tcPr>
            <w:tcW w:w="3137" w:type="dxa"/>
            <w:tcBorders/>
            <w:shd w:fill="F5F7FA"/>
            <w:vAlign w:val="center"/>
          </w:tcPr>
          <w:p>
            <w:pPr>
              <w:pStyle w:val="Normal"/>
              <w:widowControl/>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7"/>
                <w:szCs w:val="22"/>
                <w:lang w:val="en-US" w:eastAsia="en-US" w:bidi="ar-SA"/>
              </w:rPr>
              <w:t>只追加原始日志、统一证据包、原子结论证据索引</w:t>
            </w:r>
          </w:p>
        </w:tc>
        <w:tc>
          <w:tcPr>
            <w:tcW w:w="3137" w:type="dxa"/>
            <w:tcBorders/>
            <w:shd w:fill="F5F7FA"/>
            <w:vAlign w:val="center"/>
          </w:tcPr>
          <w:p>
            <w:pPr>
              <w:pStyle w:val="Normal"/>
              <w:widowControl/>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7"/>
                <w:szCs w:val="22"/>
                <w:lang w:val="en-US" w:eastAsia="en-US" w:bidi="ar-SA"/>
              </w:rPr>
              <w:t>部分基础字段存在，工程闭环待建设</w:t>
            </w:r>
          </w:p>
        </w:tc>
        <w:tc>
          <w:tcPr>
            <w:tcW w:w="3137" w:type="dxa"/>
            <w:tcBorders/>
            <w:shd w:fill="F5F7FA"/>
            <w:vAlign w:val="center"/>
          </w:tcPr>
          <w:p>
            <w:pPr>
              <w:pStyle w:val="Normal"/>
              <w:widowControl/>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7"/>
                <w:szCs w:val="22"/>
                <w:lang w:val="en-US" w:eastAsia="en-US" w:bidi="ar-SA"/>
              </w:rPr>
              <w:t>本项目拟实现并进行篡改、缺失和版本冲突测试</w:t>
            </w:r>
          </w:p>
        </w:tc>
      </w:tr>
      <w:tr>
        <w:trPr>
          <w:cantSplit w:val="true"/>
        </w:trPr>
        <w:tc>
          <w:tcPr>
            <w:tcW w:w="3137" w:type="dxa"/>
            <w:tcBorders/>
            <w:vAlign w:val="center"/>
          </w:tcPr>
          <w:p>
            <w:pPr>
              <w:pStyle w:val="Normal"/>
              <w:widowControl/>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7"/>
                <w:szCs w:val="22"/>
                <w:lang w:val="en-US" w:eastAsia="en-US" w:bidi="ar-SA"/>
              </w:rPr>
              <w:t>本地大模型适配、失败分类、结构化分析、可信报告生成</w:t>
            </w:r>
          </w:p>
        </w:tc>
        <w:tc>
          <w:tcPr>
            <w:tcW w:w="3137" w:type="dxa"/>
            <w:tcBorders/>
            <w:vAlign w:val="center"/>
          </w:tcPr>
          <w:p>
            <w:pPr>
              <w:pStyle w:val="Normal"/>
              <w:widowControl/>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7"/>
                <w:szCs w:val="22"/>
                <w:lang w:val="en-US" w:eastAsia="en-US" w:bidi="ar-SA"/>
              </w:rPr>
              <w:t>未实现</w:t>
            </w:r>
          </w:p>
        </w:tc>
        <w:tc>
          <w:tcPr>
            <w:tcW w:w="3137" w:type="dxa"/>
            <w:tcBorders/>
            <w:vAlign w:val="center"/>
          </w:tcPr>
          <w:p>
            <w:pPr>
              <w:pStyle w:val="Normal"/>
              <w:widowControl/>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7"/>
                <w:szCs w:val="22"/>
                <w:lang w:val="en-US" w:eastAsia="en-US" w:bidi="ar-SA"/>
              </w:rPr>
              <w:t>本项目核心研究内容</w:t>
            </w:r>
          </w:p>
        </w:tc>
      </w:tr>
      <w:tr>
        <w:trPr>
          <w:cantSplit w:val="true"/>
        </w:trPr>
        <w:tc>
          <w:tcPr>
            <w:tcW w:w="3137" w:type="dxa"/>
            <w:tcBorders/>
            <w:shd w:fill="F5F7FA"/>
            <w:vAlign w:val="center"/>
          </w:tcPr>
          <w:p>
            <w:pPr>
              <w:pStyle w:val="Normal"/>
              <w:widowControl/>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7"/>
                <w:szCs w:val="22"/>
                <w:lang w:val="en-US" w:eastAsia="en-US" w:bidi="ar-SA"/>
              </w:rPr>
              <w:t>场景建议白名单和物理可达性校验</w:t>
            </w:r>
          </w:p>
        </w:tc>
        <w:tc>
          <w:tcPr>
            <w:tcW w:w="3137" w:type="dxa"/>
            <w:tcBorders/>
            <w:shd w:fill="F5F7FA"/>
            <w:vAlign w:val="center"/>
          </w:tcPr>
          <w:p>
            <w:pPr>
              <w:pStyle w:val="Normal"/>
              <w:widowControl/>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7"/>
                <w:szCs w:val="22"/>
                <w:lang w:val="en-US" w:eastAsia="en-US" w:bidi="ar-SA"/>
              </w:rPr>
              <w:t>未实现</w:t>
            </w:r>
          </w:p>
        </w:tc>
        <w:tc>
          <w:tcPr>
            <w:tcW w:w="3137" w:type="dxa"/>
            <w:tcBorders/>
            <w:shd w:fill="F5F7FA"/>
            <w:vAlign w:val="center"/>
          </w:tcPr>
          <w:p>
            <w:pPr>
              <w:pStyle w:val="Normal"/>
              <w:widowControl/>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7"/>
                <w:szCs w:val="22"/>
                <w:lang w:val="en-US" w:eastAsia="en-US" w:bidi="ar-SA"/>
              </w:rPr>
              <w:t>仅输出离线试验候选，不自动执行</w:t>
            </w:r>
          </w:p>
        </w:tc>
      </w:tr>
      <w:tr>
        <w:trPr>
          <w:cantSplit w:val="true"/>
        </w:trPr>
        <w:tc>
          <w:tcPr>
            <w:tcW w:w="3137" w:type="dxa"/>
            <w:tcBorders/>
            <w:vAlign w:val="center"/>
          </w:tcPr>
          <w:p>
            <w:pPr>
              <w:pStyle w:val="Normal"/>
              <w:widowControl/>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7"/>
                <w:szCs w:val="22"/>
                <w:lang w:val="en-US" w:eastAsia="en-US" w:bidi="ar-SA"/>
              </w:rPr>
              <w:t>云端模型、在线任务发布、飞行控制、全局目标编号修改</w:t>
            </w:r>
          </w:p>
        </w:tc>
        <w:tc>
          <w:tcPr>
            <w:tcW w:w="3137" w:type="dxa"/>
            <w:tcBorders/>
            <w:vAlign w:val="center"/>
          </w:tcPr>
          <w:p>
            <w:pPr>
              <w:pStyle w:val="Normal"/>
              <w:widowControl/>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7"/>
                <w:szCs w:val="22"/>
                <w:lang w:val="en-US" w:eastAsia="en-US" w:bidi="ar-SA"/>
              </w:rPr>
              <w:t>禁止能力</w:t>
            </w:r>
          </w:p>
        </w:tc>
        <w:tc>
          <w:tcPr>
            <w:tcW w:w="3137" w:type="dxa"/>
            <w:tcBorders/>
            <w:vAlign w:val="center"/>
          </w:tcPr>
          <w:p>
            <w:pPr>
              <w:pStyle w:val="Normal"/>
              <w:widowControl/>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7"/>
                <w:szCs w:val="22"/>
                <w:lang w:val="en-US" w:eastAsia="en-US" w:bidi="ar-SA"/>
              </w:rPr>
              <w:t>架构和验收中保持物理与逻辑隔离</w:t>
            </w:r>
          </w:p>
        </w:tc>
      </w:tr>
    </w:tbl>
    <w:p>
      <w:pPr>
        <w:pStyle w:val="Normal"/>
        <w:spacing w:before="0" w:after="20"/>
        <w:rPr/>
      </w:pPr>
      <w:r>
        <w:rPr/>
      </w:r>
    </w:p>
    <w:p>
      <w:pPr>
        <w:pStyle w:val="Heading2"/>
        <w:ind w:hanging="0"/>
        <w:rPr/>
      </w:pPr>
      <w:r>
        <w:rPr>
          <w:rFonts w:eastAsia="宋体" w:ascii="Times New Roman" w:hAnsi="Times New Roman"/>
          <w:b/>
          <w:color w:val="176B73"/>
          <w:sz w:val="28"/>
        </w:rPr>
        <w:t xml:space="preserve">1.2 </w:t>
      </w:r>
      <w:r>
        <w:rPr>
          <w:rFonts w:ascii="Times New Roman" w:hAnsi="Times New Roman" w:eastAsia="宋体"/>
          <w:b/>
          <w:color w:val="176B73"/>
          <w:sz w:val="28"/>
        </w:rPr>
        <w:t>国内外研究现状</w:t>
      </w:r>
    </w:p>
    <w:p>
      <w:pPr>
        <w:pStyle w:val="Heading3"/>
        <w:ind w:hanging="0"/>
        <w:rPr/>
      </w:pPr>
      <w:r>
        <w:rPr>
          <w:rFonts w:eastAsia="宋体" w:ascii="Times New Roman" w:hAnsi="Times New Roman"/>
          <w:b/>
          <w:color w:val="202833"/>
          <w:sz w:val="24"/>
        </w:rPr>
        <w:t xml:space="preserve">1.2.1 </w:t>
      </w:r>
      <w:r>
        <w:rPr>
          <w:rFonts w:ascii="Times New Roman" w:hAnsi="Times New Roman" w:eastAsia="宋体"/>
          <w:b/>
          <w:color w:val="202833"/>
          <w:sz w:val="24"/>
        </w:rPr>
        <w:t>国内发展现状</w:t>
      </w:r>
    </w:p>
    <w:p>
      <w:pPr>
        <w:pStyle w:val="Normal"/>
        <w:widowControl/>
        <w:rPr/>
      </w:pPr>
      <w:r>
        <w:rPr>
          <w:rFonts w:ascii="Times New Roman" w:hAnsi="Times New Roman"/>
          <w:b w:val="false"/>
          <w:color w:val="202833"/>
          <w:sz w:val="22"/>
        </w:rPr>
        <w:t>国内已形成从术语、模型通用要求、评测方法、服务成熟度到安全与生成内容标识的标准链。</w:t>
      </w:r>
      <w:r>
        <w:rPr>
          <w:rFonts w:eastAsia="宋体" w:ascii="Consolas" w:hAnsi="Consolas"/>
          <w:color w:val="176B73"/>
          <w:sz w:val="20"/>
        </w:rPr>
        <w:t>GB/T 41867-2022</w:t>
      </w:r>
      <w:r>
        <w:rPr>
          <w:rFonts w:ascii="Times New Roman" w:hAnsi="Times New Roman"/>
          <w:b w:val="false"/>
          <w:color w:val="202833"/>
          <w:sz w:val="22"/>
        </w:rPr>
        <w:t>统一人工智能基础术语；</w:t>
      </w:r>
      <w:r>
        <w:rPr>
          <w:rFonts w:eastAsia="宋体" w:ascii="Consolas" w:hAnsi="Consolas"/>
          <w:color w:val="176B73"/>
          <w:sz w:val="20"/>
        </w:rPr>
        <w:t>GB/T 45288.1-2025</w:t>
      </w:r>
      <w:r>
        <w:rPr>
          <w:rFonts w:ascii="Times New Roman" w:hAnsi="Times New Roman"/>
          <w:b w:val="false"/>
          <w:color w:val="202833"/>
          <w:sz w:val="22"/>
        </w:rPr>
        <w:t>至</w:t>
      </w:r>
      <w:r>
        <w:rPr>
          <w:rFonts w:eastAsia="宋体" w:ascii="Consolas" w:hAnsi="Consolas"/>
          <w:color w:val="176B73"/>
          <w:sz w:val="20"/>
        </w:rPr>
        <w:t>GB/T 45288.3-2025</w:t>
      </w:r>
      <w:r>
        <w:rPr>
          <w:rFonts w:ascii="Times New Roman" w:hAnsi="Times New Roman"/>
          <w:b w:val="false"/>
          <w:color w:val="202833"/>
          <w:sz w:val="22"/>
        </w:rPr>
        <w:t>分别规定大模型通用要求、评测指标与方法、服务能力成熟度评估，为模型选择、测试集设计和版本变更评估提供国家标准依据</w:t>
      </w:r>
      <w:r>
        <w:rPr>
          <w:rFonts w:eastAsia="宋体"/>
          <w:b w:val="false"/>
          <w:color w:val="202833"/>
          <w:sz w:val="22"/>
        </w:rPr>
        <w:t>[1-4]</w:t>
      </w:r>
      <w:r>
        <w:rPr>
          <w:rFonts w:ascii="Times New Roman" w:hAnsi="Times New Roman"/>
          <w:b w:val="false"/>
          <w:color w:val="202833"/>
          <w:sz w:val="22"/>
        </w:rPr>
        <w:t>。这组标准解决“评什么、怎样组织评测”的共性问题，但不直接给出多无人机试验日志、</w:t>
      </w:r>
      <w:r>
        <w:rPr>
          <w:rFonts w:eastAsia="宋体"/>
          <w:b w:val="false"/>
          <w:color w:val="202833"/>
          <w:sz w:val="22"/>
        </w:rPr>
        <w:t>D6</w:t>
      </w:r>
      <w:r>
        <w:rPr>
          <w:rFonts w:ascii="Times New Roman" w:hAnsi="Times New Roman"/>
          <w:b w:val="false"/>
          <w:color w:val="202833"/>
          <w:sz w:val="22"/>
        </w:rPr>
        <w:t>指标和生成报告之间的工程合同。</w:t>
      </w:r>
    </w:p>
    <w:p>
      <w:pPr>
        <w:pStyle w:val="Normal"/>
        <w:widowControl/>
        <w:rPr/>
      </w:pPr>
      <w:r>
        <w:rPr>
          <w:rFonts w:eastAsia="宋体" w:ascii="Consolas" w:hAnsi="Consolas"/>
          <w:color w:val="176B73"/>
          <w:sz w:val="20"/>
        </w:rPr>
        <w:t>GB/T 45654-2025</w:t>
      </w:r>
      <w:r>
        <w:rPr>
          <w:rFonts w:ascii="Times New Roman" w:hAnsi="Times New Roman"/>
          <w:b w:val="false"/>
          <w:color w:val="202833"/>
          <w:sz w:val="22"/>
        </w:rPr>
        <w:t>规定生成式人工智能服务的安全基本要求，</w:t>
      </w:r>
      <w:r>
        <w:rPr>
          <w:rFonts w:eastAsia="宋体" w:ascii="Consolas" w:hAnsi="Consolas"/>
          <w:color w:val="176B73"/>
          <w:sz w:val="20"/>
        </w:rPr>
        <w:t>GB 45438-2025</w:t>
      </w:r>
      <w:r>
        <w:rPr>
          <w:rFonts w:ascii="Times New Roman" w:hAnsi="Times New Roman"/>
          <w:b w:val="false"/>
          <w:color w:val="202833"/>
          <w:sz w:val="22"/>
        </w:rPr>
        <w:t>及《人工智能生成合成内容标识办法》规定生成合成内容标识方法与管理要求</w:t>
      </w:r>
      <w:r>
        <w:rPr>
          <w:rFonts w:eastAsia="宋体"/>
          <w:b w:val="false"/>
          <w:color w:val="202833"/>
          <w:sz w:val="22"/>
        </w:rPr>
        <w:t>[5][6][8]</w:t>
      </w:r>
      <w:r>
        <w:rPr>
          <w:rFonts w:ascii="Times New Roman" w:hAnsi="Times New Roman"/>
          <w:b w:val="false"/>
          <w:color w:val="202833"/>
          <w:sz w:val="22"/>
        </w:rPr>
        <w:t>。本项目不向公众提供生成式人工智能服务，但对外流转的辅助生成报告仍应标注生成参与、模型版本和人工复核责任，内部报告也按同一原则保留机器生成来源。</w:t>
      </w:r>
    </w:p>
    <w:p>
      <w:pPr>
        <w:pStyle w:val="Normal"/>
        <w:widowControl/>
        <w:rPr/>
      </w:pPr>
      <w:r>
        <w:rPr>
          <w:rFonts w:ascii="Times New Roman" w:hAnsi="Times New Roman"/>
          <w:b w:val="false"/>
          <w:color w:val="202833"/>
          <w:sz w:val="22"/>
        </w:rPr>
        <w:t>《生成式人工智能服务管理暂行办法》明确其适用对象是向境内公众提供生成式人工智能服务，并明确未向境内公众提供服务的研发、应用活动不适用该办法</w:t>
      </w:r>
      <w:r>
        <w:rPr>
          <w:rFonts w:eastAsia="宋体"/>
          <w:b w:val="false"/>
          <w:color w:val="202833"/>
          <w:sz w:val="22"/>
        </w:rPr>
        <w:t>[7]</w:t>
      </w:r>
      <w:r>
        <w:rPr>
          <w:rFonts w:ascii="Times New Roman" w:hAnsi="Times New Roman"/>
          <w:b w:val="false"/>
          <w:color w:val="202833"/>
          <w:sz w:val="22"/>
        </w:rPr>
        <w:t>。因此不能把该办法直接写成本项目内部离线系统的合规结论；其中关于数据质量、标注规则和安全治理的要求可作为设计参考。全国网络安全标准化技术委员会发布的《人工智能安全治理框架》</w:t>
      </w:r>
      <w:r>
        <w:rPr>
          <w:rFonts w:eastAsia="宋体"/>
          <w:b w:val="false"/>
          <w:color w:val="202833"/>
          <w:sz w:val="22"/>
        </w:rPr>
        <w:t>2.0</w:t>
      </w:r>
      <w:r>
        <w:rPr>
          <w:rFonts w:ascii="Times New Roman" w:hAnsi="Times New Roman"/>
          <w:b w:val="false"/>
          <w:color w:val="202833"/>
          <w:sz w:val="22"/>
        </w:rPr>
        <w:t>版进一步采用全生命周期风险识别与治理思路，可用于组织模型引入、验证、部署、监测、升级和退出活动</w:t>
      </w:r>
      <w:r>
        <w:rPr>
          <w:rFonts w:eastAsia="宋体"/>
          <w:b w:val="false"/>
          <w:color w:val="202833"/>
          <w:sz w:val="22"/>
        </w:rPr>
        <w:t>[9]</w:t>
      </w:r>
      <w:r>
        <w:rPr>
          <w:rFonts w:ascii="Times New Roman" w:hAnsi="Times New Roman"/>
          <w:b w:val="false"/>
          <w:color w:val="202833"/>
          <w:sz w:val="22"/>
        </w:rPr>
        <w:t>。</w:t>
      </w:r>
    </w:p>
    <w:tbl>
      <w:tblPr>
        <w:tblStyle w:val="TableGrid"/>
        <w:tblW w:w="9410" w:type="dxa"/>
        <w:jc w:val="center"/>
        <w:tblInd w:w="0" w:type="dxa"/>
        <w:tblLayout w:type="fixed"/>
        <w:tblCellMar>
          <w:top w:w="55" w:type="dxa"/>
          <w:left w:w="65" w:type="dxa"/>
          <w:bottom w:w="55" w:type="dxa"/>
          <w:right w:w="65" w:type="dxa"/>
        </w:tblCellMar>
        <w:tblLook w:val="04a0" w:noHBand="0" w:noVBand="1" w:firstColumn="1" w:lastRow="0" w:lastColumn="0" w:firstRow="1"/>
      </w:tblPr>
      <w:tblGrid>
        <w:gridCol w:w="1882"/>
        <w:gridCol w:w="1882"/>
        <w:gridCol w:w="1882"/>
        <w:gridCol w:w="1882"/>
        <w:gridCol w:w="1882"/>
      </w:tblGrid>
      <w:tr>
        <w:trPr>
          <w:tblHeader w:val="true"/>
          <w:cantSplit w:val="true"/>
        </w:trPr>
        <w:tc>
          <w:tcPr>
            <w:tcW w:w="1882" w:type="dxa"/>
            <w:tcBorders/>
            <w:shd w:fill="1F4E78"/>
            <w:vAlign w:val="center"/>
          </w:tcPr>
          <w:p>
            <w:pPr>
              <w:pStyle w:val="Normal"/>
              <w:widowControl/>
              <w:spacing w:lineRule="auto" w:line="259" w:before="0" w:after="0"/>
              <w:ind w:hanging="0"/>
              <w:jc w:val="center"/>
              <w:rPr>
                <w:rFonts w:cs=""/>
                <w:kern w:val="0"/>
                <w:szCs w:val="22"/>
                <w:lang w:val="en-US" w:eastAsia="en-US" w:bidi="ar-SA"/>
              </w:rPr>
            </w:pPr>
            <w:r>
              <w:rPr>
                <w:rFonts w:ascii="Times New Roman" w:hAnsi="Times New Roman" w:cs=""/>
                <w:b/>
                <w:color w:val="FFFFFF"/>
                <w:kern w:val="0"/>
                <w:sz w:val="16"/>
                <w:szCs w:val="22"/>
                <w:lang w:val="en-US" w:eastAsia="en-US" w:bidi="ar-SA"/>
              </w:rPr>
              <w:t>机构或文件</w:t>
            </w:r>
          </w:p>
        </w:tc>
        <w:tc>
          <w:tcPr>
            <w:tcW w:w="1882" w:type="dxa"/>
            <w:tcBorders/>
            <w:shd w:fill="1F4E78"/>
            <w:vAlign w:val="center"/>
          </w:tcPr>
          <w:p>
            <w:pPr>
              <w:pStyle w:val="Normal"/>
              <w:widowControl/>
              <w:spacing w:lineRule="auto" w:line="259" w:before="0" w:after="0"/>
              <w:ind w:hanging="0"/>
              <w:jc w:val="center"/>
              <w:rPr>
                <w:rFonts w:cs=""/>
                <w:kern w:val="0"/>
                <w:szCs w:val="22"/>
                <w:lang w:val="en-US" w:eastAsia="en-US" w:bidi="ar-SA"/>
              </w:rPr>
            </w:pPr>
            <w:r>
              <w:rPr>
                <w:rFonts w:ascii="Times New Roman" w:hAnsi="Times New Roman" w:cs=""/>
                <w:b/>
                <w:color w:val="FFFFFF"/>
                <w:kern w:val="0"/>
                <w:sz w:val="16"/>
                <w:szCs w:val="22"/>
                <w:lang w:val="en-US" w:eastAsia="en-US" w:bidi="ar-SA"/>
              </w:rPr>
              <w:t>技术路线或规范重点</w:t>
            </w:r>
          </w:p>
        </w:tc>
        <w:tc>
          <w:tcPr>
            <w:tcW w:w="1882" w:type="dxa"/>
            <w:tcBorders/>
            <w:shd w:fill="1F4E78"/>
            <w:vAlign w:val="center"/>
          </w:tcPr>
          <w:p>
            <w:pPr>
              <w:pStyle w:val="Normal"/>
              <w:widowControl/>
              <w:spacing w:lineRule="auto" w:line="259" w:before="0" w:after="0"/>
              <w:ind w:hanging="0"/>
              <w:jc w:val="center"/>
              <w:rPr>
                <w:rFonts w:cs=""/>
                <w:kern w:val="0"/>
                <w:szCs w:val="22"/>
                <w:lang w:val="en-US" w:eastAsia="en-US" w:bidi="ar-SA"/>
              </w:rPr>
            </w:pPr>
            <w:r>
              <w:rPr>
                <w:rFonts w:ascii="Times New Roman" w:hAnsi="Times New Roman" w:cs=""/>
                <w:b/>
                <w:color w:val="FFFFFF"/>
                <w:kern w:val="0"/>
                <w:sz w:val="16"/>
                <w:szCs w:val="22"/>
                <w:lang w:val="en-US" w:eastAsia="en-US" w:bidi="ar-SA"/>
              </w:rPr>
              <w:t>公开状态</w:t>
            </w:r>
          </w:p>
        </w:tc>
        <w:tc>
          <w:tcPr>
            <w:tcW w:w="1882" w:type="dxa"/>
            <w:tcBorders/>
            <w:shd w:fill="1F4E78"/>
            <w:vAlign w:val="center"/>
          </w:tcPr>
          <w:p>
            <w:pPr>
              <w:pStyle w:val="Normal"/>
              <w:widowControl/>
              <w:spacing w:lineRule="auto" w:line="259" w:before="0" w:after="0"/>
              <w:ind w:hanging="0"/>
              <w:jc w:val="center"/>
              <w:rPr>
                <w:rFonts w:cs=""/>
                <w:kern w:val="0"/>
                <w:szCs w:val="22"/>
                <w:lang w:val="en-US" w:eastAsia="en-US" w:bidi="ar-SA"/>
              </w:rPr>
            </w:pPr>
            <w:r>
              <w:rPr>
                <w:rFonts w:ascii="Times New Roman" w:hAnsi="Times New Roman" w:cs=""/>
                <w:b/>
                <w:color w:val="FFFFFF"/>
                <w:kern w:val="0"/>
                <w:sz w:val="16"/>
                <w:szCs w:val="22"/>
                <w:lang w:val="en-US" w:eastAsia="en-US" w:bidi="ar-SA"/>
              </w:rPr>
              <w:t>证据等级</w:t>
            </w:r>
          </w:p>
        </w:tc>
        <w:tc>
          <w:tcPr>
            <w:tcW w:w="1882" w:type="dxa"/>
            <w:tcBorders/>
            <w:shd w:fill="1F4E78"/>
            <w:vAlign w:val="center"/>
          </w:tcPr>
          <w:p>
            <w:pPr>
              <w:pStyle w:val="Normal"/>
              <w:widowControl/>
              <w:spacing w:lineRule="auto" w:line="259" w:before="0" w:after="0"/>
              <w:ind w:hanging="0"/>
              <w:jc w:val="center"/>
              <w:rPr>
                <w:rFonts w:cs=""/>
                <w:kern w:val="0"/>
                <w:szCs w:val="22"/>
                <w:lang w:val="en-US" w:eastAsia="en-US" w:bidi="ar-SA"/>
              </w:rPr>
            </w:pPr>
            <w:r>
              <w:rPr>
                <w:rFonts w:ascii="Times New Roman" w:hAnsi="Times New Roman" w:cs=""/>
                <w:b/>
                <w:color w:val="FFFFFF"/>
                <w:kern w:val="0"/>
                <w:sz w:val="16"/>
                <w:szCs w:val="22"/>
                <w:lang w:val="en-US" w:eastAsia="en-US" w:bidi="ar-SA"/>
              </w:rPr>
              <w:t>对本项目的启示</w:t>
            </w:r>
          </w:p>
        </w:tc>
      </w:tr>
      <w:tr>
        <w:trPr>
          <w:cantSplit w:val="true"/>
        </w:trPr>
        <w:tc>
          <w:tcPr>
            <w:tcW w:w="1882" w:type="dxa"/>
            <w:tcBorders/>
            <w:vAlign w:val="center"/>
          </w:tcPr>
          <w:p>
            <w:pPr>
              <w:pStyle w:val="Normal"/>
              <w:widowControl/>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6"/>
                <w:szCs w:val="22"/>
                <w:lang w:val="en-US" w:eastAsia="en-US" w:bidi="ar-SA"/>
              </w:rPr>
              <w:t>国家标准化管理部门，</w:t>
            </w:r>
            <w:r>
              <w:rPr>
                <w:rFonts w:eastAsia="宋体" w:cs=""/>
                <w:b w:val="false"/>
                <w:color w:val="202833"/>
                <w:kern w:val="0"/>
                <w:sz w:val="16"/>
                <w:szCs w:val="22"/>
                <w:lang w:val="en-US" w:eastAsia="en-US" w:bidi="ar-SA"/>
              </w:rPr>
              <w:t>GB/T 45288</w:t>
            </w:r>
            <w:r>
              <w:rPr>
                <w:rFonts w:ascii="Times New Roman" w:hAnsi="Times New Roman" w:cs=""/>
                <w:b w:val="false"/>
                <w:color w:val="202833"/>
                <w:kern w:val="0"/>
                <w:sz w:val="16"/>
                <w:szCs w:val="22"/>
                <w:lang w:val="en-US" w:eastAsia="en-US" w:bidi="ar-SA"/>
              </w:rPr>
              <w:t>系列</w:t>
            </w:r>
          </w:p>
        </w:tc>
        <w:tc>
          <w:tcPr>
            <w:tcW w:w="1882" w:type="dxa"/>
            <w:tcBorders/>
            <w:vAlign w:val="center"/>
          </w:tcPr>
          <w:p>
            <w:pPr>
              <w:pStyle w:val="Normal"/>
              <w:widowControl/>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6"/>
                <w:szCs w:val="22"/>
                <w:lang w:val="en-US" w:eastAsia="en-US" w:bidi="ar-SA"/>
              </w:rPr>
              <w:t>大模型通用要求、评测指标与方法、服务成熟度</w:t>
            </w:r>
          </w:p>
        </w:tc>
        <w:tc>
          <w:tcPr>
            <w:tcW w:w="1882" w:type="dxa"/>
            <w:tcBorders/>
            <w:vAlign w:val="center"/>
          </w:tcPr>
          <w:p>
            <w:pPr>
              <w:pStyle w:val="Normal"/>
              <w:widowControl/>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6"/>
                <w:szCs w:val="22"/>
                <w:lang w:val="en-US" w:eastAsia="en-US" w:bidi="ar-SA"/>
              </w:rPr>
              <w:t>现行国家标准</w:t>
            </w:r>
          </w:p>
        </w:tc>
        <w:tc>
          <w:tcPr>
            <w:tcW w:w="1882" w:type="dxa"/>
            <w:tcBorders/>
            <w:vAlign w:val="center"/>
          </w:tcPr>
          <w:p>
            <w:pPr>
              <w:pStyle w:val="Normal"/>
              <w:widowControl/>
              <w:spacing w:lineRule="auto" w:line="259" w:before="0" w:after="0"/>
              <w:ind w:hanging="0"/>
              <w:jc w:val="left"/>
              <w:rPr>
                <w:rFonts w:cs=""/>
                <w:kern w:val="0"/>
                <w:szCs w:val="22"/>
                <w:lang w:val="en-US" w:eastAsia="en-US" w:bidi="ar-SA"/>
              </w:rPr>
            </w:pPr>
            <w:r>
              <w:rPr>
                <w:rFonts w:eastAsia="宋体" w:cs=""/>
                <w:b w:val="false"/>
                <w:color w:val="202833"/>
                <w:kern w:val="0"/>
                <w:sz w:val="16"/>
                <w:szCs w:val="22"/>
                <w:lang w:val="en-US" w:eastAsia="en-US" w:bidi="ar-SA"/>
              </w:rPr>
              <w:t>A</w:t>
            </w:r>
            <w:r>
              <w:rPr>
                <w:rFonts w:ascii="Times New Roman" w:hAnsi="Times New Roman" w:cs=""/>
                <w:b w:val="false"/>
                <w:color w:val="202833"/>
                <w:kern w:val="0"/>
                <w:sz w:val="16"/>
                <w:szCs w:val="22"/>
                <w:lang w:val="en-US" w:eastAsia="en-US" w:bidi="ar-SA"/>
              </w:rPr>
              <w:t>：官方标准</w:t>
            </w:r>
          </w:p>
        </w:tc>
        <w:tc>
          <w:tcPr>
            <w:tcW w:w="1882" w:type="dxa"/>
            <w:tcBorders/>
            <w:vAlign w:val="center"/>
          </w:tcPr>
          <w:p>
            <w:pPr>
              <w:pStyle w:val="Normal"/>
              <w:widowControl/>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6"/>
                <w:szCs w:val="22"/>
                <w:lang w:val="en-US" w:eastAsia="en-US" w:bidi="ar-SA"/>
              </w:rPr>
              <w:t>建立模型卡、固定测试集、版本回归和服务成熟度检查</w:t>
            </w:r>
          </w:p>
        </w:tc>
      </w:tr>
      <w:tr>
        <w:trPr>
          <w:cantSplit w:val="true"/>
        </w:trPr>
        <w:tc>
          <w:tcPr>
            <w:tcW w:w="1882" w:type="dxa"/>
            <w:tcBorders/>
            <w:shd w:fill="F5F7FA"/>
            <w:vAlign w:val="center"/>
          </w:tcPr>
          <w:p>
            <w:pPr>
              <w:pStyle w:val="Normal"/>
              <w:widowControl/>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6"/>
                <w:szCs w:val="22"/>
                <w:lang w:val="en-US" w:eastAsia="en-US" w:bidi="ar-SA"/>
              </w:rPr>
              <w:t>国家标准化管理部门，</w:t>
            </w:r>
            <w:r>
              <w:rPr>
                <w:rFonts w:eastAsia="宋体" w:cs=""/>
                <w:b w:val="false"/>
                <w:color w:val="202833"/>
                <w:kern w:val="0"/>
                <w:sz w:val="16"/>
                <w:szCs w:val="22"/>
                <w:lang w:val="en-US" w:eastAsia="en-US" w:bidi="ar-SA"/>
              </w:rPr>
              <w:t>GB/T 45654-2025</w:t>
            </w:r>
          </w:p>
        </w:tc>
        <w:tc>
          <w:tcPr>
            <w:tcW w:w="1882" w:type="dxa"/>
            <w:tcBorders/>
            <w:shd w:fill="F5F7FA"/>
            <w:vAlign w:val="center"/>
          </w:tcPr>
          <w:p>
            <w:pPr>
              <w:pStyle w:val="Normal"/>
              <w:widowControl/>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6"/>
                <w:szCs w:val="22"/>
                <w:lang w:val="en-US" w:eastAsia="en-US" w:bidi="ar-SA"/>
              </w:rPr>
              <w:t>生成式人工智能服务安全基本要求</w:t>
            </w:r>
          </w:p>
        </w:tc>
        <w:tc>
          <w:tcPr>
            <w:tcW w:w="1882" w:type="dxa"/>
            <w:tcBorders/>
            <w:shd w:fill="F5F7FA"/>
            <w:vAlign w:val="center"/>
          </w:tcPr>
          <w:p>
            <w:pPr>
              <w:pStyle w:val="Normal"/>
              <w:widowControl/>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6"/>
                <w:szCs w:val="22"/>
                <w:lang w:val="en-US" w:eastAsia="en-US" w:bidi="ar-SA"/>
              </w:rPr>
              <w:t>现行国家标准</w:t>
            </w:r>
          </w:p>
        </w:tc>
        <w:tc>
          <w:tcPr>
            <w:tcW w:w="1882" w:type="dxa"/>
            <w:tcBorders/>
            <w:shd w:fill="F5F7FA"/>
            <w:vAlign w:val="center"/>
          </w:tcPr>
          <w:p>
            <w:pPr>
              <w:pStyle w:val="Normal"/>
              <w:widowControl/>
              <w:spacing w:lineRule="auto" w:line="259" w:before="0" w:after="0"/>
              <w:ind w:hanging="0"/>
              <w:jc w:val="left"/>
              <w:rPr>
                <w:rFonts w:cs=""/>
                <w:kern w:val="0"/>
                <w:szCs w:val="22"/>
                <w:lang w:val="en-US" w:eastAsia="en-US" w:bidi="ar-SA"/>
              </w:rPr>
            </w:pPr>
            <w:r>
              <w:rPr>
                <w:rFonts w:eastAsia="宋体" w:cs=""/>
                <w:b w:val="false"/>
                <w:color w:val="202833"/>
                <w:kern w:val="0"/>
                <w:sz w:val="16"/>
                <w:szCs w:val="22"/>
                <w:lang w:val="en-US" w:eastAsia="en-US" w:bidi="ar-SA"/>
              </w:rPr>
              <w:t>A</w:t>
            </w:r>
            <w:r>
              <w:rPr>
                <w:rFonts w:ascii="Times New Roman" w:hAnsi="Times New Roman" w:cs=""/>
                <w:b w:val="false"/>
                <w:color w:val="202833"/>
                <w:kern w:val="0"/>
                <w:sz w:val="16"/>
                <w:szCs w:val="22"/>
                <w:lang w:val="en-US" w:eastAsia="en-US" w:bidi="ar-SA"/>
              </w:rPr>
              <w:t>：官方标准</w:t>
            </w:r>
          </w:p>
        </w:tc>
        <w:tc>
          <w:tcPr>
            <w:tcW w:w="1882" w:type="dxa"/>
            <w:tcBorders/>
            <w:shd w:fill="F5F7FA"/>
            <w:vAlign w:val="center"/>
          </w:tcPr>
          <w:p>
            <w:pPr>
              <w:pStyle w:val="Normal"/>
              <w:widowControl/>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6"/>
                <w:szCs w:val="22"/>
                <w:lang w:val="en-US" w:eastAsia="en-US" w:bidi="ar-SA"/>
              </w:rPr>
              <w:t>将输入输出安全、数据来源、模型风险和人工复核转化为本地验收项</w:t>
            </w:r>
          </w:p>
        </w:tc>
      </w:tr>
      <w:tr>
        <w:trPr>
          <w:cantSplit w:val="true"/>
        </w:trPr>
        <w:tc>
          <w:tcPr>
            <w:tcW w:w="1882" w:type="dxa"/>
            <w:tcBorders/>
            <w:vAlign w:val="center"/>
          </w:tcPr>
          <w:p>
            <w:pPr>
              <w:pStyle w:val="Normal"/>
              <w:widowControl/>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6"/>
                <w:szCs w:val="22"/>
                <w:lang w:val="en-US" w:eastAsia="en-US" w:bidi="ar-SA"/>
              </w:rPr>
              <w:t>国家标准化管理部门，</w:t>
            </w:r>
            <w:r>
              <w:rPr>
                <w:rFonts w:eastAsia="宋体" w:cs=""/>
                <w:b w:val="false"/>
                <w:color w:val="202833"/>
                <w:kern w:val="0"/>
                <w:sz w:val="16"/>
                <w:szCs w:val="22"/>
                <w:lang w:val="en-US" w:eastAsia="en-US" w:bidi="ar-SA"/>
              </w:rPr>
              <w:t>GB 45438-2025</w:t>
            </w:r>
          </w:p>
        </w:tc>
        <w:tc>
          <w:tcPr>
            <w:tcW w:w="1882" w:type="dxa"/>
            <w:tcBorders/>
            <w:vAlign w:val="center"/>
          </w:tcPr>
          <w:p>
            <w:pPr>
              <w:pStyle w:val="Normal"/>
              <w:widowControl/>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6"/>
                <w:szCs w:val="22"/>
                <w:lang w:val="en-US" w:eastAsia="en-US" w:bidi="ar-SA"/>
              </w:rPr>
              <w:t>生成合成内容显式与隐式标识</w:t>
            </w:r>
          </w:p>
        </w:tc>
        <w:tc>
          <w:tcPr>
            <w:tcW w:w="1882" w:type="dxa"/>
            <w:tcBorders/>
            <w:vAlign w:val="center"/>
          </w:tcPr>
          <w:p>
            <w:pPr>
              <w:pStyle w:val="Normal"/>
              <w:widowControl/>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6"/>
                <w:szCs w:val="22"/>
                <w:lang w:val="en-US" w:eastAsia="en-US" w:bidi="ar-SA"/>
              </w:rPr>
              <w:t>现行强制性国家标准</w:t>
            </w:r>
          </w:p>
        </w:tc>
        <w:tc>
          <w:tcPr>
            <w:tcW w:w="1882" w:type="dxa"/>
            <w:tcBorders/>
            <w:vAlign w:val="center"/>
          </w:tcPr>
          <w:p>
            <w:pPr>
              <w:pStyle w:val="Normal"/>
              <w:widowControl/>
              <w:spacing w:lineRule="auto" w:line="259" w:before="0" w:after="0"/>
              <w:ind w:hanging="0"/>
              <w:jc w:val="left"/>
              <w:rPr>
                <w:rFonts w:cs=""/>
                <w:kern w:val="0"/>
                <w:szCs w:val="22"/>
                <w:lang w:val="en-US" w:eastAsia="en-US" w:bidi="ar-SA"/>
              </w:rPr>
            </w:pPr>
            <w:r>
              <w:rPr>
                <w:rFonts w:eastAsia="宋体" w:cs=""/>
                <w:b w:val="false"/>
                <w:color w:val="202833"/>
                <w:kern w:val="0"/>
                <w:sz w:val="16"/>
                <w:szCs w:val="22"/>
                <w:lang w:val="en-US" w:eastAsia="en-US" w:bidi="ar-SA"/>
              </w:rPr>
              <w:t>A</w:t>
            </w:r>
            <w:r>
              <w:rPr>
                <w:rFonts w:ascii="Times New Roman" w:hAnsi="Times New Roman" w:cs=""/>
                <w:b w:val="false"/>
                <w:color w:val="202833"/>
                <w:kern w:val="0"/>
                <w:sz w:val="16"/>
                <w:szCs w:val="22"/>
                <w:lang w:val="en-US" w:eastAsia="en-US" w:bidi="ar-SA"/>
              </w:rPr>
              <w:t>：官方标准</w:t>
            </w:r>
          </w:p>
        </w:tc>
        <w:tc>
          <w:tcPr>
            <w:tcW w:w="1882" w:type="dxa"/>
            <w:tcBorders/>
            <w:vAlign w:val="center"/>
          </w:tcPr>
          <w:p>
            <w:pPr>
              <w:pStyle w:val="Normal"/>
              <w:widowControl/>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6"/>
                <w:szCs w:val="22"/>
                <w:lang w:val="en-US" w:eastAsia="en-US" w:bidi="ar-SA"/>
              </w:rPr>
              <w:t>报告保存“</w:t>
            </w:r>
            <w:r>
              <w:rPr>
                <w:rFonts w:eastAsia="宋体" w:cs=""/>
                <w:b w:val="false"/>
                <w:color w:val="202833"/>
                <w:kern w:val="0"/>
                <w:sz w:val="16"/>
                <w:szCs w:val="22"/>
                <w:lang w:val="en-US" w:eastAsia="en-US" w:bidi="ar-SA"/>
              </w:rPr>
              <w:t>AI</w:t>
            </w:r>
            <w:r>
              <w:rPr>
                <w:rFonts w:ascii="Times New Roman" w:hAnsi="Times New Roman" w:cs=""/>
                <w:b w:val="false"/>
                <w:color w:val="202833"/>
                <w:kern w:val="0"/>
                <w:sz w:val="16"/>
                <w:szCs w:val="22"/>
                <w:lang w:val="en-US" w:eastAsia="en-US" w:bidi="ar-SA"/>
              </w:rPr>
              <w:t>辅助生成”标识、模型清单和责任人，不把生成文本伪装成人工原文</w:t>
            </w:r>
          </w:p>
        </w:tc>
      </w:tr>
      <w:tr>
        <w:trPr>
          <w:cantSplit w:val="true"/>
        </w:trPr>
        <w:tc>
          <w:tcPr>
            <w:tcW w:w="1882" w:type="dxa"/>
            <w:tcBorders/>
            <w:shd w:fill="F5F7FA"/>
            <w:vAlign w:val="center"/>
          </w:tcPr>
          <w:p>
            <w:pPr>
              <w:pStyle w:val="Normal"/>
              <w:widowControl/>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6"/>
                <w:szCs w:val="22"/>
                <w:lang w:val="en-US" w:eastAsia="en-US" w:bidi="ar-SA"/>
              </w:rPr>
              <w:t>国家互联网信息办公室等部门</w:t>
            </w:r>
          </w:p>
        </w:tc>
        <w:tc>
          <w:tcPr>
            <w:tcW w:w="1882" w:type="dxa"/>
            <w:tcBorders/>
            <w:shd w:fill="F5F7FA"/>
            <w:vAlign w:val="center"/>
          </w:tcPr>
          <w:p>
            <w:pPr>
              <w:pStyle w:val="Normal"/>
              <w:widowControl/>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6"/>
                <w:szCs w:val="22"/>
                <w:lang w:val="en-US" w:eastAsia="en-US" w:bidi="ar-SA"/>
              </w:rPr>
              <w:t>服务管理与生成内容标识</w:t>
            </w:r>
          </w:p>
        </w:tc>
        <w:tc>
          <w:tcPr>
            <w:tcW w:w="1882" w:type="dxa"/>
            <w:tcBorders/>
            <w:shd w:fill="F5F7FA"/>
            <w:vAlign w:val="center"/>
          </w:tcPr>
          <w:p>
            <w:pPr>
              <w:pStyle w:val="Normal"/>
              <w:widowControl/>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6"/>
                <w:szCs w:val="22"/>
                <w:lang w:val="en-US" w:eastAsia="en-US" w:bidi="ar-SA"/>
              </w:rPr>
              <w:t>已发布管理文件</w:t>
            </w:r>
          </w:p>
        </w:tc>
        <w:tc>
          <w:tcPr>
            <w:tcW w:w="1882" w:type="dxa"/>
            <w:tcBorders/>
            <w:shd w:fill="F5F7FA"/>
            <w:vAlign w:val="center"/>
          </w:tcPr>
          <w:p>
            <w:pPr>
              <w:pStyle w:val="Normal"/>
              <w:widowControl/>
              <w:spacing w:lineRule="auto" w:line="259" w:before="0" w:after="0"/>
              <w:ind w:hanging="0"/>
              <w:jc w:val="left"/>
              <w:rPr>
                <w:rFonts w:cs=""/>
                <w:kern w:val="0"/>
                <w:szCs w:val="22"/>
                <w:lang w:val="en-US" w:eastAsia="en-US" w:bidi="ar-SA"/>
              </w:rPr>
            </w:pPr>
            <w:r>
              <w:rPr>
                <w:rFonts w:eastAsia="宋体" w:cs=""/>
                <w:b w:val="false"/>
                <w:color w:val="202833"/>
                <w:kern w:val="0"/>
                <w:sz w:val="16"/>
                <w:szCs w:val="22"/>
                <w:lang w:val="en-US" w:eastAsia="en-US" w:bidi="ar-SA"/>
              </w:rPr>
              <w:t>A</w:t>
            </w:r>
            <w:r>
              <w:rPr>
                <w:rFonts w:ascii="Times New Roman" w:hAnsi="Times New Roman" w:cs=""/>
                <w:b w:val="false"/>
                <w:color w:val="202833"/>
                <w:kern w:val="0"/>
                <w:sz w:val="16"/>
                <w:szCs w:val="22"/>
                <w:lang w:val="en-US" w:eastAsia="en-US" w:bidi="ar-SA"/>
              </w:rPr>
              <w:t>：官方政策</w:t>
            </w:r>
          </w:p>
        </w:tc>
        <w:tc>
          <w:tcPr>
            <w:tcW w:w="1882" w:type="dxa"/>
            <w:tcBorders/>
            <w:shd w:fill="F5F7FA"/>
            <w:vAlign w:val="center"/>
          </w:tcPr>
          <w:p>
            <w:pPr>
              <w:pStyle w:val="Normal"/>
              <w:widowControl/>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6"/>
                <w:szCs w:val="22"/>
                <w:lang w:val="en-US" w:eastAsia="en-US" w:bidi="ar-SA"/>
              </w:rPr>
              <w:t>区分内部离线应用与公众服务；外发报告按适用规则复核</w:t>
            </w:r>
          </w:p>
        </w:tc>
      </w:tr>
      <w:tr>
        <w:trPr>
          <w:cantSplit w:val="true"/>
        </w:trPr>
        <w:tc>
          <w:tcPr>
            <w:tcW w:w="1882" w:type="dxa"/>
            <w:tcBorders/>
            <w:vAlign w:val="center"/>
          </w:tcPr>
          <w:p>
            <w:pPr>
              <w:pStyle w:val="Normal"/>
              <w:widowControl/>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6"/>
                <w:szCs w:val="22"/>
                <w:lang w:val="en-US" w:eastAsia="en-US" w:bidi="ar-SA"/>
              </w:rPr>
              <w:t>全国网络安全标准化技术委员会</w:t>
            </w:r>
          </w:p>
        </w:tc>
        <w:tc>
          <w:tcPr>
            <w:tcW w:w="1882" w:type="dxa"/>
            <w:tcBorders/>
            <w:vAlign w:val="center"/>
          </w:tcPr>
          <w:p>
            <w:pPr>
              <w:pStyle w:val="Normal"/>
              <w:widowControl/>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6"/>
                <w:szCs w:val="22"/>
                <w:lang w:val="en-US" w:eastAsia="en-US" w:bidi="ar-SA"/>
              </w:rPr>
              <w:t>人工智能安全治理框架</w:t>
            </w:r>
            <w:r>
              <w:rPr>
                <w:rFonts w:eastAsia="宋体" w:cs=""/>
                <w:b w:val="false"/>
                <w:color w:val="202833"/>
                <w:kern w:val="0"/>
                <w:sz w:val="16"/>
                <w:szCs w:val="22"/>
                <w:lang w:val="en-US" w:eastAsia="en-US" w:bidi="ar-SA"/>
              </w:rPr>
              <w:t>2.0</w:t>
            </w:r>
          </w:p>
        </w:tc>
        <w:tc>
          <w:tcPr>
            <w:tcW w:w="1882" w:type="dxa"/>
            <w:tcBorders/>
            <w:vAlign w:val="center"/>
          </w:tcPr>
          <w:p>
            <w:pPr>
              <w:pStyle w:val="Normal"/>
              <w:widowControl/>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6"/>
                <w:szCs w:val="22"/>
                <w:lang w:val="en-US" w:eastAsia="en-US" w:bidi="ar-SA"/>
              </w:rPr>
              <w:t>官方框架</w:t>
            </w:r>
          </w:p>
        </w:tc>
        <w:tc>
          <w:tcPr>
            <w:tcW w:w="1882" w:type="dxa"/>
            <w:tcBorders/>
            <w:vAlign w:val="center"/>
          </w:tcPr>
          <w:p>
            <w:pPr>
              <w:pStyle w:val="Normal"/>
              <w:widowControl/>
              <w:spacing w:lineRule="auto" w:line="259" w:before="0" w:after="0"/>
              <w:ind w:hanging="0"/>
              <w:jc w:val="left"/>
              <w:rPr>
                <w:rFonts w:cs=""/>
                <w:kern w:val="0"/>
                <w:szCs w:val="22"/>
                <w:lang w:val="en-US" w:eastAsia="en-US" w:bidi="ar-SA"/>
              </w:rPr>
            </w:pPr>
            <w:r>
              <w:rPr>
                <w:rFonts w:eastAsia="宋体" w:cs=""/>
                <w:b w:val="false"/>
                <w:color w:val="202833"/>
                <w:kern w:val="0"/>
                <w:sz w:val="16"/>
                <w:szCs w:val="22"/>
                <w:lang w:val="en-US" w:eastAsia="en-US" w:bidi="ar-SA"/>
              </w:rPr>
              <w:t>B</w:t>
            </w:r>
            <w:r>
              <w:rPr>
                <w:rFonts w:ascii="Times New Roman" w:hAnsi="Times New Roman" w:cs=""/>
                <w:b w:val="false"/>
                <w:color w:val="202833"/>
                <w:kern w:val="0"/>
                <w:sz w:val="16"/>
                <w:szCs w:val="22"/>
                <w:lang w:val="en-US" w:eastAsia="en-US" w:bidi="ar-SA"/>
              </w:rPr>
              <w:t>：官方治理框架</w:t>
            </w:r>
          </w:p>
        </w:tc>
        <w:tc>
          <w:tcPr>
            <w:tcW w:w="1882" w:type="dxa"/>
            <w:tcBorders/>
            <w:vAlign w:val="center"/>
          </w:tcPr>
          <w:p>
            <w:pPr>
              <w:pStyle w:val="Normal"/>
              <w:widowControl/>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6"/>
                <w:szCs w:val="22"/>
                <w:lang w:val="en-US" w:eastAsia="en-US" w:bidi="ar-SA"/>
              </w:rPr>
              <w:t>建立风险台账、版本审批、运行监测、停用和退出机制</w:t>
            </w:r>
          </w:p>
        </w:tc>
      </w:tr>
    </w:tbl>
    <w:p>
      <w:pPr>
        <w:pStyle w:val="Normal"/>
        <w:spacing w:before="0" w:after="20"/>
        <w:rPr/>
      </w:pPr>
      <w:r>
        <w:rPr/>
      </w:r>
    </w:p>
    <w:p>
      <w:pPr>
        <w:pStyle w:val="Normal"/>
        <w:widowControl/>
        <w:rPr/>
      </w:pPr>
      <w:r>
        <w:rPr>
          <w:rFonts w:ascii="Times New Roman" w:hAnsi="Times New Roman"/>
          <w:b w:val="false"/>
          <w:color w:val="202833"/>
          <w:sz w:val="22"/>
        </w:rPr>
        <w:t>国内工作的主要缺口不在通用标准数量，而在领域证据工程。公开标准没有替本项目定义事件编号、指标分母、</w:t>
      </w:r>
      <w:r>
        <w:rPr>
          <w:rFonts w:eastAsia="宋体" w:ascii="Consolas" w:hAnsi="Consolas"/>
          <w:color w:val="176B73"/>
          <w:sz w:val="20"/>
        </w:rPr>
        <w:t>available/unavailable</w:t>
      </w:r>
      <w:r>
        <w:rPr>
          <w:rFonts w:ascii="Times New Roman" w:hAnsi="Times New Roman"/>
          <w:b w:val="false"/>
          <w:color w:val="202833"/>
          <w:sz w:val="22"/>
        </w:rPr>
        <w:t>状态、日志时间范围、证据行号、失败词表和报告发布门。若这些合同不先冻结，大模型即使语言流畅，也无法形成可复核的工程结论。</w:t>
      </w:r>
    </w:p>
    <w:p>
      <w:pPr>
        <w:pStyle w:val="Heading3"/>
        <w:ind w:hanging="0"/>
        <w:rPr/>
      </w:pPr>
      <w:r>
        <w:rPr>
          <w:rFonts w:eastAsia="宋体" w:ascii="Times New Roman" w:hAnsi="Times New Roman"/>
          <w:b/>
          <w:color w:val="202833"/>
          <w:sz w:val="24"/>
        </w:rPr>
        <w:t xml:space="preserve">1.2.2 </w:t>
      </w:r>
      <w:r>
        <w:rPr>
          <w:rFonts w:ascii="Times New Roman" w:hAnsi="Times New Roman" w:eastAsia="宋体"/>
          <w:b/>
          <w:color w:val="202833"/>
          <w:sz w:val="24"/>
        </w:rPr>
        <w:t>国外发展现状</w:t>
      </w:r>
    </w:p>
    <w:p>
      <w:pPr>
        <w:pStyle w:val="Normal"/>
        <w:widowControl/>
        <w:rPr/>
      </w:pPr>
      <w:r>
        <w:rPr>
          <w:rFonts w:ascii="Times New Roman" w:hAnsi="Times New Roman"/>
          <w:b w:val="false"/>
          <w:color w:val="202833"/>
          <w:sz w:val="22"/>
        </w:rPr>
        <w:t>美国国家标准与技术研究院（</w:t>
      </w:r>
      <w:r>
        <w:rPr>
          <w:rFonts w:eastAsia="宋体"/>
          <w:b w:val="false"/>
          <w:color w:val="202833"/>
          <w:sz w:val="22"/>
        </w:rPr>
        <w:t>NIST</w:t>
      </w:r>
      <w:r>
        <w:rPr>
          <w:rFonts w:ascii="Times New Roman" w:hAnsi="Times New Roman"/>
          <w:b w:val="false"/>
          <w:color w:val="202833"/>
          <w:sz w:val="22"/>
        </w:rPr>
        <w:t>）发布的人工智能风险管理框架</w:t>
      </w:r>
      <w:r>
        <w:rPr>
          <w:rFonts w:eastAsia="宋体"/>
          <w:b w:val="false"/>
          <w:color w:val="202833"/>
          <w:sz w:val="22"/>
        </w:rPr>
        <w:t>1.0</w:t>
      </w:r>
      <w:r>
        <w:rPr>
          <w:rFonts w:ascii="Times New Roman" w:hAnsi="Times New Roman"/>
          <w:b w:val="false"/>
          <w:color w:val="202833"/>
          <w:sz w:val="22"/>
        </w:rPr>
        <w:t>将治理活动组织为</w:t>
      </w:r>
      <w:r>
        <w:rPr>
          <w:rFonts w:eastAsia="宋体" w:ascii="Consolas" w:hAnsi="Consolas"/>
          <w:color w:val="176B73"/>
          <w:sz w:val="20"/>
        </w:rPr>
        <w:t>GOVERN</w:t>
      </w:r>
      <w:r>
        <w:rPr>
          <w:rFonts w:ascii="Consolas" w:hAnsi="Consolas"/>
          <w:color w:val="176B73"/>
          <w:sz w:val="20"/>
        </w:rPr>
        <w:t>、</w:t>
      </w:r>
      <w:r>
        <w:rPr>
          <w:rFonts w:eastAsia="宋体" w:ascii="Consolas" w:hAnsi="Consolas"/>
          <w:color w:val="176B73"/>
          <w:sz w:val="20"/>
        </w:rPr>
        <w:t>MAP</w:t>
      </w:r>
      <w:r>
        <w:rPr>
          <w:rFonts w:ascii="Consolas" w:hAnsi="Consolas"/>
          <w:color w:val="176B73"/>
          <w:sz w:val="20"/>
        </w:rPr>
        <w:t>、</w:t>
      </w:r>
      <w:r>
        <w:rPr>
          <w:rFonts w:eastAsia="宋体" w:ascii="Consolas" w:hAnsi="Consolas"/>
          <w:color w:val="176B73"/>
          <w:sz w:val="20"/>
        </w:rPr>
        <w:t>MEASURE</w:t>
      </w:r>
      <w:r>
        <w:rPr>
          <w:rFonts w:ascii="Consolas" w:hAnsi="Consolas"/>
          <w:color w:val="176B73"/>
          <w:sz w:val="20"/>
        </w:rPr>
        <w:t>、</w:t>
      </w:r>
      <w:r>
        <w:rPr>
          <w:rFonts w:eastAsia="宋体" w:ascii="Consolas" w:hAnsi="Consolas"/>
          <w:color w:val="176B73"/>
          <w:sz w:val="20"/>
        </w:rPr>
        <w:t>MANAGE</w:t>
      </w:r>
      <w:r>
        <w:rPr>
          <w:rFonts w:ascii="Times New Roman" w:hAnsi="Times New Roman"/>
          <w:b w:val="false"/>
          <w:color w:val="202833"/>
          <w:sz w:val="22"/>
        </w:rPr>
        <w:t>，生成式人工智能专题画像又补充了虚构内容、信息完整性、数据隐私、信息安全和人机配置等风险</w:t>
      </w:r>
      <w:r>
        <w:rPr>
          <w:rFonts w:eastAsia="宋体"/>
          <w:b w:val="false"/>
          <w:color w:val="202833"/>
          <w:sz w:val="22"/>
        </w:rPr>
        <w:t>[10][11]</w:t>
      </w:r>
      <w:r>
        <w:rPr>
          <w:rFonts w:ascii="Times New Roman" w:hAnsi="Times New Roman"/>
          <w:b w:val="false"/>
          <w:color w:val="202833"/>
          <w:sz w:val="22"/>
        </w:rPr>
        <w:t>。两份文件强调风险测量、文档化和持续管理，但不规定某一领域的具体指标阈值。本项目可采用其治理结构，指标及阈值仍需按本地任务证据冻结。</w:t>
      </w:r>
    </w:p>
    <w:p>
      <w:pPr>
        <w:pStyle w:val="Normal"/>
        <w:widowControl/>
        <w:rPr/>
      </w:pPr>
      <w:r>
        <w:rPr>
          <w:rFonts w:eastAsia="宋体"/>
          <w:b w:val="false"/>
          <w:color w:val="202833"/>
          <w:sz w:val="22"/>
        </w:rPr>
        <w:t>ISO/IEC 42001:2023</w:t>
      </w:r>
      <w:r>
        <w:rPr>
          <w:rFonts w:ascii="Times New Roman" w:hAnsi="Times New Roman"/>
          <w:b w:val="false"/>
          <w:color w:val="202833"/>
          <w:sz w:val="22"/>
        </w:rPr>
        <w:t>规定人工智能管理体系，</w:t>
      </w:r>
      <w:r>
        <w:rPr>
          <w:rFonts w:eastAsia="宋体"/>
          <w:b w:val="false"/>
          <w:color w:val="202833"/>
          <w:sz w:val="22"/>
        </w:rPr>
        <w:t>ISO/IEC 23894:2023</w:t>
      </w:r>
      <w:r>
        <w:rPr>
          <w:rFonts w:ascii="Times New Roman" w:hAnsi="Times New Roman"/>
          <w:b w:val="false"/>
          <w:color w:val="202833"/>
          <w:sz w:val="22"/>
        </w:rPr>
        <w:t>给出人工智能风险管理指南，</w:t>
      </w:r>
      <w:r>
        <w:rPr>
          <w:rFonts w:eastAsia="宋体"/>
          <w:b w:val="false"/>
          <w:color w:val="202833"/>
          <w:sz w:val="22"/>
        </w:rPr>
        <w:t>ISO/IEC 25059:2023</w:t>
      </w:r>
      <w:r>
        <w:rPr>
          <w:rFonts w:ascii="Times New Roman" w:hAnsi="Times New Roman"/>
          <w:b w:val="false"/>
          <w:color w:val="202833"/>
          <w:sz w:val="22"/>
        </w:rPr>
        <w:t>给出人工智能系统质量模型</w:t>
      </w:r>
      <w:r>
        <w:rPr>
          <w:rFonts w:eastAsia="宋体"/>
          <w:b w:val="false"/>
          <w:color w:val="202833"/>
          <w:sz w:val="22"/>
        </w:rPr>
        <w:t>[12-14]</w:t>
      </w:r>
      <w:r>
        <w:rPr>
          <w:rFonts w:ascii="Times New Roman" w:hAnsi="Times New Roman"/>
          <w:b w:val="false"/>
          <w:color w:val="202833"/>
          <w:sz w:val="22"/>
        </w:rPr>
        <w:t>。三者共同指向生命周期管理、责任分配、风险处置和系统质量测量。欧盟《人工智能法案》要求相关高风险系统具备生命周期事件自动记录能力，并保留技术文档、测试日志和测试报告</w:t>
      </w:r>
      <w:r>
        <w:rPr>
          <w:rFonts w:eastAsia="宋体"/>
          <w:b w:val="false"/>
          <w:color w:val="202833"/>
          <w:sz w:val="22"/>
        </w:rPr>
        <w:t>[15]</w:t>
      </w:r>
      <w:r>
        <w:rPr>
          <w:rFonts w:ascii="Times New Roman" w:hAnsi="Times New Roman"/>
          <w:b w:val="false"/>
          <w:color w:val="202833"/>
          <w:sz w:val="22"/>
        </w:rPr>
        <w:t>。本项目不据此自行认定为欧盟法案中的高风险系统，但其日志可追溯、人工监督和文档留存要求对证据包设计有直接参考价值。</w:t>
      </w:r>
    </w:p>
    <w:p>
      <w:pPr>
        <w:pStyle w:val="Normal"/>
        <w:widowControl/>
        <w:rPr/>
      </w:pPr>
      <w:r>
        <w:rPr>
          <w:rFonts w:ascii="Times New Roman" w:hAnsi="Times New Roman"/>
          <w:b w:val="false"/>
          <w:color w:val="202833"/>
          <w:sz w:val="22"/>
        </w:rPr>
        <w:t>日志与可观测性领域已有成熟的集中收集、保护、分析和留存方法。</w:t>
      </w:r>
      <w:r>
        <w:rPr>
          <w:rFonts w:eastAsia="宋体"/>
          <w:b w:val="false"/>
          <w:color w:val="202833"/>
          <w:sz w:val="22"/>
        </w:rPr>
        <w:t>NIST SP 800-92</w:t>
      </w:r>
      <w:r>
        <w:rPr>
          <w:rFonts w:ascii="Times New Roman" w:hAnsi="Times New Roman"/>
          <w:b w:val="false"/>
          <w:color w:val="202833"/>
          <w:sz w:val="22"/>
        </w:rPr>
        <w:t>系统说明了日志管理基础，</w:t>
      </w:r>
      <w:r>
        <w:rPr>
          <w:rFonts w:eastAsia="宋体"/>
          <w:b w:val="false"/>
          <w:color w:val="202833"/>
          <w:sz w:val="22"/>
        </w:rPr>
        <w:t>OpenTelemetry</w:t>
      </w:r>
      <w:r>
        <w:rPr>
          <w:rFonts w:ascii="Times New Roman" w:hAnsi="Times New Roman"/>
          <w:b w:val="false"/>
          <w:color w:val="202833"/>
          <w:sz w:val="22"/>
        </w:rPr>
        <w:t>日志数据模型提供跨组件时间、资源、作用域、正文和属性表达</w:t>
      </w:r>
      <w:r>
        <w:rPr>
          <w:rFonts w:eastAsia="宋体"/>
          <w:b w:val="false"/>
          <w:color w:val="202833"/>
          <w:sz w:val="22"/>
        </w:rPr>
        <w:t>[16][17]</w:t>
      </w:r>
      <w:r>
        <w:rPr>
          <w:rFonts w:ascii="Times New Roman" w:hAnsi="Times New Roman"/>
          <w:b w:val="false"/>
          <w:color w:val="202833"/>
          <w:sz w:val="22"/>
        </w:rPr>
        <w:t>。</w:t>
      </w:r>
      <w:r>
        <w:rPr>
          <w:rFonts w:eastAsia="宋体"/>
          <w:b w:val="false"/>
          <w:color w:val="202833"/>
          <w:sz w:val="22"/>
        </w:rPr>
        <w:t>OpenTelemetry</w:t>
      </w:r>
      <w:r>
        <w:rPr>
          <w:rFonts w:ascii="Times New Roman" w:hAnsi="Times New Roman"/>
          <w:b w:val="false"/>
          <w:color w:val="202833"/>
          <w:sz w:val="22"/>
        </w:rPr>
        <w:t>页面是持续更新的开放规范，项目若采用其字段语义，必须在验收清单中固定具体规范版本，不能只引用滚动网页。</w:t>
      </w:r>
    </w:p>
    <w:p>
      <w:pPr>
        <w:pStyle w:val="Normal"/>
        <w:widowControl/>
        <w:rPr/>
      </w:pPr>
      <w:r>
        <w:rPr>
          <w:rFonts w:ascii="Times New Roman" w:hAnsi="Times New Roman"/>
          <w:b w:val="false"/>
          <w:color w:val="202833"/>
          <w:sz w:val="22"/>
        </w:rPr>
        <w:t>模型卡、数据表和数据卡研究分别提出记录模型用途、限制、分组性能、数据来源、收集过程、质量和责任信息</w:t>
      </w:r>
      <w:r>
        <w:rPr>
          <w:rFonts w:eastAsia="宋体"/>
          <w:b w:val="false"/>
          <w:color w:val="202833"/>
          <w:sz w:val="22"/>
        </w:rPr>
        <w:t>[18-20]</w:t>
      </w:r>
      <w:r>
        <w:rPr>
          <w:rFonts w:ascii="Times New Roman" w:hAnsi="Times New Roman"/>
          <w:b w:val="false"/>
          <w:color w:val="202833"/>
          <w:sz w:val="22"/>
        </w:rPr>
        <w:t>。这些工作适合转化为本项目的模型清单、证据包说明和固定回归集数据卡，防止模型升级后只保留名称、不保留权重哈希、量化方式和测试边界。</w:t>
      </w:r>
    </w:p>
    <w:p>
      <w:pPr>
        <w:pStyle w:val="Normal"/>
        <w:widowControl/>
        <w:rPr/>
      </w:pPr>
      <w:r>
        <w:rPr>
          <w:rFonts w:ascii="Times New Roman" w:hAnsi="Times New Roman"/>
          <w:b w:val="false"/>
          <w:color w:val="202833"/>
          <w:sz w:val="22"/>
        </w:rPr>
        <w:t>自动化评测研究已从单一相似度指标转向大模型评审、原子事实核验和检索增强生成评估。</w:t>
      </w:r>
      <w:r>
        <w:rPr>
          <w:rFonts w:eastAsia="宋体"/>
          <w:b w:val="false"/>
          <w:color w:val="202833"/>
          <w:sz w:val="22"/>
        </w:rPr>
        <w:t>G-Eval</w:t>
      </w:r>
      <w:r>
        <w:rPr>
          <w:rFonts w:ascii="Times New Roman" w:hAnsi="Times New Roman"/>
          <w:b w:val="false"/>
          <w:color w:val="202833"/>
          <w:sz w:val="22"/>
        </w:rPr>
        <w:t>使用大模型和结构化表单评价生成文本，同时其论文明确提示评审模型可能偏向大模型生成文本</w:t>
      </w:r>
      <w:r>
        <w:rPr>
          <w:rFonts w:eastAsia="宋体"/>
          <w:b w:val="false"/>
          <w:color w:val="202833"/>
          <w:sz w:val="22"/>
        </w:rPr>
        <w:t>[22]</w:t>
      </w:r>
      <w:r>
        <w:rPr>
          <w:rFonts w:ascii="Times New Roman" w:hAnsi="Times New Roman"/>
          <w:b w:val="false"/>
          <w:color w:val="202833"/>
          <w:sz w:val="22"/>
        </w:rPr>
        <w:t>；</w:t>
      </w:r>
      <w:r>
        <w:rPr>
          <w:rFonts w:eastAsia="宋体"/>
          <w:b w:val="false"/>
          <w:color w:val="202833"/>
          <w:sz w:val="22"/>
        </w:rPr>
        <w:t>FActScore</w:t>
      </w:r>
      <w:r>
        <w:rPr>
          <w:rFonts w:ascii="Times New Roman" w:hAnsi="Times New Roman"/>
          <w:b w:val="false"/>
          <w:color w:val="202833"/>
          <w:sz w:val="22"/>
        </w:rPr>
        <w:t>把长文本拆为原子事实并评价事实支持比例</w:t>
      </w:r>
      <w:r>
        <w:rPr>
          <w:rFonts w:eastAsia="宋体"/>
          <w:b w:val="false"/>
          <w:color w:val="202833"/>
          <w:sz w:val="22"/>
        </w:rPr>
        <w:t>[23]</w:t>
      </w:r>
      <w:r>
        <w:rPr>
          <w:rFonts w:ascii="Times New Roman" w:hAnsi="Times New Roman"/>
          <w:b w:val="false"/>
          <w:color w:val="202833"/>
          <w:sz w:val="22"/>
        </w:rPr>
        <w:t>；</w:t>
      </w:r>
      <w:r>
        <w:rPr>
          <w:rFonts w:eastAsia="宋体"/>
          <w:b w:val="false"/>
          <w:color w:val="202833"/>
          <w:sz w:val="22"/>
        </w:rPr>
        <w:t>SelfCheckGPT</w:t>
      </w:r>
      <w:r>
        <w:rPr>
          <w:rFonts w:ascii="Times New Roman" w:hAnsi="Times New Roman"/>
          <w:b w:val="false"/>
          <w:color w:val="202833"/>
          <w:sz w:val="22"/>
        </w:rPr>
        <w:t>利用多次采样的一致性检测潜在虚构，但增加推理成本，且不能替代外部证据</w:t>
      </w:r>
      <w:r>
        <w:rPr>
          <w:rFonts w:eastAsia="宋体"/>
          <w:b w:val="false"/>
          <w:color w:val="202833"/>
          <w:sz w:val="22"/>
        </w:rPr>
        <w:t>[24]</w:t>
      </w:r>
      <w:r>
        <w:rPr>
          <w:rFonts w:ascii="Times New Roman" w:hAnsi="Times New Roman"/>
          <w:b w:val="false"/>
          <w:color w:val="202833"/>
          <w:sz w:val="22"/>
        </w:rPr>
        <w:t>；</w:t>
      </w:r>
      <w:r>
        <w:rPr>
          <w:rFonts w:eastAsia="宋体"/>
          <w:b w:val="false"/>
          <w:color w:val="202833"/>
          <w:sz w:val="22"/>
        </w:rPr>
        <w:t>RAGAS</w:t>
      </w:r>
      <w:r>
        <w:rPr>
          <w:rFonts w:ascii="Times New Roman" w:hAnsi="Times New Roman"/>
          <w:b w:val="false"/>
          <w:color w:val="202833"/>
          <w:sz w:val="22"/>
        </w:rPr>
        <w:t>评价检索上下文与生成答案的忠实性，其对象是检索增强生成流程，迁移到工程日志报告前仍需重新标定</w:t>
      </w:r>
      <w:r>
        <w:rPr>
          <w:rFonts w:eastAsia="宋体"/>
          <w:b w:val="false"/>
          <w:color w:val="202833"/>
          <w:sz w:val="22"/>
        </w:rPr>
        <w:t>[25]</w:t>
      </w:r>
      <w:r>
        <w:rPr>
          <w:rFonts w:ascii="Times New Roman" w:hAnsi="Times New Roman"/>
          <w:b w:val="false"/>
          <w:color w:val="202833"/>
          <w:sz w:val="22"/>
        </w:rPr>
        <w:t>。大模型评测综述指出评测对象、数据、指标与场景快速扩张</w:t>
      </w:r>
      <w:r>
        <w:rPr>
          <w:rFonts w:eastAsia="宋体"/>
          <w:b w:val="false"/>
          <w:color w:val="202833"/>
          <w:sz w:val="22"/>
        </w:rPr>
        <w:t>[21]</w:t>
      </w:r>
      <w:r>
        <w:rPr>
          <w:rFonts w:ascii="Times New Roman" w:hAnsi="Times New Roman"/>
          <w:b w:val="false"/>
          <w:color w:val="202833"/>
          <w:sz w:val="22"/>
        </w:rPr>
        <w:t>，针对大模型评审公平性的同行评议研究则显示位置、次序等偏差不能忽略</w:t>
      </w:r>
      <w:r>
        <w:rPr>
          <w:rFonts w:eastAsia="宋体"/>
          <w:b w:val="false"/>
          <w:color w:val="202833"/>
          <w:sz w:val="22"/>
        </w:rPr>
        <w:t>[26]</w:t>
      </w:r>
      <w:r>
        <w:rPr>
          <w:rFonts w:ascii="Times New Roman" w:hAnsi="Times New Roman"/>
          <w:b w:val="false"/>
          <w:color w:val="202833"/>
          <w:sz w:val="22"/>
        </w:rPr>
        <w:t>。这些证据不支持让大模型成为正式裁判，反而支持“确定性指标在前、大模型解释在后、程序校验和人工签发兜底”的路线。</w:t>
      </w:r>
    </w:p>
    <w:tbl>
      <w:tblPr>
        <w:tblStyle w:val="TableGrid"/>
        <w:tblW w:w="9410" w:type="dxa"/>
        <w:jc w:val="center"/>
        <w:tblInd w:w="0" w:type="dxa"/>
        <w:tblLayout w:type="fixed"/>
        <w:tblCellMar>
          <w:top w:w="55" w:type="dxa"/>
          <w:left w:w="65" w:type="dxa"/>
          <w:bottom w:w="55" w:type="dxa"/>
          <w:right w:w="65" w:type="dxa"/>
        </w:tblCellMar>
        <w:tblLook w:val="04a0" w:noHBand="0" w:noVBand="1" w:firstColumn="1" w:lastRow="0" w:lastColumn="0" w:firstRow="1"/>
      </w:tblPr>
      <w:tblGrid>
        <w:gridCol w:w="1882"/>
        <w:gridCol w:w="1882"/>
        <w:gridCol w:w="1882"/>
        <w:gridCol w:w="1882"/>
        <w:gridCol w:w="1882"/>
      </w:tblGrid>
      <w:tr>
        <w:trPr>
          <w:tblHeader w:val="true"/>
          <w:cantSplit w:val="true"/>
        </w:trPr>
        <w:tc>
          <w:tcPr>
            <w:tcW w:w="1882" w:type="dxa"/>
            <w:tcBorders/>
            <w:shd w:fill="1F4E78"/>
            <w:vAlign w:val="center"/>
          </w:tcPr>
          <w:p>
            <w:pPr>
              <w:pStyle w:val="Normal"/>
              <w:widowControl/>
              <w:spacing w:lineRule="auto" w:line="259" w:before="0" w:after="0"/>
              <w:ind w:hanging="0"/>
              <w:jc w:val="center"/>
              <w:rPr>
                <w:rFonts w:cs=""/>
                <w:kern w:val="0"/>
                <w:szCs w:val="22"/>
                <w:lang w:val="en-US" w:eastAsia="en-US" w:bidi="ar-SA"/>
              </w:rPr>
            </w:pPr>
            <w:r>
              <w:rPr>
                <w:rFonts w:ascii="Times New Roman" w:hAnsi="Times New Roman" w:cs=""/>
                <w:b/>
                <w:color w:val="FFFFFF"/>
                <w:kern w:val="0"/>
                <w:sz w:val="16"/>
                <w:szCs w:val="22"/>
                <w:lang w:val="en-US" w:eastAsia="en-US" w:bidi="ar-SA"/>
              </w:rPr>
              <w:t>国家或机构</w:t>
            </w:r>
          </w:p>
        </w:tc>
        <w:tc>
          <w:tcPr>
            <w:tcW w:w="1882" w:type="dxa"/>
            <w:tcBorders/>
            <w:shd w:fill="1F4E78"/>
            <w:vAlign w:val="center"/>
          </w:tcPr>
          <w:p>
            <w:pPr>
              <w:pStyle w:val="Normal"/>
              <w:widowControl/>
              <w:spacing w:lineRule="auto" w:line="259" w:before="0" w:after="0"/>
              <w:ind w:hanging="0"/>
              <w:jc w:val="center"/>
              <w:rPr>
                <w:rFonts w:cs=""/>
                <w:kern w:val="0"/>
                <w:szCs w:val="22"/>
                <w:lang w:val="en-US" w:eastAsia="en-US" w:bidi="ar-SA"/>
              </w:rPr>
            </w:pPr>
            <w:r>
              <w:rPr>
                <w:rFonts w:ascii="Times New Roman" w:hAnsi="Times New Roman" w:cs=""/>
                <w:b/>
                <w:color w:val="FFFFFF"/>
                <w:kern w:val="0"/>
                <w:sz w:val="16"/>
                <w:szCs w:val="22"/>
                <w:lang w:val="en-US" w:eastAsia="en-US" w:bidi="ar-SA"/>
              </w:rPr>
              <w:t>技术路线或规范</w:t>
            </w:r>
          </w:p>
        </w:tc>
        <w:tc>
          <w:tcPr>
            <w:tcW w:w="1882" w:type="dxa"/>
            <w:tcBorders/>
            <w:shd w:fill="1F4E78"/>
            <w:vAlign w:val="center"/>
          </w:tcPr>
          <w:p>
            <w:pPr>
              <w:pStyle w:val="Normal"/>
              <w:widowControl/>
              <w:spacing w:lineRule="auto" w:line="259" w:before="0" w:after="0"/>
              <w:ind w:hanging="0"/>
              <w:jc w:val="center"/>
              <w:rPr>
                <w:rFonts w:cs=""/>
                <w:kern w:val="0"/>
                <w:szCs w:val="22"/>
                <w:lang w:val="en-US" w:eastAsia="en-US" w:bidi="ar-SA"/>
              </w:rPr>
            </w:pPr>
            <w:r>
              <w:rPr>
                <w:rFonts w:ascii="Times New Roman" w:hAnsi="Times New Roman" w:cs=""/>
                <w:b/>
                <w:color w:val="FFFFFF"/>
                <w:kern w:val="0"/>
                <w:sz w:val="16"/>
                <w:szCs w:val="22"/>
                <w:lang w:val="en-US" w:eastAsia="en-US" w:bidi="ar-SA"/>
              </w:rPr>
              <w:t>公开能力与应用状态</w:t>
            </w:r>
          </w:p>
        </w:tc>
        <w:tc>
          <w:tcPr>
            <w:tcW w:w="1882" w:type="dxa"/>
            <w:tcBorders/>
            <w:shd w:fill="1F4E78"/>
            <w:vAlign w:val="center"/>
          </w:tcPr>
          <w:p>
            <w:pPr>
              <w:pStyle w:val="Normal"/>
              <w:widowControl/>
              <w:spacing w:lineRule="auto" w:line="259" w:before="0" w:after="0"/>
              <w:ind w:hanging="0"/>
              <w:jc w:val="center"/>
              <w:rPr>
                <w:rFonts w:cs=""/>
                <w:kern w:val="0"/>
                <w:szCs w:val="22"/>
                <w:lang w:val="en-US" w:eastAsia="en-US" w:bidi="ar-SA"/>
              </w:rPr>
            </w:pPr>
            <w:r>
              <w:rPr>
                <w:rFonts w:ascii="Times New Roman" w:hAnsi="Times New Roman" w:cs=""/>
                <w:b/>
                <w:color w:val="FFFFFF"/>
                <w:kern w:val="0"/>
                <w:sz w:val="16"/>
                <w:szCs w:val="22"/>
                <w:lang w:val="en-US" w:eastAsia="en-US" w:bidi="ar-SA"/>
              </w:rPr>
              <w:t>证据等级</w:t>
            </w:r>
          </w:p>
        </w:tc>
        <w:tc>
          <w:tcPr>
            <w:tcW w:w="1882" w:type="dxa"/>
            <w:tcBorders/>
            <w:shd w:fill="1F4E78"/>
            <w:vAlign w:val="center"/>
          </w:tcPr>
          <w:p>
            <w:pPr>
              <w:pStyle w:val="Normal"/>
              <w:widowControl/>
              <w:spacing w:lineRule="auto" w:line="259" w:before="0" w:after="0"/>
              <w:ind w:hanging="0"/>
              <w:jc w:val="center"/>
              <w:rPr>
                <w:rFonts w:cs=""/>
                <w:kern w:val="0"/>
                <w:szCs w:val="22"/>
                <w:lang w:val="en-US" w:eastAsia="en-US" w:bidi="ar-SA"/>
              </w:rPr>
            </w:pPr>
            <w:r>
              <w:rPr>
                <w:rFonts w:ascii="Times New Roman" w:hAnsi="Times New Roman" w:cs=""/>
                <w:b/>
                <w:color w:val="FFFFFF"/>
                <w:kern w:val="0"/>
                <w:sz w:val="16"/>
                <w:szCs w:val="22"/>
                <w:lang w:val="en-US" w:eastAsia="en-US" w:bidi="ar-SA"/>
              </w:rPr>
              <w:t>对本项目的启示</w:t>
            </w:r>
          </w:p>
        </w:tc>
      </w:tr>
      <w:tr>
        <w:trPr>
          <w:cantSplit w:val="true"/>
        </w:trPr>
        <w:tc>
          <w:tcPr>
            <w:tcW w:w="1882" w:type="dxa"/>
            <w:tcBorders/>
            <w:vAlign w:val="center"/>
          </w:tcPr>
          <w:p>
            <w:pPr>
              <w:pStyle w:val="Normal"/>
              <w:widowControl/>
              <w:spacing w:lineRule="auto" w:line="259" w:before="0" w:after="0"/>
              <w:ind w:hanging="0"/>
              <w:jc w:val="left"/>
              <w:rPr>
                <w:rFonts w:cs=""/>
                <w:kern w:val="0"/>
                <w:szCs w:val="22"/>
                <w:lang w:val="en-US" w:eastAsia="en-US" w:bidi="ar-SA"/>
              </w:rPr>
            </w:pPr>
            <w:r>
              <w:rPr>
                <w:rFonts w:eastAsia="宋体" w:cs=""/>
                <w:b w:val="false"/>
                <w:color w:val="202833"/>
                <w:kern w:val="0"/>
                <w:sz w:val="16"/>
                <w:szCs w:val="22"/>
                <w:lang w:val="en-US" w:eastAsia="en-US" w:bidi="ar-SA"/>
              </w:rPr>
              <w:t>NIST</w:t>
            </w:r>
          </w:p>
        </w:tc>
        <w:tc>
          <w:tcPr>
            <w:tcW w:w="1882" w:type="dxa"/>
            <w:tcBorders/>
            <w:vAlign w:val="center"/>
          </w:tcPr>
          <w:p>
            <w:pPr>
              <w:pStyle w:val="Normal"/>
              <w:widowControl/>
              <w:spacing w:lineRule="auto" w:line="259" w:before="0" w:after="0"/>
              <w:ind w:hanging="0"/>
              <w:jc w:val="left"/>
              <w:rPr>
                <w:rFonts w:cs=""/>
                <w:kern w:val="0"/>
                <w:szCs w:val="22"/>
                <w:lang w:val="en-US" w:eastAsia="en-US" w:bidi="ar-SA"/>
              </w:rPr>
            </w:pPr>
            <w:r>
              <w:rPr>
                <w:rFonts w:eastAsia="宋体" w:cs=""/>
                <w:b w:val="false"/>
                <w:color w:val="202833"/>
                <w:kern w:val="0"/>
                <w:sz w:val="16"/>
                <w:szCs w:val="22"/>
                <w:lang w:val="en-US" w:eastAsia="en-US" w:bidi="ar-SA"/>
              </w:rPr>
              <w:t>AI RMF 1.0</w:t>
            </w:r>
            <w:r>
              <w:rPr>
                <w:rFonts w:ascii="Times New Roman" w:hAnsi="Times New Roman" w:cs=""/>
                <w:b w:val="false"/>
                <w:color w:val="202833"/>
                <w:kern w:val="0"/>
                <w:sz w:val="16"/>
                <w:szCs w:val="22"/>
                <w:lang w:val="en-US" w:eastAsia="en-US" w:bidi="ar-SA"/>
              </w:rPr>
              <w:t>与生成式</w:t>
            </w:r>
            <w:r>
              <w:rPr>
                <w:rFonts w:eastAsia="宋体" w:cs=""/>
                <w:b w:val="false"/>
                <w:color w:val="202833"/>
                <w:kern w:val="0"/>
                <w:sz w:val="16"/>
                <w:szCs w:val="22"/>
                <w:lang w:val="en-US" w:eastAsia="en-US" w:bidi="ar-SA"/>
              </w:rPr>
              <w:t>AI</w:t>
            </w:r>
            <w:r>
              <w:rPr>
                <w:rFonts w:ascii="Times New Roman" w:hAnsi="Times New Roman" w:cs=""/>
                <w:b w:val="false"/>
                <w:color w:val="202833"/>
                <w:kern w:val="0"/>
                <w:sz w:val="16"/>
                <w:szCs w:val="22"/>
                <w:lang w:val="en-US" w:eastAsia="en-US" w:bidi="ar-SA"/>
              </w:rPr>
              <w:t>专题画像</w:t>
            </w:r>
          </w:p>
        </w:tc>
        <w:tc>
          <w:tcPr>
            <w:tcW w:w="1882" w:type="dxa"/>
            <w:tcBorders/>
            <w:vAlign w:val="center"/>
          </w:tcPr>
          <w:p>
            <w:pPr>
              <w:pStyle w:val="Normal"/>
              <w:widowControl/>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6"/>
                <w:szCs w:val="22"/>
                <w:lang w:val="en-US" w:eastAsia="en-US" w:bidi="ar-SA"/>
              </w:rPr>
              <w:t>官方框架和专题报告</w:t>
            </w:r>
          </w:p>
        </w:tc>
        <w:tc>
          <w:tcPr>
            <w:tcW w:w="1882" w:type="dxa"/>
            <w:tcBorders/>
            <w:vAlign w:val="center"/>
          </w:tcPr>
          <w:p>
            <w:pPr>
              <w:pStyle w:val="Normal"/>
              <w:widowControl/>
              <w:spacing w:lineRule="auto" w:line="259" w:before="0" w:after="0"/>
              <w:ind w:hanging="0"/>
              <w:jc w:val="left"/>
              <w:rPr>
                <w:rFonts w:cs=""/>
                <w:kern w:val="0"/>
                <w:szCs w:val="22"/>
                <w:lang w:val="en-US" w:eastAsia="en-US" w:bidi="ar-SA"/>
              </w:rPr>
            </w:pPr>
            <w:r>
              <w:rPr>
                <w:rFonts w:eastAsia="宋体" w:cs=""/>
                <w:b w:val="false"/>
                <w:color w:val="202833"/>
                <w:kern w:val="0"/>
                <w:sz w:val="16"/>
                <w:szCs w:val="22"/>
                <w:lang w:val="en-US" w:eastAsia="en-US" w:bidi="ar-SA"/>
              </w:rPr>
              <w:t>A</w:t>
            </w:r>
            <w:r>
              <w:rPr>
                <w:rFonts w:ascii="Times New Roman" w:hAnsi="Times New Roman" w:cs=""/>
                <w:b w:val="false"/>
                <w:color w:val="202833"/>
                <w:kern w:val="0"/>
                <w:sz w:val="16"/>
                <w:szCs w:val="22"/>
                <w:lang w:val="en-US" w:eastAsia="en-US" w:bidi="ar-SA"/>
              </w:rPr>
              <w:t>：政府技术报告</w:t>
            </w:r>
          </w:p>
        </w:tc>
        <w:tc>
          <w:tcPr>
            <w:tcW w:w="1882" w:type="dxa"/>
            <w:tcBorders/>
            <w:vAlign w:val="center"/>
          </w:tcPr>
          <w:p>
            <w:pPr>
              <w:pStyle w:val="Normal"/>
              <w:widowControl/>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6"/>
                <w:szCs w:val="22"/>
                <w:lang w:val="en-US" w:eastAsia="en-US" w:bidi="ar-SA"/>
              </w:rPr>
              <w:t>将模型风险纳入治理、映射、测量和处置闭环</w:t>
            </w:r>
          </w:p>
        </w:tc>
      </w:tr>
      <w:tr>
        <w:trPr>
          <w:cantSplit w:val="true"/>
        </w:trPr>
        <w:tc>
          <w:tcPr>
            <w:tcW w:w="1882" w:type="dxa"/>
            <w:tcBorders/>
            <w:shd w:fill="F5F7FA"/>
            <w:vAlign w:val="center"/>
          </w:tcPr>
          <w:p>
            <w:pPr>
              <w:pStyle w:val="Normal"/>
              <w:widowControl/>
              <w:spacing w:lineRule="auto" w:line="259" w:before="0" w:after="0"/>
              <w:ind w:hanging="0"/>
              <w:jc w:val="left"/>
              <w:rPr>
                <w:rFonts w:cs=""/>
                <w:kern w:val="0"/>
                <w:szCs w:val="22"/>
                <w:lang w:val="en-US" w:eastAsia="en-US" w:bidi="ar-SA"/>
              </w:rPr>
            </w:pPr>
            <w:r>
              <w:rPr>
                <w:rFonts w:eastAsia="宋体" w:cs=""/>
                <w:b w:val="false"/>
                <w:color w:val="202833"/>
                <w:kern w:val="0"/>
                <w:sz w:val="16"/>
                <w:szCs w:val="22"/>
                <w:lang w:val="en-US" w:eastAsia="en-US" w:bidi="ar-SA"/>
              </w:rPr>
              <w:t>ISO/IEC</w:t>
            </w:r>
          </w:p>
        </w:tc>
        <w:tc>
          <w:tcPr>
            <w:tcW w:w="1882" w:type="dxa"/>
            <w:tcBorders/>
            <w:shd w:fill="F5F7FA"/>
            <w:vAlign w:val="center"/>
          </w:tcPr>
          <w:p>
            <w:pPr>
              <w:pStyle w:val="Normal"/>
              <w:widowControl/>
              <w:spacing w:lineRule="auto" w:line="259" w:before="0" w:after="0"/>
              <w:ind w:hanging="0"/>
              <w:jc w:val="left"/>
              <w:rPr>
                <w:rFonts w:cs=""/>
                <w:kern w:val="0"/>
                <w:szCs w:val="22"/>
                <w:lang w:val="en-US" w:eastAsia="en-US" w:bidi="ar-SA"/>
              </w:rPr>
            </w:pPr>
            <w:r>
              <w:rPr>
                <w:rFonts w:eastAsia="宋体" w:cs=""/>
                <w:b w:val="false"/>
                <w:color w:val="202833"/>
                <w:kern w:val="0"/>
                <w:sz w:val="16"/>
                <w:szCs w:val="22"/>
                <w:lang w:val="en-US" w:eastAsia="en-US" w:bidi="ar-SA"/>
              </w:rPr>
              <w:t>42001</w:t>
            </w:r>
            <w:r>
              <w:rPr>
                <w:rFonts w:ascii="Times New Roman" w:hAnsi="Times New Roman" w:cs=""/>
                <w:b w:val="false"/>
                <w:color w:val="202833"/>
                <w:kern w:val="0"/>
                <w:sz w:val="16"/>
                <w:szCs w:val="22"/>
                <w:lang w:val="en-US" w:eastAsia="en-US" w:bidi="ar-SA"/>
              </w:rPr>
              <w:t>、</w:t>
            </w:r>
            <w:r>
              <w:rPr>
                <w:rFonts w:eastAsia="宋体" w:cs=""/>
                <w:b w:val="false"/>
                <w:color w:val="202833"/>
                <w:kern w:val="0"/>
                <w:sz w:val="16"/>
                <w:szCs w:val="22"/>
                <w:lang w:val="en-US" w:eastAsia="en-US" w:bidi="ar-SA"/>
              </w:rPr>
              <w:t>23894</w:t>
            </w:r>
            <w:r>
              <w:rPr>
                <w:rFonts w:ascii="Times New Roman" w:hAnsi="Times New Roman" w:cs=""/>
                <w:b w:val="false"/>
                <w:color w:val="202833"/>
                <w:kern w:val="0"/>
                <w:sz w:val="16"/>
                <w:szCs w:val="22"/>
                <w:lang w:val="en-US" w:eastAsia="en-US" w:bidi="ar-SA"/>
              </w:rPr>
              <w:t>、</w:t>
            </w:r>
            <w:r>
              <w:rPr>
                <w:rFonts w:eastAsia="宋体" w:cs=""/>
                <w:b w:val="false"/>
                <w:color w:val="202833"/>
                <w:kern w:val="0"/>
                <w:sz w:val="16"/>
                <w:szCs w:val="22"/>
                <w:lang w:val="en-US" w:eastAsia="en-US" w:bidi="ar-SA"/>
              </w:rPr>
              <w:t>25059</w:t>
            </w:r>
          </w:p>
        </w:tc>
        <w:tc>
          <w:tcPr>
            <w:tcW w:w="1882" w:type="dxa"/>
            <w:tcBorders/>
            <w:shd w:fill="F5F7FA"/>
            <w:vAlign w:val="center"/>
          </w:tcPr>
          <w:p>
            <w:pPr>
              <w:pStyle w:val="Normal"/>
              <w:widowControl/>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6"/>
                <w:szCs w:val="22"/>
                <w:lang w:val="en-US" w:eastAsia="en-US" w:bidi="ar-SA"/>
              </w:rPr>
              <w:t>已发布国际标准</w:t>
            </w:r>
          </w:p>
        </w:tc>
        <w:tc>
          <w:tcPr>
            <w:tcW w:w="1882" w:type="dxa"/>
            <w:tcBorders/>
            <w:shd w:fill="F5F7FA"/>
            <w:vAlign w:val="center"/>
          </w:tcPr>
          <w:p>
            <w:pPr>
              <w:pStyle w:val="Normal"/>
              <w:widowControl/>
              <w:spacing w:lineRule="auto" w:line="259" w:before="0" w:after="0"/>
              <w:ind w:hanging="0"/>
              <w:jc w:val="left"/>
              <w:rPr>
                <w:rFonts w:cs=""/>
                <w:kern w:val="0"/>
                <w:szCs w:val="22"/>
                <w:lang w:val="en-US" w:eastAsia="en-US" w:bidi="ar-SA"/>
              </w:rPr>
            </w:pPr>
            <w:r>
              <w:rPr>
                <w:rFonts w:eastAsia="宋体" w:cs=""/>
                <w:b w:val="false"/>
                <w:color w:val="202833"/>
                <w:kern w:val="0"/>
                <w:sz w:val="16"/>
                <w:szCs w:val="22"/>
                <w:lang w:val="en-US" w:eastAsia="en-US" w:bidi="ar-SA"/>
              </w:rPr>
              <w:t>A</w:t>
            </w:r>
            <w:r>
              <w:rPr>
                <w:rFonts w:ascii="Times New Roman" w:hAnsi="Times New Roman" w:cs=""/>
                <w:b w:val="false"/>
                <w:color w:val="202833"/>
                <w:kern w:val="0"/>
                <w:sz w:val="16"/>
                <w:szCs w:val="22"/>
                <w:lang w:val="en-US" w:eastAsia="en-US" w:bidi="ar-SA"/>
              </w:rPr>
              <w:t>：国际标准</w:t>
            </w:r>
          </w:p>
        </w:tc>
        <w:tc>
          <w:tcPr>
            <w:tcW w:w="1882" w:type="dxa"/>
            <w:tcBorders/>
            <w:shd w:fill="F5F7FA"/>
            <w:vAlign w:val="center"/>
          </w:tcPr>
          <w:p>
            <w:pPr>
              <w:pStyle w:val="Normal"/>
              <w:widowControl/>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6"/>
                <w:szCs w:val="22"/>
                <w:lang w:val="en-US" w:eastAsia="en-US" w:bidi="ar-SA"/>
              </w:rPr>
              <w:t>冻结管理职责、风险流程、质量属性和持续改进记录</w:t>
            </w:r>
          </w:p>
        </w:tc>
      </w:tr>
      <w:tr>
        <w:trPr>
          <w:cantSplit w:val="true"/>
        </w:trPr>
        <w:tc>
          <w:tcPr>
            <w:tcW w:w="1882" w:type="dxa"/>
            <w:tcBorders/>
            <w:vAlign w:val="center"/>
          </w:tcPr>
          <w:p>
            <w:pPr>
              <w:pStyle w:val="Normal"/>
              <w:widowControl/>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6"/>
                <w:szCs w:val="22"/>
                <w:lang w:val="en-US" w:eastAsia="en-US" w:bidi="ar-SA"/>
              </w:rPr>
              <w:t>欧盟</w:t>
            </w:r>
          </w:p>
        </w:tc>
        <w:tc>
          <w:tcPr>
            <w:tcW w:w="1882" w:type="dxa"/>
            <w:tcBorders/>
            <w:vAlign w:val="center"/>
          </w:tcPr>
          <w:p>
            <w:pPr>
              <w:pStyle w:val="Normal"/>
              <w:widowControl/>
              <w:spacing w:lineRule="auto" w:line="259" w:before="0" w:after="0"/>
              <w:ind w:hanging="0"/>
              <w:jc w:val="left"/>
              <w:rPr>
                <w:rFonts w:cs=""/>
                <w:kern w:val="0"/>
                <w:szCs w:val="22"/>
                <w:lang w:val="en-US" w:eastAsia="en-US" w:bidi="ar-SA"/>
              </w:rPr>
            </w:pPr>
            <w:r>
              <w:rPr>
                <w:rFonts w:eastAsia="宋体" w:cs=""/>
                <w:b w:val="false"/>
                <w:color w:val="202833"/>
                <w:kern w:val="0"/>
                <w:sz w:val="16"/>
                <w:szCs w:val="22"/>
                <w:lang w:val="en-US" w:eastAsia="en-US" w:bidi="ar-SA"/>
              </w:rPr>
              <w:t>Regulation (EU) 2024/1689</w:t>
            </w:r>
          </w:p>
        </w:tc>
        <w:tc>
          <w:tcPr>
            <w:tcW w:w="1882" w:type="dxa"/>
            <w:tcBorders/>
            <w:vAlign w:val="center"/>
          </w:tcPr>
          <w:p>
            <w:pPr>
              <w:pStyle w:val="Normal"/>
              <w:widowControl/>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6"/>
                <w:szCs w:val="22"/>
                <w:lang w:val="en-US" w:eastAsia="en-US" w:bidi="ar-SA"/>
              </w:rPr>
              <w:t>已公布法规</w:t>
            </w:r>
          </w:p>
        </w:tc>
        <w:tc>
          <w:tcPr>
            <w:tcW w:w="1882" w:type="dxa"/>
            <w:tcBorders/>
            <w:vAlign w:val="center"/>
          </w:tcPr>
          <w:p>
            <w:pPr>
              <w:pStyle w:val="Normal"/>
              <w:widowControl/>
              <w:spacing w:lineRule="auto" w:line="259" w:before="0" w:after="0"/>
              <w:ind w:hanging="0"/>
              <w:jc w:val="left"/>
              <w:rPr>
                <w:rFonts w:cs=""/>
                <w:kern w:val="0"/>
                <w:szCs w:val="22"/>
                <w:lang w:val="en-US" w:eastAsia="en-US" w:bidi="ar-SA"/>
              </w:rPr>
            </w:pPr>
            <w:r>
              <w:rPr>
                <w:rFonts w:eastAsia="宋体" w:cs=""/>
                <w:b w:val="false"/>
                <w:color w:val="202833"/>
                <w:kern w:val="0"/>
                <w:sz w:val="16"/>
                <w:szCs w:val="22"/>
                <w:lang w:val="en-US" w:eastAsia="en-US" w:bidi="ar-SA"/>
              </w:rPr>
              <w:t>A</w:t>
            </w:r>
            <w:r>
              <w:rPr>
                <w:rFonts w:ascii="Times New Roman" w:hAnsi="Times New Roman" w:cs=""/>
                <w:b w:val="false"/>
                <w:color w:val="202833"/>
                <w:kern w:val="0"/>
                <w:sz w:val="16"/>
                <w:szCs w:val="22"/>
                <w:lang w:val="en-US" w:eastAsia="en-US" w:bidi="ar-SA"/>
              </w:rPr>
              <w:t>：官方法规</w:t>
            </w:r>
          </w:p>
        </w:tc>
        <w:tc>
          <w:tcPr>
            <w:tcW w:w="1882" w:type="dxa"/>
            <w:tcBorders/>
            <w:vAlign w:val="center"/>
          </w:tcPr>
          <w:p>
            <w:pPr>
              <w:pStyle w:val="Normal"/>
              <w:widowControl/>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6"/>
                <w:szCs w:val="22"/>
                <w:lang w:val="en-US" w:eastAsia="en-US" w:bidi="ar-SA"/>
              </w:rPr>
              <w:t>参考事件日志、技术文档、测试记录和人工监督要求，不自行作适用性认定</w:t>
            </w:r>
          </w:p>
        </w:tc>
      </w:tr>
      <w:tr>
        <w:trPr>
          <w:cantSplit w:val="true"/>
        </w:trPr>
        <w:tc>
          <w:tcPr>
            <w:tcW w:w="1882" w:type="dxa"/>
            <w:tcBorders/>
            <w:shd w:fill="F5F7FA"/>
            <w:vAlign w:val="center"/>
          </w:tcPr>
          <w:p>
            <w:pPr>
              <w:pStyle w:val="Normal"/>
              <w:widowControl/>
              <w:spacing w:lineRule="auto" w:line="259" w:before="0" w:after="0"/>
              <w:ind w:hanging="0"/>
              <w:jc w:val="left"/>
              <w:rPr>
                <w:rFonts w:cs=""/>
                <w:kern w:val="0"/>
                <w:szCs w:val="22"/>
                <w:lang w:val="en-US" w:eastAsia="en-US" w:bidi="ar-SA"/>
              </w:rPr>
            </w:pPr>
            <w:r>
              <w:rPr>
                <w:rFonts w:eastAsia="宋体" w:cs=""/>
                <w:b w:val="false"/>
                <w:color w:val="202833"/>
                <w:kern w:val="0"/>
                <w:sz w:val="16"/>
                <w:szCs w:val="22"/>
                <w:lang w:val="en-US" w:eastAsia="en-US" w:bidi="ar-SA"/>
              </w:rPr>
              <w:t>NIST</w:t>
            </w:r>
            <w:r>
              <w:rPr>
                <w:rFonts w:ascii="Times New Roman" w:hAnsi="Times New Roman" w:cs=""/>
                <w:b w:val="false"/>
                <w:color w:val="202833"/>
                <w:kern w:val="0"/>
                <w:sz w:val="16"/>
                <w:szCs w:val="22"/>
                <w:lang w:val="en-US" w:eastAsia="en-US" w:bidi="ar-SA"/>
              </w:rPr>
              <w:t>、</w:t>
            </w:r>
            <w:r>
              <w:rPr>
                <w:rFonts w:eastAsia="宋体" w:cs=""/>
                <w:b w:val="false"/>
                <w:color w:val="202833"/>
                <w:kern w:val="0"/>
                <w:sz w:val="16"/>
                <w:szCs w:val="22"/>
                <w:lang w:val="en-US" w:eastAsia="en-US" w:bidi="ar-SA"/>
              </w:rPr>
              <w:t>OpenTelemetry</w:t>
            </w:r>
          </w:p>
        </w:tc>
        <w:tc>
          <w:tcPr>
            <w:tcW w:w="1882" w:type="dxa"/>
            <w:tcBorders/>
            <w:shd w:fill="F5F7FA"/>
            <w:vAlign w:val="center"/>
          </w:tcPr>
          <w:p>
            <w:pPr>
              <w:pStyle w:val="Normal"/>
              <w:widowControl/>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6"/>
                <w:szCs w:val="22"/>
                <w:lang w:val="en-US" w:eastAsia="en-US" w:bidi="ar-SA"/>
              </w:rPr>
              <w:t>日志管理与统一日志数据模型</w:t>
            </w:r>
          </w:p>
        </w:tc>
        <w:tc>
          <w:tcPr>
            <w:tcW w:w="1882" w:type="dxa"/>
            <w:tcBorders/>
            <w:shd w:fill="F5F7FA"/>
            <w:vAlign w:val="center"/>
          </w:tcPr>
          <w:p>
            <w:pPr>
              <w:pStyle w:val="Normal"/>
              <w:widowControl/>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6"/>
                <w:szCs w:val="22"/>
                <w:lang w:val="en-US" w:eastAsia="en-US" w:bidi="ar-SA"/>
              </w:rPr>
              <w:t>官方指南与开放规范</w:t>
            </w:r>
          </w:p>
        </w:tc>
        <w:tc>
          <w:tcPr>
            <w:tcW w:w="1882" w:type="dxa"/>
            <w:tcBorders/>
            <w:shd w:fill="F5F7FA"/>
            <w:vAlign w:val="center"/>
          </w:tcPr>
          <w:p>
            <w:pPr>
              <w:pStyle w:val="Normal"/>
              <w:widowControl/>
              <w:spacing w:lineRule="auto" w:line="259" w:before="0" w:after="0"/>
              <w:ind w:hanging="0"/>
              <w:jc w:val="left"/>
              <w:rPr>
                <w:rFonts w:cs=""/>
                <w:kern w:val="0"/>
                <w:szCs w:val="22"/>
                <w:lang w:val="en-US" w:eastAsia="en-US" w:bidi="ar-SA"/>
              </w:rPr>
            </w:pPr>
            <w:r>
              <w:rPr>
                <w:rFonts w:eastAsia="宋体" w:cs=""/>
                <w:b w:val="false"/>
                <w:color w:val="202833"/>
                <w:kern w:val="0"/>
                <w:sz w:val="16"/>
                <w:szCs w:val="22"/>
                <w:lang w:val="en-US" w:eastAsia="en-US" w:bidi="ar-SA"/>
              </w:rPr>
              <w:t>A/B</w:t>
            </w:r>
            <w:r>
              <w:rPr>
                <w:rFonts w:ascii="Times New Roman" w:hAnsi="Times New Roman" w:cs=""/>
                <w:b w:val="false"/>
                <w:color w:val="202833"/>
                <w:kern w:val="0"/>
                <w:sz w:val="16"/>
                <w:szCs w:val="22"/>
                <w:lang w:val="en-US" w:eastAsia="en-US" w:bidi="ar-SA"/>
              </w:rPr>
              <w:t>：官方指南、开放规范</w:t>
            </w:r>
          </w:p>
        </w:tc>
        <w:tc>
          <w:tcPr>
            <w:tcW w:w="1882" w:type="dxa"/>
            <w:tcBorders/>
            <w:shd w:fill="F5F7FA"/>
            <w:vAlign w:val="center"/>
          </w:tcPr>
          <w:p>
            <w:pPr>
              <w:pStyle w:val="Normal"/>
              <w:widowControl/>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6"/>
                <w:szCs w:val="22"/>
                <w:lang w:val="en-US" w:eastAsia="en-US" w:bidi="ar-SA"/>
              </w:rPr>
              <w:t>统一时间、资源、作用域、属性和留存策略；验收时固定版本</w:t>
            </w:r>
          </w:p>
        </w:tc>
      </w:tr>
      <w:tr>
        <w:trPr>
          <w:cantSplit w:val="true"/>
        </w:trPr>
        <w:tc>
          <w:tcPr>
            <w:tcW w:w="1882" w:type="dxa"/>
            <w:tcBorders/>
            <w:vAlign w:val="center"/>
          </w:tcPr>
          <w:p>
            <w:pPr>
              <w:pStyle w:val="Normal"/>
              <w:widowControl/>
              <w:spacing w:lineRule="auto" w:line="259" w:before="0" w:after="0"/>
              <w:ind w:hanging="0"/>
              <w:jc w:val="left"/>
              <w:rPr>
                <w:rFonts w:cs=""/>
                <w:kern w:val="0"/>
                <w:szCs w:val="22"/>
                <w:lang w:val="en-US" w:eastAsia="en-US" w:bidi="ar-SA"/>
              </w:rPr>
            </w:pPr>
            <w:r>
              <w:rPr>
                <w:rFonts w:eastAsia="宋体" w:cs=""/>
                <w:b w:val="false"/>
                <w:color w:val="202833"/>
                <w:kern w:val="0"/>
                <w:sz w:val="16"/>
                <w:szCs w:val="22"/>
                <w:lang w:val="en-US" w:eastAsia="en-US" w:bidi="ar-SA"/>
              </w:rPr>
              <w:t>ACM</w:t>
            </w:r>
            <w:r>
              <w:rPr>
                <w:rFonts w:ascii="Times New Roman" w:hAnsi="Times New Roman" w:cs=""/>
                <w:b w:val="false"/>
                <w:color w:val="202833"/>
                <w:kern w:val="0"/>
                <w:sz w:val="16"/>
                <w:szCs w:val="22"/>
                <w:lang w:val="en-US" w:eastAsia="en-US" w:bidi="ar-SA"/>
              </w:rPr>
              <w:t>同行评议研究</w:t>
            </w:r>
          </w:p>
        </w:tc>
        <w:tc>
          <w:tcPr>
            <w:tcW w:w="1882" w:type="dxa"/>
            <w:tcBorders/>
            <w:vAlign w:val="center"/>
          </w:tcPr>
          <w:p>
            <w:pPr>
              <w:pStyle w:val="Normal"/>
              <w:widowControl/>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6"/>
                <w:szCs w:val="22"/>
                <w:lang w:val="en-US" w:eastAsia="en-US" w:bidi="ar-SA"/>
              </w:rPr>
              <w:t>模型卡、数据表、数据卡</w:t>
            </w:r>
          </w:p>
        </w:tc>
        <w:tc>
          <w:tcPr>
            <w:tcW w:w="1882" w:type="dxa"/>
            <w:tcBorders/>
            <w:vAlign w:val="center"/>
          </w:tcPr>
          <w:p>
            <w:pPr>
              <w:pStyle w:val="Normal"/>
              <w:widowControl/>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6"/>
                <w:szCs w:val="22"/>
                <w:lang w:val="en-US" w:eastAsia="en-US" w:bidi="ar-SA"/>
              </w:rPr>
              <w:t>已发表论文</w:t>
            </w:r>
          </w:p>
        </w:tc>
        <w:tc>
          <w:tcPr>
            <w:tcW w:w="1882" w:type="dxa"/>
            <w:tcBorders/>
            <w:vAlign w:val="center"/>
          </w:tcPr>
          <w:p>
            <w:pPr>
              <w:pStyle w:val="Normal"/>
              <w:widowControl/>
              <w:spacing w:lineRule="auto" w:line="259" w:before="0" w:after="0"/>
              <w:ind w:hanging="0"/>
              <w:jc w:val="left"/>
              <w:rPr>
                <w:rFonts w:cs=""/>
                <w:kern w:val="0"/>
                <w:szCs w:val="22"/>
                <w:lang w:val="en-US" w:eastAsia="en-US" w:bidi="ar-SA"/>
              </w:rPr>
            </w:pPr>
            <w:r>
              <w:rPr>
                <w:rFonts w:eastAsia="宋体" w:cs=""/>
                <w:b w:val="false"/>
                <w:color w:val="202833"/>
                <w:kern w:val="0"/>
                <w:sz w:val="16"/>
                <w:szCs w:val="22"/>
                <w:lang w:val="en-US" w:eastAsia="en-US" w:bidi="ar-SA"/>
              </w:rPr>
              <w:t>C</w:t>
            </w:r>
            <w:r>
              <w:rPr>
                <w:rFonts w:ascii="Times New Roman" w:hAnsi="Times New Roman" w:cs=""/>
                <w:b w:val="false"/>
                <w:color w:val="202833"/>
                <w:kern w:val="0"/>
                <w:sz w:val="16"/>
                <w:szCs w:val="22"/>
                <w:lang w:val="en-US" w:eastAsia="en-US" w:bidi="ar-SA"/>
              </w:rPr>
              <w:t>：同行评议</w:t>
            </w:r>
          </w:p>
        </w:tc>
        <w:tc>
          <w:tcPr>
            <w:tcW w:w="1882" w:type="dxa"/>
            <w:tcBorders/>
            <w:vAlign w:val="center"/>
          </w:tcPr>
          <w:p>
            <w:pPr>
              <w:pStyle w:val="Normal"/>
              <w:widowControl/>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6"/>
                <w:szCs w:val="22"/>
                <w:lang w:val="en-US" w:eastAsia="en-US" w:bidi="ar-SA"/>
              </w:rPr>
              <w:t>对模型、证据数据和回归集做用途、限制和版本披露</w:t>
            </w:r>
          </w:p>
        </w:tc>
      </w:tr>
      <w:tr>
        <w:trPr>
          <w:cantSplit w:val="true"/>
        </w:trPr>
        <w:tc>
          <w:tcPr>
            <w:tcW w:w="1882" w:type="dxa"/>
            <w:tcBorders/>
            <w:shd w:fill="F5F7FA"/>
            <w:vAlign w:val="center"/>
          </w:tcPr>
          <w:p>
            <w:pPr>
              <w:pStyle w:val="Normal"/>
              <w:widowControl/>
              <w:spacing w:lineRule="auto" w:line="259" w:before="0" w:after="0"/>
              <w:ind w:hanging="0"/>
              <w:jc w:val="left"/>
              <w:rPr>
                <w:rFonts w:cs=""/>
                <w:kern w:val="0"/>
                <w:szCs w:val="22"/>
                <w:lang w:val="en-US" w:eastAsia="en-US" w:bidi="ar-SA"/>
              </w:rPr>
            </w:pPr>
            <w:r>
              <w:rPr>
                <w:rFonts w:eastAsia="宋体" w:cs=""/>
                <w:b w:val="false"/>
                <w:color w:val="202833"/>
                <w:kern w:val="0"/>
                <w:sz w:val="16"/>
                <w:szCs w:val="22"/>
                <w:lang w:val="en-US" w:eastAsia="en-US" w:bidi="ar-SA"/>
              </w:rPr>
              <w:t>ACL</w:t>
            </w:r>
            <w:r>
              <w:rPr>
                <w:rFonts w:ascii="Times New Roman" w:hAnsi="Times New Roman" w:cs=""/>
                <w:b w:val="false"/>
                <w:color w:val="202833"/>
                <w:kern w:val="0"/>
                <w:sz w:val="16"/>
                <w:szCs w:val="22"/>
                <w:lang w:val="en-US" w:eastAsia="en-US" w:bidi="ar-SA"/>
              </w:rPr>
              <w:t>同行评议研究</w:t>
            </w:r>
          </w:p>
        </w:tc>
        <w:tc>
          <w:tcPr>
            <w:tcW w:w="1882" w:type="dxa"/>
            <w:tcBorders/>
            <w:shd w:fill="F5F7FA"/>
            <w:vAlign w:val="center"/>
          </w:tcPr>
          <w:p>
            <w:pPr>
              <w:pStyle w:val="Normal"/>
              <w:widowControl/>
              <w:spacing w:lineRule="auto" w:line="259" w:before="0" w:after="0"/>
              <w:ind w:hanging="0"/>
              <w:jc w:val="left"/>
              <w:rPr>
                <w:rFonts w:cs=""/>
                <w:kern w:val="0"/>
                <w:szCs w:val="22"/>
                <w:lang w:val="en-US" w:eastAsia="en-US" w:bidi="ar-SA"/>
              </w:rPr>
            </w:pPr>
            <w:r>
              <w:rPr>
                <w:rFonts w:eastAsia="宋体" w:cs=""/>
                <w:b w:val="false"/>
                <w:color w:val="202833"/>
                <w:kern w:val="0"/>
                <w:sz w:val="16"/>
                <w:szCs w:val="22"/>
                <w:lang w:val="en-US" w:eastAsia="en-US" w:bidi="ar-SA"/>
              </w:rPr>
              <w:t>G-Eval</w:t>
            </w:r>
            <w:r>
              <w:rPr>
                <w:rFonts w:ascii="Times New Roman" w:hAnsi="Times New Roman" w:cs=""/>
                <w:b w:val="false"/>
                <w:color w:val="202833"/>
                <w:kern w:val="0"/>
                <w:sz w:val="16"/>
                <w:szCs w:val="22"/>
                <w:lang w:val="en-US" w:eastAsia="en-US" w:bidi="ar-SA"/>
              </w:rPr>
              <w:t>、</w:t>
            </w:r>
            <w:r>
              <w:rPr>
                <w:rFonts w:eastAsia="宋体" w:cs=""/>
                <w:b w:val="false"/>
                <w:color w:val="202833"/>
                <w:kern w:val="0"/>
                <w:sz w:val="16"/>
                <w:szCs w:val="22"/>
                <w:lang w:val="en-US" w:eastAsia="en-US" w:bidi="ar-SA"/>
              </w:rPr>
              <w:t>FActScore</w:t>
            </w:r>
            <w:r>
              <w:rPr>
                <w:rFonts w:ascii="Times New Roman" w:hAnsi="Times New Roman" w:cs=""/>
                <w:b w:val="false"/>
                <w:color w:val="202833"/>
                <w:kern w:val="0"/>
                <w:sz w:val="16"/>
                <w:szCs w:val="22"/>
                <w:lang w:val="en-US" w:eastAsia="en-US" w:bidi="ar-SA"/>
              </w:rPr>
              <w:t>、</w:t>
            </w:r>
            <w:r>
              <w:rPr>
                <w:rFonts w:eastAsia="宋体" w:cs=""/>
                <w:b w:val="false"/>
                <w:color w:val="202833"/>
                <w:kern w:val="0"/>
                <w:sz w:val="16"/>
                <w:szCs w:val="22"/>
                <w:lang w:val="en-US" w:eastAsia="en-US" w:bidi="ar-SA"/>
              </w:rPr>
              <w:t>SelfCheckGPT</w:t>
            </w:r>
            <w:r>
              <w:rPr>
                <w:rFonts w:ascii="Times New Roman" w:hAnsi="Times New Roman" w:cs=""/>
                <w:b w:val="false"/>
                <w:color w:val="202833"/>
                <w:kern w:val="0"/>
                <w:sz w:val="16"/>
                <w:szCs w:val="22"/>
                <w:lang w:val="en-US" w:eastAsia="en-US" w:bidi="ar-SA"/>
              </w:rPr>
              <w:t>、</w:t>
            </w:r>
            <w:r>
              <w:rPr>
                <w:rFonts w:eastAsia="宋体" w:cs=""/>
                <w:b w:val="false"/>
                <w:color w:val="202833"/>
                <w:kern w:val="0"/>
                <w:sz w:val="16"/>
                <w:szCs w:val="22"/>
                <w:lang w:val="en-US" w:eastAsia="en-US" w:bidi="ar-SA"/>
              </w:rPr>
              <w:t>RAGAS</w:t>
            </w:r>
            <w:r>
              <w:rPr>
                <w:rFonts w:ascii="Times New Roman" w:hAnsi="Times New Roman" w:cs=""/>
                <w:b w:val="false"/>
                <w:color w:val="202833"/>
                <w:kern w:val="0"/>
                <w:sz w:val="16"/>
                <w:szCs w:val="22"/>
                <w:lang w:val="en-US" w:eastAsia="en-US" w:bidi="ar-SA"/>
              </w:rPr>
              <w:t>及评审偏差研究</w:t>
            </w:r>
          </w:p>
        </w:tc>
        <w:tc>
          <w:tcPr>
            <w:tcW w:w="1882" w:type="dxa"/>
            <w:tcBorders/>
            <w:shd w:fill="F5F7FA"/>
            <w:vAlign w:val="center"/>
          </w:tcPr>
          <w:p>
            <w:pPr>
              <w:pStyle w:val="Normal"/>
              <w:widowControl/>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6"/>
                <w:szCs w:val="22"/>
                <w:lang w:val="en-US" w:eastAsia="en-US" w:bidi="ar-SA"/>
              </w:rPr>
              <w:t>已发表论文和演示论文</w:t>
            </w:r>
          </w:p>
        </w:tc>
        <w:tc>
          <w:tcPr>
            <w:tcW w:w="1882" w:type="dxa"/>
            <w:tcBorders/>
            <w:shd w:fill="F5F7FA"/>
            <w:vAlign w:val="center"/>
          </w:tcPr>
          <w:p>
            <w:pPr>
              <w:pStyle w:val="Normal"/>
              <w:widowControl/>
              <w:spacing w:lineRule="auto" w:line="259" w:before="0" w:after="0"/>
              <w:ind w:hanging="0"/>
              <w:jc w:val="left"/>
              <w:rPr>
                <w:rFonts w:cs=""/>
                <w:kern w:val="0"/>
                <w:szCs w:val="22"/>
                <w:lang w:val="en-US" w:eastAsia="en-US" w:bidi="ar-SA"/>
              </w:rPr>
            </w:pPr>
            <w:r>
              <w:rPr>
                <w:rFonts w:eastAsia="宋体" w:cs=""/>
                <w:b w:val="false"/>
                <w:color w:val="202833"/>
                <w:kern w:val="0"/>
                <w:sz w:val="16"/>
                <w:szCs w:val="22"/>
                <w:lang w:val="en-US" w:eastAsia="en-US" w:bidi="ar-SA"/>
              </w:rPr>
              <w:t>C</w:t>
            </w:r>
            <w:r>
              <w:rPr>
                <w:rFonts w:ascii="Times New Roman" w:hAnsi="Times New Roman" w:cs=""/>
                <w:b w:val="false"/>
                <w:color w:val="202833"/>
                <w:kern w:val="0"/>
                <w:sz w:val="16"/>
                <w:szCs w:val="22"/>
                <w:lang w:val="en-US" w:eastAsia="en-US" w:bidi="ar-SA"/>
              </w:rPr>
              <w:t>：同行评议</w:t>
            </w:r>
          </w:p>
        </w:tc>
        <w:tc>
          <w:tcPr>
            <w:tcW w:w="1882" w:type="dxa"/>
            <w:tcBorders/>
            <w:shd w:fill="F5F7FA"/>
            <w:vAlign w:val="center"/>
          </w:tcPr>
          <w:p>
            <w:pPr>
              <w:pStyle w:val="Normal"/>
              <w:widowControl/>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6"/>
                <w:szCs w:val="22"/>
                <w:lang w:val="en-US" w:eastAsia="en-US" w:bidi="ar-SA"/>
              </w:rPr>
              <w:t>采用原子结论与证据绑定；把模型评审偏差列入独立测试和人工复核</w:t>
            </w:r>
          </w:p>
        </w:tc>
      </w:tr>
    </w:tbl>
    <w:p>
      <w:pPr>
        <w:pStyle w:val="Normal"/>
        <w:spacing w:before="0" w:after="20"/>
        <w:rPr/>
      </w:pPr>
      <w:r>
        <w:rPr/>
      </w:r>
    </w:p>
    <w:p>
      <w:pPr>
        <w:pStyle w:val="Heading3"/>
        <w:ind w:hanging="0"/>
        <w:rPr/>
      </w:pPr>
      <w:r>
        <w:rPr>
          <w:rFonts w:eastAsia="宋体" w:ascii="Times New Roman" w:hAnsi="Times New Roman"/>
          <w:b/>
          <w:color w:val="202833"/>
          <w:sz w:val="24"/>
        </w:rPr>
        <w:t xml:space="preserve">1.2.3 </w:t>
      </w:r>
      <w:r>
        <w:rPr>
          <w:rFonts w:ascii="Times New Roman" w:hAnsi="Times New Roman" w:eastAsia="宋体"/>
          <w:b/>
          <w:color w:val="202833"/>
          <w:sz w:val="24"/>
        </w:rPr>
        <w:t>发展趋势</w:t>
      </w:r>
    </w:p>
    <w:p>
      <w:pPr>
        <w:pStyle w:val="Normal"/>
        <w:spacing w:before="0" w:after="40"/>
        <w:ind w:hanging="312" w:left="442"/>
        <w:rPr/>
      </w:pPr>
      <w:r>
        <w:rPr>
          <w:rFonts w:eastAsia="黑体"/>
          <w:b/>
          <w:color w:val="1F4E78"/>
          <w:sz w:val="21"/>
        </w:rPr>
        <w:t xml:space="preserve">1.  </w:t>
      </w:r>
      <w:r>
        <w:rPr>
          <w:rFonts w:ascii="Times New Roman" w:hAnsi="Times New Roman"/>
          <w:b/>
          <w:color w:val="202833"/>
          <w:sz w:val="21"/>
        </w:rPr>
        <w:t>从通用榜单转向任务化评测。</w:t>
      </w:r>
      <w:r>
        <w:rPr>
          <w:rFonts w:ascii="Times New Roman" w:hAnsi="Times New Roman"/>
          <w:b w:val="false"/>
          <w:color w:val="202833"/>
          <w:sz w:val="21"/>
        </w:rPr>
        <w:t xml:space="preserve"> 通用能力分数不能代表工程日志摘要、失败分类和事实复制能力。固定任务集、分层指标、版本回归和适用边界将成为主要验收方式</w:t>
      </w:r>
      <w:r>
        <w:rPr>
          <w:rFonts w:eastAsia="宋体"/>
          <w:b w:val="false"/>
          <w:color w:val="202833"/>
          <w:sz w:val="21"/>
        </w:rPr>
        <w:t>[3][21]</w:t>
      </w:r>
      <w:r>
        <w:rPr>
          <w:rFonts w:ascii="Times New Roman" w:hAnsi="Times New Roman"/>
          <w:b w:val="false"/>
          <w:color w:val="202833"/>
          <w:sz w:val="21"/>
        </w:rPr>
        <w:t>。</w:t>
      </w:r>
    </w:p>
    <w:p>
      <w:pPr>
        <w:pStyle w:val="Normal"/>
        <w:spacing w:before="0" w:after="40"/>
        <w:ind w:hanging="312" w:left="442"/>
        <w:rPr/>
      </w:pPr>
      <w:r>
        <w:rPr>
          <w:rFonts w:eastAsia="黑体"/>
          <w:b/>
          <w:color w:val="1F4E78"/>
          <w:sz w:val="21"/>
        </w:rPr>
        <w:t xml:space="preserve">2.  </w:t>
      </w:r>
      <w:r>
        <w:rPr>
          <w:rFonts w:ascii="Times New Roman" w:hAnsi="Times New Roman"/>
          <w:b/>
          <w:color w:val="202833"/>
          <w:sz w:val="21"/>
        </w:rPr>
        <w:t>从结果文本转向证据链。</w:t>
      </w:r>
      <w:r>
        <w:rPr>
          <w:rFonts w:ascii="Times New Roman" w:hAnsi="Times New Roman"/>
          <w:b w:val="false"/>
          <w:color w:val="202833"/>
          <w:sz w:val="21"/>
        </w:rPr>
        <w:t xml:space="preserve"> 模型卡、数据卡、日志规范和法规要求共同推动“输入来源—处理版本—指标—结论—责任人”全链路记录</w:t>
      </w:r>
      <w:r>
        <w:rPr>
          <w:rFonts w:eastAsia="宋体"/>
          <w:b w:val="false"/>
          <w:color w:val="202833"/>
          <w:sz w:val="21"/>
        </w:rPr>
        <w:t>[15-20]</w:t>
      </w:r>
      <w:r>
        <w:rPr>
          <w:rFonts w:ascii="Times New Roman" w:hAnsi="Times New Roman"/>
          <w:b w:val="false"/>
          <w:color w:val="202833"/>
          <w:sz w:val="21"/>
        </w:rPr>
        <w:t>。</w:t>
      </w:r>
    </w:p>
    <w:p>
      <w:pPr>
        <w:pStyle w:val="Normal"/>
        <w:spacing w:before="0" w:after="40"/>
        <w:ind w:hanging="312" w:left="442"/>
        <w:rPr/>
      </w:pPr>
      <w:r>
        <w:rPr>
          <w:rFonts w:eastAsia="黑体"/>
          <w:b/>
          <w:color w:val="1F4E78"/>
          <w:sz w:val="21"/>
        </w:rPr>
        <w:t xml:space="preserve">3.  </w:t>
      </w:r>
      <w:r>
        <w:rPr>
          <w:rFonts w:ascii="Times New Roman" w:hAnsi="Times New Roman"/>
          <w:b/>
          <w:color w:val="202833"/>
          <w:sz w:val="21"/>
        </w:rPr>
        <w:t>从自由生成转向受约束生成。</w:t>
      </w:r>
      <w:r>
        <w:rPr>
          <w:rFonts w:ascii="Times New Roman" w:hAnsi="Times New Roman"/>
          <w:b w:val="false"/>
          <w:color w:val="202833"/>
          <w:sz w:val="21"/>
        </w:rPr>
        <w:t xml:space="preserve"> 结构化输出、原子事实、证据检索和后置校验用于限制虚构；大模型只负责解释，数值和判据由程序锁定</w:t>
      </w:r>
      <w:r>
        <w:rPr>
          <w:rFonts w:eastAsia="宋体"/>
          <w:b w:val="false"/>
          <w:color w:val="202833"/>
          <w:sz w:val="21"/>
        </w:rPr>
        <w:t>[22-25]</w:t>
      </w:r>
      <w:r>
        <w:rPr>
          <w:rFonts w:ascii="Times New Roman" w:hAnsi="Times New Roman"/>
          <w:b w:val="false"/>
          <w:color w:val="202833"/>
          <w:sz w:val="21"/>
        </w:rPr>
        <w:t>。</w:t>
      </w:r>
    </w:p>
    <w:p>
      <w:pPr>
        <w:pStyle w:val="Normal"/>
        <w:spacing w:before="0" w:after="40"/>
        <w:ind w:hanging="312" w:left="442"/>
        <w:rPr/>
      </w:pPr>
      <w:r>
        <w:rPr>
          <w:rFonts w:eastAsia="黑体"/>
          <w:b/>
          <w:color w:val="1F4E78"/>
          <w:sz w:val="21"/>
        </w:rPr>
        <w:t xml:space="preserve">4.  </w:t>
      </w:r>
      <w:r>
        <w:rPr>
          <w:rFonts w:ascii="Times New Roman" w:hAnsi="Times New Roman"/>
          <w:b/>
          <w:color w:val="202833"/>
          <w:sz w:val="21"/>
        </w:rPr>
        <w:t>从单次模型验收到持续治理。</w:t>
      </w:r>
      <w:r>
        <w:rPr>
          <w:rFonts w:ascii="Times New Roman" w:hAnsi="Times New Roman"/>
          <w:b w:val="false"/>
          <w:color w:val="202833"/>
          <w:sz w:val="21"/>
        </w:rPr>
        <w:t xml:space="preserve"> 模型权重、量化方式、推理框架、提示词、证据模式或失败词表变化，都需要触发固定回归集复测</w:t>
      </w:r>
      <w:r>
        <w:rPr>
          <w:rFonts w:eastAsia="宋体"/>
          <w:b w:val="false"/>
          <w:color w:val="202833"/>
          <w:sz w:val="21"/>
        </w:rPr>
        <w:t>[4][9-14]</w:t>
      </w:r>
      <w:r>
        <w:rPr>
          <w:rFonts w:ascii="Times New Roman" w:hAnsi="Times New Roman"/>
          <w:b w:val="false"/>
          <w:color w:val="202833"/>
          <w:sz w:val="21"/>
        </w:rPr>
        <w:t>。</w:t>
      </w:r>
    </w:p>
    <w:p>
      <w:pPr>
        <w:pStyle w:val="Normal"/>
        <w:spacing w:before="0" w:after="40"/>
        <w:ind w:hanging="312" w:left="442"/>
        <w:rPr/>
      </w:pPr>
      <w:r>
        <w:rPr>
          <w:rFonts w:eastAsia="黑体"/>
          <w:b/>
          <w:color w:val="1F4E78"/>
          <w:sz w:val="21"/>
        </w:rPr>
        <w:t xml:space="preserve">5.  </w:t>
      </w:r>
      <w:r>
        <w:rPr>
          <w:rFonts w:ascii="Times New Roman" w:hAnsi="Times New Roman"/>
          <w:b/>
          <w:color w:val="202833"/>
          <w:sz w:val="21"/>
        </w:rPr>
        <w:t>从单模型判断转向人机分工。</w:t>
      </w:r>
      <w:r>
        <w:rPr>
          <w:rFonts w:ascii="Times New Roman" w:hAnsi="Times New Roman"/>
          <w:b w:val="false"/>
          <w:color w:val="202833"/>
          <w:sz w:val="21"/>
        </w:rPr>
        <w:t xml:space="preserve"> 大模型评审存在偏差，模型自检也不等于外部证据核验。关键结论将保留人工签发和失败回退</w:t>
      </w:r>
      <w:r>
        <w:rPr>
          <w:rFonts w:eastAsia="宋体"/>
          <w:b w:val="false"/>
          <w:color w:val="202833"/>
          <w:sz w:val="21"/>
        </w:rPr>
        <w:t>[22][24][26]</w:t>
      </w:r>
      <w:r>
        <w:rPr>
          <w:rFonts w:ascii="Times New Roman" w:hAnsi="Times New Roman"/>
          <w:b w:val="false"/>
          <w:color w:val="202833"/>
          <w:sz w:val="21"/>
        </w:rPr>
        <w:t>。</w:t>
      </w:r>
    </w:p>
    <w:p>
      <w:pPr>
        <w:pStyle w:val="Normal"/>
        <w:spacing w:before="0" w:after="40"/>
        <w:ind w:hanging="312" w:left="442"/>
        <w:rPr/>
      </w:pPr>
      <w:r>
        <w:rPr>
          <w:rFonts w:eastAsia="黑体"/>
          <w:b/>
          <w:color w:val="1F4E78"/>
          <w:sz w:val="21"/>
        </w:rPr>
        <w:t xml:space="preserve">6.  </w:t>
      </w:r>
      <w:r>
        <w:rPr>
          <w:rFonts w:ascii="Times New Roman" w:hAnsi="Times New Roman"/>
          <w:b/>
          <w:color w:val="202833"/>
          <w:sz w:val="21"/>
        </w:rPr>
        <w:t>敏感数据场景更重视本地化。</w:t>
      </w:r>
      <w:r>
        <w:rPr>
          <w:rFonts w:ascii="Times New Roman" w:hAnsi="Times New Roman"/>
          <w:b w:val="false"/>
          <w:color w:val="202833"/>
          <w:sz w:val="21"/>
        </w:rPr>
        <w:t xml:space="preserve"> 本地部署能够减少数据出域面，但不能自动解决模型许可、供应链、显存、能耗和推理时延问题；这些成本需要在最终硬件与模型上实测。</w:t>
      </w:r>
    </w:p>
    <w:p>
      <w:pPr>
        <w:pStyle w:val="Heading3"/>
        <w:ind w:hanging="0"/>
        <w:rPr/>
      </w:pPr>
      <w:r>
        <w:rPr>
          <w:rFonts w:eastAsia="宋体" w:ascii="Times New Roman" w:hAnsi="Times New Roman"/>
          <w:b/>
          <w:color w:val="202833"/>
          <w:sz w:val="24"/>
        </w:rPr>
        <w:t xml:space="preserve">1.2.4 </w:t>
      </w:r>
      <w:r>
        <w:rPr>
          <w:rFonts w:ascii="Times New Roman" w:hAnsi="Times New Roman" w:eastAsia="宋体"/>
          <w:b/>
          <w:color w:val="202833"/>
          <w:sz w:val="24"/>
        </w:rPr>
        <w:t>现有不足</w:t>
      </w:r>
    </w:p>
    <w:p>
      <w:pPr>
        <w:pStyle w:val="Normal"/>
        <w:widowControl/>
        <w:rPr/>
      </w:pPr>
      <w:r>
        <w:rPr>
          <w:rFonts w:ascii="Times New Roman" w:hAnsi="Times New Roman"/>
          <w:b w:val="false"/>
          <w:color w:val="202833"/>
          <w:sz w:val="22"/>
        </w:rPr>
        <w:t>现有国内外标准为评测、风险、文档和日志治理提供了框架，同行评议研究提供了事实一致性和自动评审方法，但尚无公开方案直接满足本项目的全部约束：只读取多模块离线证据；保持</w:t>
      </w:r>
      <w:r>
        <w:rPr>
          <w:rFonts w:eastAsia="宋体"/>
          <w:b w:val="false"/>
          <w:color w:val="202833"/>
          <w:sz w:val="22"/>
        </w:rPr>
        <w:t>D6</w:t>
      </w:r>
      <w:r>
        <w:rPr>
          <w:rFonts w:ascii="Times New Roman" w:hAnsi="Times New Roman"/>
          <w:b w:val="false"/>
          <w:color w:val="202833"/>
          <w:sz w:val="22"/>
        </w:rPr>
        <w:t>数值权威；区分证据缺失与显式零；按实验、随机种子、实际资源</w:t>
      </w:r>
      <w:r>
        <w:rPr>
          <w:rFonts w:eastAsia="宋体"/>
          <w:b w:val="false"/>
          <w:color w:val="202833"/>
          <w:sz w:val="22"/>
        </w:rPr>
        <w:t>/</w:t>
      </w:r>
      <w:r>
        <w:rPr>
          <w:rFonts w:ascii="Times New Roman" w:hAnsi="Times New Roman"/>
          <w:b w:val="false"/>
          <w:color w:val="202833"/>
          <w:sz w:val="22"/>
        </w:rPr>
        <w:t>目标规模和模型版本追溯；在隔离环境内生成中文报告；失败时不影响确定性评估；场景建议不进入任务发布和飞行控制。该缺口需要通过领域数据合同、确定性验证器和本地模型工程共同解决。</w:t>
      </w:r>
    </w:p>
    <w:p>
      <w:pPr>
        <w:pStyle w:val="Heading2"/>
        <w:ind w:hanging="0"/>
        <w:rPr/>
      </w:pPr>
      <w:r>
        <w:rPr>
          <w:rFonts w:eastAsia="宋体" w:ascii="Times New Roman" w:hAnsi="Times New Roman"/>
          <w:b/>
          <w:color w:val="176B73"/>
          <w:sz w:val="28"/>
        </w:rPr>
        <w:t xml:space="preserve">1.3 </w:t>
      </w:r>
      <w:r>
        <w:rPr>
          <w:rFonts w:ascii="Times New Roman" w:hAnsi="Times New Roman" w:eastAsia="宋体"/>
          <w:b/>
          <w:color w:val="176B73"/>
          <w:sz w:val="28"/>
        </w:rPr>
        <w:t>项目紧迫需求</w:t>
      </w:r>
    </w:p>
    <w:p>
      <w:pPr>
        <w:pStyle w:val="Heading3"/>
        <w:ind w:hanging="0"/>
        <w:rPr/>
      </w:pPr>
      <w:r>
        <w:rPr>
          <w:rFonts w:eastAsia="宋体" w:ascii="Times New Roman" w:hAnsi="Times New Roman"/>
          <w:b/>
          <w:color w:val="202833"/>
          <w:sz w:val="24"/>
        </w:rPr>
        <w:t xml:space="preserve">1.3.1 </w:t>
      </w:r>
      <w:r>
        <w:rPr>
          <w:rFonts w:ascii="Times New Roman" w:hAnsi="Times New Roman" w:eastAsia="宋体"/>
          <w:b/>
          <w:color w:val="202833"/>
          <w:sz w:val="24"/>
        </w:rPr>
        <w:t>批量证据治理与可信报告</w:t>
      </w:r>
    </w:p>
    <w:p>
      <w:pPr>
        <w:pStyle w:val="Normal"/>
        <w:widowControl/>
        <w:rPr/>
      </w:pPr>
      <w:r>
        <w:rPr>
          <w:rFonts w:ascii="Times New Roman" w:hAnsi="Times New Roman"/>
          <w:b w:val="false"/>
          <w:color w:val="202833"/>
          <w:sz w:val="22"/>
        </w:rPr>
        <w:t>多场景、多随机种子和多日志源已经形成数量持续增加的离线记录，各来源的采样粒度、统计分母、时间范围和可用性状态并不相同。现有确定性程序能够计算正式指标并输出基础报告，但批量证据整理仍较多依赖人工查找、复制和对照；一旦跨批次比较，容易混用不同</w:t>
      </w:r>
      <w:r>
        <w:rPr>
          <w:rFonts w:eastAsia="宋体"/>
          <w:b w:val="false"/>
          <w:color w:val="202833"/>
          <w:sz w:val="22"/>
        </w:rPr>
        <w:t>episode</w:t>
      </w:r>
      <w:r>
        <w:rPr>
          <w:rFonts w:ascii="Times New Roman" w:hAnsi="Times New Roman"/>
          <w:b w:val="false"/>
          <w:color w:val="202833"/>
          <w:sz w:val="22"/>
        </w:rPr>
        <w:t>的实验范围、候选配置、失败分母或图表版本。探测、跟踪、分配、降级、末端配准、导引和系统故障又分散在不同记录中，缺少统一入口时，长时间线和跨模块关系难以稳定复核，报告整理成本会随批次数量增长，已成为近期试验扩展和持续评估的直接约束。</w:t>
      </w:r>
    </w:p>
    <w:p>
      <w:pPr>
        <w:pStyle w:val="Normal"/>
        <w:widowControl/>
        <w:rPr/>
      </w:pPr>
      <w:r>
        <w:rPr>
          <w:rFonts w:ascii="Times New Roman" w:hAnsi="Times New Roman"/>
          <w:b w:val="false"/>
          <w:color w:val="202833"/>
          <w:sz w:val="22"/>
        </w:rPr>
        <w:t>近期必须形成从只追加原始日志、</w:t>
      </w:r>
      <w:r>
        <w:rPr>
          <w:rFonts w:eastAsia="宋体"/>
          <w:b w:val="false"/>
          <w:color w:val="202833"/>
          <w:sz w:val="22"/>
        </w:rPr>
        <w:t>D6</w:t>
      </w:r>
      <w:r>
        <w:rPr>
          <w:rFonts w:ascii="Times New Roman" w:hAnsi="Times New Roman"/>
          <w:b w:val="false"/>
          <w:color w:val="202833"/>
          <w:sz w:val="22"/>
        </w:rPr>
        <w:t>确定性指标、配置和图表到原子结论的可核验证据链，并使证据包能够按实验、对象、时间范围和版本稳定重建。正式指标中的显式零、不可用、部分可用和来源优先级必须由确定性规则保留；大模型只能读取只读证据、辅助摘要和解释，不能补算数值、修改单位和分母，也不能把“无证据”表述为“未发生”。工程交付应包括模式校验、哈希索引、证据编号、数值锁定、引用校验和失败回退，使每项结果判断能够回到对应证据。该能力只提升离线评估和报告编制的可复核性，不证明上游日志真实，不替代人工签发，也不把仿真结果外推为实装或外场性能。</w:t>
      </w:r>
    </w:p>
    <w:p>
      <w:pPr>
        <w:pStyle w:val="Heading3"/>
        <w:ind w:hanging="0"/>
        <w:rPr/>
      </w:pPr>
      <w:r>
        <w:rPr>
          <w:rFonts w:eastAsia="宋体" w:ascii="Times New Roman" w:hAnsi="Times New Roman"/>
          <w:b/>
          <w:color w:val="202833"/>
          <w:sz w:val="24"/>
        </w:rPr>
        <w:t xml:space="preserve">1.3.2 </w:t>
      </w:r>
      <w:r>
        <w:rPr>
          <w:rFonts w:ascii="Times New Roman" w:hAnsi="Times New Roman" w:eastAsia="宋体"/>
          <w:b/>
          <w:color w:val="202833"/>
          <w:sz w:val="24"/>
        </w:rPr>
        <w:t>失败语义、版本追溯与工程成本</w:t>
      </w:r>
    </w:p>
    <w:p>
      <w:pPr>
        <w:pStyle w:val="Normal"/>
        <w:widowControl/>
        <w:rPr/>
      </w:pPr>
      <w:r>
        <w:rPr>
          <w:rFonts w:ascii="Times New Roman" w:hAnsi="Times New Roman"/>
          <w:b w:val="false"/>
          <w:color w:val="202833"/>
          <w:sz w:val="22"/>
        </w:rPr>
        <w:t>当前失败现象横跨多个模块，同一现象可能因记录来源和分析人员不同而使用不同名称，相近时间发生的事件也容易被直接写成确定因果。缺少统一的一级类别、可扩展二级词表和证据不足状态，会使跨场景趋势失去可比性，少数类故障被高频类别掩盖，后续回归样本也无法按稳定标签组织。与此同时，模型权重、量化文件、推理框架、提示词、失败词表和报告模板均会影响分类与表述；若这些版本未随结果登记，同一证据包在升级前后的差异将难以解释，错误版本也无法可靠退出或回退。</w:t>
      </w:r>
    </w:p>
    <w:p>
      <w:pPr>
        <w:pStyle w:val="Normal"/>
        <w:widowControl/>
        <w:rPr/>
      </w:pPr>
      <w:r>
        <w:rPr>
          <w:rFonts w:ascii="Times New Roman" w:hAnsi="Times New Roman"/>
          <w:b w:val="false"/>
          <w:color w:val="202833"/>
          <w:sz w:val="22"/>
        </w:rPr>
        <w:t>近期需要把失败分类、因果强度和版本治理纳入同一审计链：规则负责确定事件码、硬门限和一级类别，大模型只辅助跨模块二级说明，并明确区分已确认、疑似、证据不足和冲突。每次分析必须绑定模型及其量化、推理框架、提示词、词表、模板、证据模式和硬件版本，任何关键变化均触发固定回归集复测。由于本地部署还受显存、主存、存储、能耗、报告时延和设备折旧约束，需尽早在冻结硬件和真实任务输入上建立质量、时延与单位成本基线。公开榜单、模型说明或量化论文只能用于候选筛选，不能代替本机实测，也不能据此给出未经验证的性能结论。</w:t>
      </w:r>
    </w:p>
    <w:p>
      <w:pPr>
        <w:pStyle w:val="Heading3"/>
        <w:ind w:hanging="0"/>
        <w:rPr/>
      </w:pPr>
      <w:r>
        <w:rPr>
          <w:rFonts w:eastAsia="宋体" w:ascii="Times New Roman" w:hAnsi="Times New Roman"/>
          <w:b/>
          <w:color w:val="202833"/>
          <w:sz w:val="24"/>
        </w:rPr>
        <w:t xml:space="preserve">1.3.3 </w:t>
      </w:r>
      <w:r>
        <w:rPr>
          <w:rFonts w:ascii="Times New Roman" w:hAnsi="Times New Roman" w:eastAsia="宋体"/>
          <w:b/>
          <w:color w:val="202833"/>
          <w:sz w:val="24"/>
        </w:rPr>
        <w:t>数据不出域与在线安全隔离</w:t>
      </w:r>
    </w:p>
    <w:p>
      <w:pPr>
        <w:pStyle w:val="Normal"/>
        <w:widowControl/>
        <w:rPr/>
      </w:pPr>
      <w:r>
        <w:rPr>
          <w:rFonts w:ascii="Times New Roman" w:hAnsi="Times New Roman"/>
          <w:b w:val="false"/>
          <w:color w:val="202833"/>
          <w:sz w:val="22"/>
        </w:rPr>
        <w:t>离线评估证据可能包含场景参数、运行配置、目标状态、失败模式和系统缺陷，云端模型或外部检索接口会增加数据出域、第三方服务变化、供应链和审计依赖。仅声明“本地部署”仍不足以构成安全边界：日志中的指令样文本可能形成提示注入，模型进程若具有任意文件、工具或网络权限，也可能读取非授权数据或产生越权输出。辅助分析一旦能够触达任务发布、在线消息总线或飞行控制接口，就会从可回退的离线工具变成新的在线入口，其故障后果和责任范围均超出本项目定位。</w:t>
      </w:r>
    </w:p>
    <w:p>
      <w:pPr>
        <w:pStyle w:val="Normal"/>
        <w:widowControl/>
        <w:rPr/>
      </w:pPr>
      <w:r>
        <w:rPr>
          <w:rFonts w:ascii="Times New Roman" w:hAnsi="Times New Roman"/>
          <w:b w:val="false"/>
          <w:color w:val="202833"/>
          <w:sz w:val="22"/>
        </w:rPr>
        <w:t>近期必须形成模型、知识库、遥测和报告均不出隔离环境的部署能力，并在网络、进程权限、文件权限和接口清单四个层面验证隔离。模型服务只读已登记证据包，只向独立目录写入结构化分析；外部网络、工具调用、任意代码执行和控制端点应保持不可达。场景建议只能在白名单、参数范围、时间关系和物理可达性校验后进入人工待审的离线候选目录，不自动启动试验，不形成在线命令。该边界不连接任务发布、在线总线和飞行控制，不修改全局目标编号；模型超时、输出不合法或安全校验失败时，应回退到确定性模板并保留审计记录，不能阻断既有确定性评估。</w:t>
      </w:r>
    </w:p>
    <w:p>
      <w:pPr>
        <w:pStyle w:val="Heading1"/>
        <w:ind w:hanging="0"/>
        <w:rPr/>
      </w:pPr>
      <w:r>
        <w:rPr>
          <w:rFonts w:eastAsia="宋体" w:ascii="Times New Roman" w:hAnsi="Times New Roman"/>
          <w:b/>
          <w:color w:val="1F4E78"/>
          <w:sz w:val="32"/>
        </w:rPr>
        <w:t xml:space="preserve">2 </w:t>
      </w:r>
      <w:r>
        <w:rPr>
          <w:rFonts w:ascii="Times New Roman" w:hAnsi="Times New Roman" w:eastAsia="宋体"/>
          <w:b/>
          <w:color w:val="1F4E78"/>
          <w:sz w:val="32"/>
        </w:rPr>
        <w:t>研究目标与指标</w:t>
      </w:r>
    </w:p>
    <w:p>
      <w:pPr>
        <w:pStyle w:val="Heading2"/>
        <w:ind w:hanging="0"/>
        <w:rPr/>
      </w:pPr>
      <w:r>
        <w:rPr>
          <w:rFonts w:eastAsia="宋体" w:ascii="Times New Roman" w:hAnsi="Times New Roman"/>
          <w:b/>
          <w:color w:val="176B73"/>
          <w:sz w:val="28"/>
        </w:rPr>
        <w:t xml:space="preserve">2.1 </w:t>
      </w:r>
      <w:r>
        <w:rPr>
          <w:rFonts w:ascii="Times New Roman" w:hAnsi="Times New Roman" w:eastAsia="宋体"/>
          <w:b/>
          <w:color w:val="176B73"/>
          <w:sz w:val="28"/>
        </w:rPr>
        <w:t>研究目标</w:t>
      </w:r>
    </w:p>
    <w:p>
      <w:pPr>
        <w:pStyle w:val="Heading3"/>
        <w:ind w:hanging="0"/>
        <w:rPr/>
      </w:pPr>
      <w:r>
        <w:rPr>
          <w:rFonts w:eastAsia="宋体" w:ascii="Times New Roman" w:hAnsi="Times New Roman"/>
          <w:b/>
          <w:color w:val="202833"/>
          <w:sz w:val="24"/>
        </w:rPr>
        <w:t xml:space="preserve">2.1.1 </w:t>
      </w:r>
      <w:r>
        <w:rPr>
          <w:rFonts w:ascii="Times New Roman" w:hAnsi="Times New Roman" w:eastAsia="宋体"/>
          <w:b/>
          <w:color w:val="202833"/>
          <w:sz w:val="24"/>
        </w:rPr>
        <w:t>关键问题</w:t>
      </w:r>
    </w:p>
    <w:p>
      <w:pPr>
        <w:pStyle w:val="Heading4"/>
        <w:ind w:hanging="0"/>
        <w:rPr/>
      </w:pPr>
      <w:r>
        <w:rPr>
          <w:rFonts w:ascii="Times New Roman" w:hAnsi="Times New Roman" w:eastAsia="宋体"/>
          <w:b/>
          <w:color w:val="202833"/>
          <w:sz w:val="22"/>
        </w:rPr>
        <w:t>关键问题一 证据包与指标权限分离</w:t>
      </w:r>
    </w:p>
    <w:p>
      <w:pPr>
        <w:pStyle w:val="Normal"/>
        <w:widowControl/>
        <w:rPr/>
      </w:pPr>
      <w:r>
        <w:rPr>
          <w:rFonts w:ascii="Times New Roman" w:hAnsi="Times New Roman"/>
          <w:b w:val="false"/>
          <w:color w:val="202833"/>
          <w:sz w:val="22"/>
        </w:rPr>
        <w:t>多模块原始日志、</w:t>
      </w:r>
      <w:r>
        <w:rPr>
          <w:rFonts w:eastAsia="宋体"/>
          <w:b w:val="false"/>
          <w:color w:val="202833"/>
          <w:sz w:val="22"/>
        </w:rPr>
        <w:t>D6</w:t>
      </w:r>
      <w:r>
        <w:rPr>
          <w:rFonts w:ascii="Times New Roman" w:hAnsi="Times New Roman"/>
          <w:b w:val="false"/>
          <w:color w:val="202833"/>
          <w:sz w:val="22"/>
        </w:rPr>
        <w:t>确定性指标、配置和图表具有不同模式、时间粒度、生产者和可用性语义，直接交给大模型会同时引入上下文超限、实验范围串包和证据定位不稳定的问题。现有基础能够生成类型化记录和确定性指标，但统一的只追加登记、证据包模式、哈希清单和原子证据索引尚未形成完整工程闭环，大模型层仍未实现。关键机理在于证据压缩必须减少输入体量而不改变支持结论所需的对象、时间窗、分母和状态；文件哈希只能证明登记后的内容一致，不能证明生产者输出真实，因而还必须保留生产者、模式版本和时间范围等上游审计信息。</w:t>
      </w:r>
    </w:p>
    <w:p>
      <w:pPr>
        <w:pStyle w:val="Normal"/>
        <w:widowControl/>
        <w:rPr/>
      </w:pPr>
      <w:r>
        <w:rPr>
          <w:rFonts w:ascii="Times New Roman" w:hAnsi="Times New Roman"/>
          <w:b w:val="false"/>
          <w:color w:val="202833"/>
          <w:sz w:val="22"/>
        </w:rPr>
        <w:t>跨模块约束要求</w:t>
      </w:r>
      <w:r>
        <w:rPr>
          <w:rFonts w:eastAsia="宋体"/>
          <w:b w:val="false"/>
          <w:color w:val="202833"/>
          <w:sz w:val="22"/>
        </w:rPr>
        <w:t>D6</w:t>
      </w:r>
      <w:r>
        <w:rPr>
          <w:rFonts w:ascii="Times New Roman" w:hAnsi="Times New Roman"/>
          <w:b w:val="false"/>
          <w:color w:val="202833"/>
          <w:sz w:val="22"/>
        </w:rPr>
        <w:t>继续作为正式指标唯一来源，大模型不得计算指标、改写数字、单位和分母，也不得把不可用或证据缺失转换为零。每个结果性原子结论需要绑定正确的</w:t>
      </w:r>
      <w:r>
        <w:rPr>
          <w:rFonts w:eastAsia="宋体"/>
          <w:b w:val="false"/>
          <w:color w:val="202833"/>
          <w:sz w:val="22"/>
        </w:rPr>
        <w:t>episode</w:t>
      </w:r>
      <w:r>
        <w:rPr>
          <w:rFonts w:ascii="Times New Roman" w:hAnsi="Times New Roman"/>
          <w:b w:val="false"/>
          <w:color w:val="202833"/>
          <w:sz w:val="22"/>
        </w:rPr>
        <w:t>、对象、证据编号、时间范围和可用性，图表与配置差异也应纳入同一血缘。问题的可判定边界是：合法证据包能够稳定重建并通过模式、哈希、范围和引用校验；篡改、缺项、版本冲突或跨实验拼接能够被拒绝；报告中的正式数值均可回指</w:t>
      </w:r>
      <w:r>
        <w:rPr>
          <w:rFonts w:eastAsia="宋体"/>
          <w:b w:val="false"/>
          <w:color w:val="202833"/>
          <w:sz w:val="22"/>
        </w:rPr>
        <w:t>D6</w:t>
      </w:r>
      <w:r>
        <w:rPr>
          <w:rFonts w:ascii="Times New Roman" w:hAnsi="Times New Roman"/>
          <w:b w:val="false"/>
          <w:color w:val="202833"/>
          <w:sz w:val="22"/>
        </w:rPr>
        <w:t>源值且没有模型计算值进入结果。证据包不可用或数值锁定失败时只能停止模型分析并回退确定性报告，不能通过生成文本补齐缺失证据。</w:t>
      </w:r>
    </w:p>
    <w:p>
      <w:pPr>
        <w:pStyle w:val="Heading4"/>
        <w:ind w:hanging="0"/>
        <w:rPr/>
      </w:pPr>
      <w:r>
        <w:rPr>
          <w:rFonts w:ascii="Times New Roman" w:hAnsi="Times New Roman" w:eastAsia="宋体"/>
          <w:b/>
          <w:color w:val="202833"/>
          <w:sz w:val="22"/>
        </w:rPr>
        <w:t>关键问题二 失败语义与因果边界</w:t>
      </w:r>
    </w:p>
    <w:p>
      <w:pPr>
        <w:pStyle w:val="Normal"/>
        <w:widowControl/>
        <w:rPr/>
      </w:pPr>
      <w:r>
        <w:rPr>
          <w:rFonts w:ascii="Times New Roman" w:hAnsi="Times New Roman"/>
          <w:b w:val="false"/>
          <w:color w:val="202833"/>
          <w:sz w:val="22"/>
        </w:rPr>
        <w:t>探测、跟踪、分配、降级、末端配准、导引和系统故障形成跨模块事件链，不同故障可能产生相近的时间序列，同一故障也可能因日志缺失而只留下局部现象。现有人工表述容易出现同义异名、相关性被写成因果、未知故障被强行归入已有类别等不足；单纯依靠模型自检或多次生成一致性，不能证明结论受到外部证据支持。问题机理是一级硬事件、二级原因和因果状态具有不同判定权限，若不先冻结事件码、规则门限和证据要求，语言模型的流畅表述会掩盖类别漂移和事实支持不足。</w:t>
      </w:r>
    </w:p>
    <w:p>
      <w:pPr>
        <w:pStyle w:val="Normal"/>
        <w:widowControl/>
        <w:rPr/>
      </w:pPr>
      <w:r>
        <w:rPr>
          <w:rFonts w:ascii="Times New Roman" w:hAnsi="Times New Roman"/>
          <w:b w:val="false"/>
          <w:color w:val="202833"/>
          <w:sz w:val="22"/>
        </w:rPr>
        <w:t>跨模块分类必须保留七类一级失败及未知二级类，并遵守各模块的对象、计划版本、状态和权限合同；例如时间相邻不能单独证明网络故障、模式切换不能证明物理拦截成功、目标交叉不能替代显式身份交换证据。规则应承担一级确定分类，大模型只辅助二级关系和报告说明，因果状态明确区分已确认、疑似、证据不足和冲突。可判定边界由冻结金标、事件规则、原子事实支持检查和人工仲裁共同给出：有冻结判据或人工结论才允许确认因果，引用存在但范围或语义不支持仍判为不通过，新类别和冲突证据只能进入未知、证据不足或待复核，不能外推为系统未发生事件。</w:t>
      </w:r>
    </w:p>
    <w:p>
      <w:pPr>
        <w:pStyle w:val="Heading4"/>
        <w:ind w:hanging="0"/>
        <w:rPr/>
      </w:pPr>
      <w:r>
        <w:rPr>
          <w:rFonts w:ascii="Times New Roman" w:hAnsi="Times New Roman" w:eastAsia="宋体"/>
          <w:b/>
          <w:color w:val="202833"/>
          <w:sz w:val="22"/>
        </w:rPr>
        <w:t>关键问题三 本地治理与建议安全</w:t>
      </w:r>
    </w:p>
    <w:p>
      <w:pPr>
        <w:pStyle w:val="Normal"/>
        <w:widowControl/>
        <w:rPr/>
      </w:pPr>
      <w:r>
        <w:rPr>
          <w:rFonts w:ascii="Times New Roman" w:hAnsi="Times New Roman"/>
          <w:b w:val="false"/>
          <w:color w:val="202833"/>
          <w:sz w:val="22"/>
        </w:rPr>
        <w:t>隔离工作站的显存、主存、存储、能耗和推理时间有限，日志体量与模型上下文之间存在直接矛盾；模型权重、量化、推理框架、提示词、证据模式、失败词表或模板的变化还会造成结构化输出和分类结果漂移。当前大模型层未实现，因此公开模型榜单和厂商数据不能回答本地中文报告质量、</w:t>
      </w:r>
      <w:r>
        <w:rPr>
          <w:rFonts w:eastAsia="宋体"/>
          <w:b w:val="false"/>
          <w:color w:val="202833"/>
          <w:sz w:val="22"/>
        </w:rPr>
        <w:t>JSON</w:t>
      </w:r>
      <w:r>
        <w:rPr>
          <w:rFonts w:ascii="Times New Roman" w:hAnsi="Times New Roman"/>
          <w:b w:val="false"/>
          <w:color w:val="202833"/>
          <w:sz w:val="22"/>
        </w:rPr>
        <w:t>稳定性、资源占用与单位成本是否同时可接受。若缺少完整模型清单、固定回归集和候选版本准入，同一输入的结果变化将无法追溯，资源超限或升级失败时也没有明确退出路径。</w:t>
      </w:r>
    </w:p>
    <w:p>
      <w:pPr>
        <w:pStyle w:val="Normal"/>
        <w:widowControl/>
        <w:rPr/>
      </w:pPr>
      <w:r>
        <w:rPr>
          <w:rFonts w:ascii="Times New Roman" w:hAnsi="Times New Roman"/>
          <w:b w:val="false"/>
          <w:color w:val="202833"/>
          <w:sz w:val="22"/>
        </w:rPr>
        <w:t>这一问题同时受在线安全边界约束。日志中的指令样文本只能作为数据处理，模型不得获得外部网络、工具、任意文件和代码执行权限；离线场景建议虽可用于构造后续试验候选，但必须限制在参数白名单、允许范围、时间关系和物理可达性内。可判定边界包括冻结硬件上的质量、时延、显存、能耗和成本实测，关键版本变化后的准确性与安全回归，以及任务发布、在线消息总线、全局目标编号写接口和飞行控制端点保持不可达。任何资源超限、坏</w:t>
      </w:r>
      <w:r>
        <w:rPr>
          <w:rFonts w:eastAsia="宋体"/>
          <w:b w:val="false"/>
          <w:color w:val="202833"/>
          <w:sz w:val="22"/>
        </w:rPr>
        <w:t>JSON</w:t>
      </w:r>
      <w:r>
        <w:rPr>
          <w:rFonts w:ascii="Times New Roman" w:hAnsi="Times New Roman"/>
          <w:b w:val="false"/>
          <w:color w:val="202833"/>
          <w:sz w:val="22"/>
        </w:rPr>
        <w:t>、提示注入、越权字段或回归不通过都应失败关闭，建议只进入人工待审离线目录，不自动执行，也不作为正式控制输入。</w:t>
      </w:r>
    </w:p>
    <w:p>
      <w:pPr>
        <w:pStyle w:val="Heading3"/>
        <w:ind w:hanging="0"/>
        <w:rPr/>
      </w:pPr>
      <w:r>
        <w:rPr>
          <w:rFonts w:eastAsia="宋体" w:ascii="Times New Roman" w:hAnsi="Times New Roman"/>
          <w:b/>
          <w:color w:val="202833"/>
          <w:sz w:val="24"/>
        </w:rPr>
        <w:t xml:space="preserve">2.1.2 </w:t>
      </w:r>
      <w:r>
        <w:rPr>
          <w:rFonts w:ascii="Times New Roman" w:hAnsi="Times New Roman" w:eastAsia="宋体"/>
          <w:b/>
          <w:color w:val="202833"/>
          <w:sz w:val="24"/>
        </w:rPr>
        <w:t>明确目标</w:t>
      </w:r>
    </w:p>
    <w:p>
      <w:pPr>
        <w:pStyle w:val="Heading4"/>
        <w:ind w:hanging="0"/>
        <w:rPr/>
      </w:pPr>
      <w:r>
        <w:rPr>
          <w:rFonts w:ascii="Times New Roman" w:hAnsi="Times New Roman" w:eastAsia="宋体"/>
          <w:b/>
          <w:color w:val="202833"/>
          <w:sz w:val="22"/>
        </w:rPr>
        <w:t>目标一 只追加证据与数值锁定</w:t>
      </w:r>
    </w:p>
    <w:p>
      <w:pPr>
        <w:pStyle w:val="Normal"/>
        <w:widowControl/>
        <w:rPr/>
      </w:pPr>
      <w:r>
        <w:rPr>
          <w:rFonts w:ascii="Times New Roman" w:hAnsi="Times New Roman"/>
          <w:b w:val="false"/>
          <w:color w:val="202833"/>
          <w:sz w:val="22"/>
        </w:rPr>
        <w:t>项目拟建立只追加日志登记、模式校验、文件与证据包哈希索引、确定性压缩和证据包生成能力，把原始文件、</w:t>
      </w:r>
      <w:r>
        <w:rPr>
          <w:rFonts w:eastAsia="宋体"/>
          <w:b w:val="false"/>
          <w:color w:val="202833"/>
          <w:sz w:val="22"/>
        </w:rPr>
        <w:t>D6</w:t>
      </w:r>
      <w:r>
        <w:rPr>
          <w:rFonts w:ascii="Times New Roman" w:hAnsi="Times New Roman"/>
          <w:b w:val="false"/>
          <w:color w:val="202833"/>
          <w:sz w:val="22"/>
        </w:rPr>
        <w:t>指标、配置、事件和图表组织为字段冻结、体量可控且可逐条引用的离线输入。主要成果包括</w:t>
      </w:r>
      <w:r>
        <w:rPr>
          <w:rFonts w:eastAsia="宋体"/>
          <w:b w:val="false"/>
          <w:color w:val="202833"/>
          <w:sz w:val="22"/>
        </w:rPr>
        <w:t>episode</w:t>
      </w:r>
      <w:r>
        <w:rPr>
          <w:rFonts w:ascii="Times New Roman" w:hAnsi="Times New Roman"/>
          <w:b w:val="false"/>
          <w:color w:val="202833"/>
          <w:sz w:val="22"/>
        </w:rPr>
        <w:t>清单、统一证据模式、证据编号、数据血缘记录、坏包拒绝记录和可重复构建工具，使报告中的每个结果性原子结论能够定位到对应实验、对象、时间范围、可用性和证据版本。该目标是在现有类型化日志和确定性评估基础上补齐证据工程闭环，不改变原始日志，不取代上游真实性审计。</w:t>
      </w:r>
    </w:p>
    <w:p>
      <w:pPr>
        <w:pStyle w:val="Normal"/>
        <w:widowControl/>
        <w:rPr/>
      </w:pPr>
      <w:r>
        <w:rPr>
          <w:rFonts w:ascii="Times New Roman" w:hAnsi="Times New Roman"/>
          <w:b w:val="false"/>
          <w:color w:val="202833"/>
          <w:sz w:val="22"/>
        </w:rPr>
        <w:t>项目同时拟实现数值锁定、证据绑定、状态与术语校验以及失败关闭机制。正式指标、统计检验、置信区间、图表和显示规则继续由</w:t>
      </w:r>
      <w:r>
        <w:rPr>
          <w:rFonts w:eastAsia="宋体"/>
          <w:b w:val="false"/>
          <w:color w:val="202833"/>
          <w:sz w:val="22"/>
        </w:rPr>
        <w:t>D6</w:t>
      </w:r>
      <w:r>
        <w:rPr>
          <w:rFonts w:ascii="Times New Roman" w:hAnsi="Times New Roman"/>
          <w:b w:val="false"/>
          <w:color w:val="202833"/>
          <w:sz w:val="22"/>
        </w:rPr>
        <w:t>及确定性程序生成，模型输出只保留指标标识符和受证据约束的说明，正式指标由大模型计算的数量保持为零。验证覆盖合法包重建、篡改和缺项注入、错</w:t>
      </w:r>
      <w:r>
        <w:rPr>
          <w:rFonts w:eastAsia="宋体"/>
          <w:b w:val="false"/>
          <w:color w:val="202833"/>
          <w:sz w:val="22"/>
        </w:rPr>
        <w:t>episode</w:t>
      </w:r>
      <w:r>
        <w:rPr>
          <w:rFonts w:ascii="Times New Roman" w:hAnsi="Times New Roman"/>
          <w:b w:val="false"/>
          <w:color w:val="202833"/>
          <w:sz w:val="22"/>
        </w:rPr>
        <w:t>与错版本、显式零、不可用、数值污染和引用范围错配；未通过模式、哈希、数值或证据校验的内容不得发布。该目标不使哈希具备证明上游事实真实性的能力，也不允许模型补数、改分母、判定统计显著性或把仿真状态改写为实装结论。</w:t>
      </w:r>
    </w:p>
    <w:p>
      <w:pPr>
        <w:pStyle w:val="Heading4"/>
        <w:ind w:hanging="0"/>
        <w:rPr/>
      </w:pPr>
      <w:r>
        <w:rPr>
          <w:rFonts w:ascii="Times New Roman" w:hAnsi="Times New Roman" w:eastAsia="宋体"/>
          <w:b/>
          <w:color w:val="202833"/>
          <w:sz w:val="22"/>
        </w:rPr>
        <w:t>目标二 本地分析与两阶段报告</w:t>
      </w:r>
    </w:p>
    <w:p>
      <w:pPr>
        <w:pStyle w:val="Normal"/>
        <w:widowControl/>
        <w:rPr/>
      </w:pPr>
      <w:r>
        <w:rPr>
          <w:rFonts w:ascii="Times New Roman" w:hAnsi="Times New Roman"/>
          <w:b w:val="false"/>
          <w:color w:val="202833"/>
          <w:sz w:val="22"/>
        </w:rPr>
        <w:t>项目拟在隔离环境内实现本地大模型适配器、受约束结构化分析模式、固定一级失败分类和可扩展二级词表，形成事件摘要、跨实验差异说明、失败二级分类和因果状态表达能力。主要成果包括模型可读的只读证据输入、</w:t>
      </w:r>
      <w:r>
        <w:rPr>
          <w:rFonts w:eastAsia="宋体"/>
          <w:b w:val="false"/>
          <w:color w:val="202833"/>
          <w:sz w:val="22"/>
        </w:rPr>
        <w:t>JSON</w:t>
      </w:r>
      <w:r>
        <w:rPr>
          <w:rFonts w:ascii="Times New Roman" w:hAnsi="Times New Roman"/>
          <w:b w:val="false"/>
          <w:color w:val="202833"/>
          <w:sz w:val="22"/>
        </w:rPr>
        <w:t>结构化分析、原子结论及证据索引、失败与待复核清单，并以规则约束已确认、疑似、证据不足和冲突等状态。大模型层当前未实现，本目标描述的是拟建设能力；模型不连接外部网络，不承担一级硬事件判定和正式指标计算，分析质量须以冻结测试集和人工金标验证。</w:t>
      </w:r>
    </w:p>
    <w:p>
      <w:pPr>
        <w:pStyle w:val="Normal"/>
        <w:widowControl/>
        <w:rPr/>
      </w:pPr>
      <w:r>
        <w:rPr>
          <w:rFonts w:ascii="Times New Roman" w:hAnsi="Times New Roman"/>
          <w:b w:val="false"/>
          <w:color w:val="202833"/>
          <w:sz w:val="22"/>
        </w:rPr>
        <w:t>报告采用两阶段流程：第一阶段生成带证据编号、指标标识符和复核状态的结构化草稿，第二阶段由确定性合成器插入正式数字和图表并形成</w:t>
      </w:r>
      <w:r>
        <w:rPr>
          <w:rFonts w:eastAsia="宋体"/>
          <w:b w:val="false"/>
          <w:color w:val="202833"/>
          <w:sz w:val="22"/>
        </w:rPr>
        <w:t>Markdown</w:t>
      </w:r>
      <w:r>
        <w:rPr>
          <w:rFonts w:ascii="Times New Roman" w:hAnsi="Times New Roman"/>
          <w:b w:val="false"/>
          <w:color w:val="202833"/>
          <w:sz w:val="22"/>
        </w:rPr>
        <w:t>、</w:t>
      </w:r>
      <w:r>
        <w:rPr>
          <w:rFonts w:eastAsia="宋体"/>
          <w:b w:val="false"/>
          <w:color w:val="202833"/>
          <w:sz w:val="22"/>
        </w:rPr>
        <w:t>Word</w:t>
      </w:r>
      <w:r>
        <w:rPr>
          <w:rFonts w:ascii="Times New Roman" w:hAnsi="Times New Roman"/>
          <w:b w:val="false"/>
          <w:color w:val="202833"/>
          <w:sz w:val="22"/>
        </w:rPr>
        <w:t>和</w:t>
      </w:r>
      <w:r>
        <w:rPr>
          <w:rFonts w:eastAsia="宋体"/>
          <w:b w:val="false"/>
          <w:color w:val="202833"/>
          <w:sz w:val="22"/>
        </w:rPr>
        <w:t>PDF</w:t>
      </w:r>
      <w:r>
        <w:rPr>
          <w:rFonts w:ascii="Times New Roman" w:hAnsi="Times New Roman"/>
          <w:b w:val="false"/>
          <w:color w:val="202833"/>
          <w:sz w:val="22"/>
        </w:rPr>
        <w:t>，同时生成校验记录、人工复核单和发布清单。验证范围覆盖七类一级失败、跨模块二级原因、证据支持、因果越权、结构化输出、模型超时和校验失败回退，报告只有通过数值、证据、状态、术语与辅助生成标识检查并经人工复核后才能签发。该目标不实现自动签发，不把模型自检作为外部证据，也不把无证据文字、未分类事件或未经人工确认的因果判断写入正式结果。</w:t>
      </w:r>
    </w:p>
    <w:p>
      <w:pPr>
        <w:pStyle w:val="Heading4"/>
        <w:ind w:hanging="0"/>
        <w:rPr/>
      </w:pPr>
      <w:r>
        <w:rPr>
          <w:rFonts w:ascii="Times New Roman" w:hAnsi="Times New Roman" w:eastAsia="宋体"/>
          <w:b/>
          <w:color w:val="202833"/>
          <w:sz w:val="22"/>
        </w:rPr>
        <w:t>目标三 回归成本与安全治理</w:t>
      </w:r>
    </w:p>
    <w:p>
      <w:pPr>
        <w:pStyle w:val="Normal"/>
        <w:widowControl/>
        <w:rPr/>
      </w:pPr>
      <w:r>
        <w:rPr>
          <w:rFonts w:ascii="Times New Roman" w:hAnsi="Times New Roman"/>
          <w:b w:val="false"/>
          <w:color w:val="202833"/>
          <w:sz w:val="22"/>
        </w:rPr>
        <w:t>项目拟建立模型卡、证据数据卡、提示词和失败词表版本、固定回归集、升级准入及退出回退流程，使模型权重、量化、推理框架、提示词、证据模式、分类词表和报告模板的每次关键变化均可追溯。主要成果包括候选、当前和退役版本清单，质量与安全回归记录，以及冻结硬件上的推理时间、峰值显存、主存、存储、能耗和单位成本实测报告。验收以本地实测和建议指标表的计算方法为准，公开榜单、厂商数据和论文结论只用于候选筛选，不作为本项目性能已经实现的证据；升级未通过或资源超限时回退到上一个通过版本或纯确定性模板。</w:t>
      </w:r>
    </w:p>
    <w:p>
      <w:pPr>
        <w:pStyle w:val="Normal"/>
        <w:widowControl/>
        <w:rPr/>
      </w:pPr>
      <w:r>
        <w:rPr>
          <w:rFonts w:ascii="Times New Roman" w:hAnsi="Times New Roman"/>
          <w:b w:val="false"/>
          <w:color w:val="202833"/>
          <w:sz w:val="22"/>
        </w:rPr>
        <w:t>项目还拟形成场景建议白名单、参数范围、时间关系、物理可达性和禁止字段校验，只输出待人工批准的离线试验候选。验证包括外部网络与控制接口不可达、提示注入和越权调用、非法建议拦截、模型进程权限、故障回退和辅助生成标识检查。该能力不连接任务发布、在线消息总线和飞行控制，不修改全局目标编号，不生成可执行控制命令，也不自动启动仿真或实装任务；未经校验和人工批准的建议只能保留为草稿。大模型层故障不得阻断原始日志归档和</w:t>
      </w:r>
      <w:r>
        <w:rPr>
          <w:rFonts w:eastAsia="宋体"/>
          <w:b w:val="false"/>
          <w:color w:val="202833"/>
          <w:sz w:val="22"/>
        </w:rPr>
        <w:t>D6</w:t>
      </w:r>
      <w:r>
        <w:rPr>
          <w:rFonts w:ascii="Times New Roman" w:hAnsi="Times New Roman"/>
          <w:b w:val="false"/>
          <w:color w:val="202833"/>
          <w:sz w:val="22"/>
        </w:rPr>
        <w:t>确定性评估。</w:t>
      </w:r>
    </w:p>
    <w:p>
      <w:pPr>
        <w:pStyle w:val="Normal"/>
        <w:widowControl/>
        <w:rPr/>
      </w:pPr>
      <w:r>
        <w:rPr>
          <w:rFonts w:ascii="Times New Roman" w:hAnsi="Times New Roman"/>
          <w:b w:val="false"/>
          <w:color w:val="202833"/>
          <w:sz w:val="22"/>
        </w:rPr>
        <w:t>验证范围以已有离线日志和仿真证据为主，可增加脱敏构造故障样本。项目不以实装飞行性能、探测距离、拦截成功率或实时控制性能作为大模型层验收结论。</w:t>
      </w:r>
    </w:p>
    <w:p>
      <w:pPr>
        <w:pStyle w:val="Heading2"/>
        <w:ind w:hanging="0"/>
        <w:rPr/>
      </w:pPr>
      <w:r>
        <w:rPr>
          <w:rFonts w:eastAsia="宋体" w:ascii="Times New Roman" w:hAnsi="Times New Roman"/>
          <w:b/>
          <w:color w:val="176B73"/>
          <w:sz w:val="28"/>
        </w:rPr>
        <w:t xml:space="preserve">2.2 </w:t>
      </w:r>
      <w:r>
        <w:rPr>
          <w:rFonts w:ascii="Times New Roman" w:hAnsi="Times New Roman" w:eastAsia="宋体"/>
          <w:b/>
          <w:color w:val="176B73"/>
          <w:sz w:val="28"/>
        </w:rPr>
        <w:t>技术指标</w:t>
      </w:r>
    </w:p>
    <w:p>
      <w:pPr>
        <w:pStyle w:val="Normal"/>
        <w:widowControl/>
        <w:rPr/>
      </w:pPr>
      <w:r>
        <w:rPr>
          <w:rFonts w:ascii="Times New Roman" w:hAnsi="Times New Roman"/>
          <w:b w:val="false"/>
          <w:color w:val="202833"/>
          <w:sz w:val="22"/>
        </w:rPr>
        <w:t>下表数值均为</w:t>
      </w:r>
      <w:r>
        <w:rPr>
          <w:rFonts w:ascii="Times New Roman" w:hAnsi="Times New Roman"/>
          <w:b/>
          <w:color w:val="202833"/>
          <w:sz w:val="22"/>
        </w:rPr>
        <w:t>建议验收目标</w:t>
      </w:r>
      <w:r>
        <w:rPr>
          <w:rFonts w:ascii="Times New Roman" w:hAnsi="Times New Roman"/>
          <w:b w:val="false"/>
          <w:color w:val="202833"/>
          <w:sz w:val="22"/>
        </w:rPr>
        <w:t>，不是当前已达到能力。当前基线为“未实现”或“待基线测试”的项目，须在方案冻结阶段先测基线；若基线揭示目标不具可行性，应通过评审修改目标并保留原值、理由和影响，不能在验收后反向调整。</w:t>
      </w:r>
    </w:p>
    <w:tbl>
      <w:tblPr>
        <w:tblStyle w:val="TableGrid"/>
        <w:tblW w:w="9408" w:type="dxa"/>
        <w:jc w:val="center"/>
        <w:tblInd w:w="0" w:type="dxa"/>
        <w:tblLayout w:type="fixed"/>
        <w:tblCellMar>
          <w:top w:w="55" w:type="dxa"/>
          <w:left w:w="65" w:type="dxa"/>
          <w:bottom w:w="55" w:type="dxa"/>
          <w:right w:w="65" w:type="dxa"/>
        </w:tblCellMar>
        <w:tblLook w:val="04a0" w:noHBand="0" w:noVBand="1" w:firstColumn="1" w:lastRow="0" w:lastColumn="0" w:firstRow="1"/>
      </w:tblPr>
      <w:tblGrid>
        <w:gridCol w:w="1344"/>
        <w:gridCol w:w="1343"/>
        <w:gridCol w:w="1345"/>
        <w:gridCol w:w="1343"/>
        <w:gridCol w:w="1345"/>
        <w:gridCol w:w="1343"/>
        <w:gridCol w:w="1344"/>
      </w:tblGrid>
      <w:tr>
        <w:trPr>
          <w:tblHeader w:val="true"/>
          <w:cantSplit w:val="true"/>
        </w:trPr>
        <w:tc>
          <w:tcPr>
            <w:tcW w:w="1344" w:type="dxa"/>
            <w:tcBorders/>
            <w:shd w:fill="1F4E78"/>
            <w:vAlign w:val="center"/>
          </w:tcPr>
          <w:p>
            <w:pPr>
              <w:pStyle w:val="Normal"/>
              <w:widowControl/>
              <w:spacing w:lineRule="auto" w:line="259" w:before="0" w:after="0"/>
              <w:ind w:hanging="0"/>
              <w:jc w:val="center"/>
              <w:rPr>
                <w:rFonts w:cs=""/>
                <w:kern w:val="0"/>
                <w:szCs w:val="22"/>
                <w:lang w:val="en-US" w:eastAsia="en-US" w:bidi="ar-SA"/>
              </w:rPr>
            </w:pPr>
            <w:r>
              <w:rPr>
                <w:rFonts w:ascii="Times New Roman" w:hAnsi="Times New Roman" w:cs=""/>
                <w:b/>
                <w:color w:val="FFFFFF"/>
                <w:kern w:val="0"/>
                <w:sz w:val="14"/>
                <w:szCs w:val="22"/>
                <w:lang w:val="en-US" w:eastAsia="en-US" w:bidi="ar-SA"/>
              </w:rPr>
              <w:t>编号</w:t>
            </w:r>
          </w:p>
        </w:tc>
        <w:tc>
          <w:tcPr>
            <w:tcW w:w="1343" w:type="dxa"/>
            <w:tcBorders/>
            <w:shd w:fill="1F4E78"/>
            <w:vAlign w:val="center"/>
          </w:tcPr>
          <w:p>
            <w:pPr>
              <w:pStyle w:val="Normal"/>
              <w:widowControl/>
              <w:spacing w:lineRule="auto" w:line="259" w:before="0" w:after="0"/>
              <w:ind w:hanging="0"/>
              <w:jc w:val="center"/>
              <w:rPr>
                <w:rFonts w:cs=""/>
                <w:kern w:val="0"/>
                <w:szCs w:val="22"/>
                <w:lang w:val="en-US" w:eastAsia="en-US" w:bidi="ar-SA"/>
              </w:rPr>
            </w:pPr>
            <w:r>
              <w:rPr>
                <w:rFonts w:ascii="Times New Roman" w:hAnsi="Times New Roman" w:cs=""/>
                <w:b/>
                <w:color w:val="FFFFFF"/>
                <w:kern w:val="0"/>
                <w:sz w:val="14"/>
                <w:szCs w:val="22"/>
                <w:lang w:val="en-US" w:eastAsia="en-US" w:bidi="ar-SA"/>
              </w:rPr>
              <w:t>指标</w:t>
            </w:r>
          </w:p>
        </w:tc>
        <w:tc>
          <w:tcPr>
            <w:tcW w:w="1345" w:type="dxa"/>
            <w:tcBorders/>
            <w:shd w:fill="1F4E78"/>
            <w:vAlign w:val="center"/>
          </w:tcPr>
          <w:p>
            <w:pPr>
              <w:pStyle w:val="Normal"/>
              <w:widowControl/>
              <w:spacing w:lineRule="auto" w:line="259" w:before="0" w:after="0"/>
              <w:ind w:hanging="0"/>
              <w:jc w:val="center"/>
              <w:rPr>
                <w:rFonts w:cs=""/>
                <w:kern w:val="0"/>
                <w:szCs w:val="22"/>
                <w:lang w:val="en-US" w:eastAsia="en-US" w:bidi="ar-SA"/>
              </w:rPr>
            </w:pPr>
            <w:r>
              <w:rPr>
                <w:rFonts w:ascii="Times New Roman" w:hAnsi="Times New Roman" w:cs=""/>
                <w:b/>
                <w:color w:val="FFFFFF"/>
                <w:kern w:val="0"/>
                <w:sz w:val="14"/>
                <w:szCs w:val="22"/>
                <w:lang w:val="en-US" w:eastAsia="en-US" w:bidi="ar-SA"/>
              </w:rPr>
              <w:t>基线或当前状态</w:t>
            </w:r>
          </w:p>
        </w:tc>
        <w:tc>
          <w:tcPr>
            <w:tcW w:w="1343" w:type="dxa"/>
            <w:tcBorders/>
            <w:shd w:fill="1F4E78"/>
            <w:vAlign w:val="center"/>
          </w:tcPr>
          <w:p>
            <w:pPr>
              <w:pStyle w:val="Normal"/>
              <w:widowControl/>
              <w:spacing w:lineRule="auto" w:line="259" w:before="0" w:after="0"/>
              <w:ind w:hanging="0"/>
              <w:jc w:val="center"/>
              <w:rPr>
                <w:rFonts w:cs=""/>
                <w:kern w:val="0"/>
                <w:szCs w:val="22"/>
                <w:lang w:val="en-US" w:eastAsia="en-US" w:bidi="ar-SA"/>
              </w:rPr>
            </w:pPr>
            <w:r>
              <w:rPr>
                <w:rFonts w:ascii="Times New Roman" w:hAnsi="Times New Roman" w:cs=""/>
                <w:b/>
                <w:color w:val="FFFFFF"/>
                <w:kern w:val="0"/>
                <w:sz w:val="14"/>
                <w:szCs w:val="22"/>
                <w:lang w:val="en-US" w:eastAsia="en-US" w:bidi="ar-SA"/>
              </w:rPr>
              <w:t>建议目标值</w:t>
            </w:r>
          </w:p>
        </w:tc>
        <w:tc>
          <w:tcPr>
            <w:tcW w:w="1345" w:type="dxa"/>
            <w:tcBorders/>
            <w:shd w:fill="1F4E78"/>
            <w:vAlign w:val="center"/>
          </w:tcPr>
          <w:p>
            <w:pPr>
              <w:pStyle w:val="Normal"/>
              <w:widowControl/>
              <w:spacing w:lineRule="auto" w:line="259" w:before="0" w:after="0"/>
              <w:ind w:hanging="0"/>
              <w:jc w:val="center"/>
              <w:rPr>
                <w:rFonts w:cs=""/>
                <w:kern w:val="0"/>
                <w:szCs w:val="22"/>
                <w:lang w:val="en-US" w:eastAsia="en-US" w:bidi="ar-SA"/>
              </w:rPr>
            </w:pPr>
            <w:r>
              <w:rPr>
                <w:rFonts w:ascii="Times New Roman" w:hAnsi="Times New Roman" w:cs=""/>
                <w:b/>
                <w:color w:val="FFFFFF"/>
                <w:kern w:val="0"/>
                <w:sz w:val="14"/>
                <w:szCs w:val="22"/>
                <w:lang w:val="en-US" w:eastAsia="en-US" w:bidi="ar-SA"/>
              </w:rPr>
              <w:t>测试条件</w:t>
            </w:r>
          </w:p>
        </w:tc>
        <w:tc>
          <w:tcPr>
            <w:tcW w:w="1343" w:type="dxa"/>
            <w:tcBorders/>
            <w:shd w:fill="1F4E78"/>
            <w:vAlign w:val="center"/>
          </w:tcPr>
          <w:p>
            <w:pPr>
              <w:pStyle w:val="Normal"/>
              <w:widowControl/>
              <w:spacing w:lineRule="auto" w:line="259" w:before="0" w:after="0"/>
              <w:ind w:hanging="0"/>
              <w:jc w:val="center"/>
              <w:rPr>
                <w:rFonts w:cs=""/>
                <w:kern w:val="0"/>
                <w:szCs w:val="22"/>
                <w:lang w:val="en-US" w:eastAsia="en-US" w:bidi="ar-SA"/>
              </w:rPr>
            </w:pPr>
            <w:r>
              <w:rPr>
                <w:rFonts w:ascii="Times New Roman" w:hAnsi="Times New Roman" w:cs=""/>
                <w:b/>
                <w:color w:val="FFFFFF"/>
                <w:kern w:val="0"/>
                <w:sz w:val="14"/>
                <w:szCs w:val="22"/>
                <w:lang w:val="en-US" w:eastAsia="en-US" w:bidi="ar-SA"/>
              </w:rPr>
              <w:t>计算或测量方法与数据源</w:t>
            </w:r>
          </w:p>
        </w:tc>
        <w:tc>
          <w:tcPr>
            <w:tcW w:w="1344" w:type="dxa"/>
            <w:tcBorders/>
            <w:shd w:fill="1F4E78"/>
            <w:vAlign w:val="center"/>
          </w:tcPr>
          <w:p>
            <w:pPr>
              <w:pStyle w:val="Normal"/>
              <w:widowControl/>
              <w:spacing w:lineRule="auto" w:line="259" w:before="0" w:after="0"/>
              <w:ind w:hanging="0"/>
              <w:jc w:val="center"/>
              <w:rPr>
                <w:rFonts w:cs=""/>
                <w:kern w:val="0"/>
                <w:szCs w:val="22"/>
                <w:lang w:val="en-US" w:eastAsia="en-US" w:bidi="ar-SA"/>
              </w:rPr>
            </w:pPr>
            <w:r>
              <w:rPr>
                <w:rFonts w:ascii="Times New Roman" w:hAnsi="Times New Roman" w:cs=""/>
                <w:b/>
                <w:color w:val="FFFFFF"/>
                <w:kern w:val="0"/>
                <w:sz w:val="14"/>
                <w:szCs w:val="22"/>
                <w:lang w:val="en-US" w:eastAsia="en-US" w:bidi="ar-SA"/>
              </w:rPr>
              <w:t>验收规则</w:t>
            </w:r>
          </w:p>
        </w:tc>
      </w:tr>
      <w:tr>
        <w:trPr>
          <w:cantSplit w:val="true"/>
        </w:trPr>
        <w:tc>
          <w:tcPr>
            <w:tcW w:w="1344" w:type="dxa"/>
            <w:tcBorders/>
            <w:vAlign w:val="center"/>
          </w:tcPr>
          <w:p>
            <w:pPr>
              <w:pStyle w:val="Normal"/>
              <w:widowControl/>
              <w:spacing w:lineRule="auto" w:line="259" w:before="0" w:after="0"/>
              <w:ind w:hanging="0"/>
              <w:jc w:val="left"/>
              <w:rPr>
                <w:rFonts w:cs=""/>
                <w:kern w:val="0"/>
                <w:szCs w:val="22"/>
                <w:lang w:val="en-US" w:eastAsia="en-US" w:bidi="ar-SA"/>
              </w:rPr>
            </w:pPr>
            <w:r>
              <w:rPr>
                <w:rFonts w:eastAsia="宋体" w:cs=""/>
                <w:b w:val="false"/>
                <w:color w:val="202833"/>
                <w:kern w:val="0"/>
                <w:sz w:val="14"/>
                <w:szCs w:val="22"/>
                <w:lang w:val="en-US" w:eastAsia="en-US" w:bidi="ar-SA"/>
              </w:rPr>
              <w:t>I-01</w:t>
            </w:r>
          </w:p>
        </w:tc>
        <w:tc>
          <w:tcPr>
            <w:tcW w:w="1343" w:type="dxa"/>
            <w:tcBorders/>
            <w:vAlign w:val="center"/>
          </w:tcPr>
          <w:p>
            <w:pPr>
              <w:pStyle w:val="Normal"/>
              <w:widowControl/>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4"/>
                <w:szCs w:val="22"/>
                <w:lang w:val="en-US" w:eastAsia="en-US" w:bidi="ar-SA"/>
              </w:rPr>
              <w:t>外部网络调用数</w:t>
            </w:r>
          </w:p>
        </w:tc>
        <w:tc>
          <w:tcPr>
            <w:tcW w:w="1345" w:type="dxa"/>
            <w:tcBorders/>
            <w:vAlign w:val="center"/>
          </w:tcPr>
          <w:p>
            <w:pPr>
              <w:pStyle w:val="Normal"/>
              <w:widowControl/>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4"/>
                <w:szCs w:val="22"/>
                <w:lang w:val="en-US" w:eastAsia="en-US" w:bidi="ar-SA"/>
              </w:rPr>
              <w:t>大模型层未实现</w:t>
            </w:r>
          </w:p>
        </w:tc>
        <w:tc>
          <w:tcPr>
            <w:tcW w:w="1343" w:type="dxa"/>
            <w:tcBorders/>
            <w:vAlign w:val="center"/>
          </w:tcPr>
          <w:p>
            <w:pPr>
              <w:pStyle w:val="Normal"/>
              <w:widowControl/>
              <w:spacing w:lineRule="auto" w:line="259" w:before="0" w:after="0"/>
              <w:ind w:hanging="0"/>
              <w:jc w:val="left"/>
              <w:rPr>
                <w:rFonts w:cs=""/>
                <w:kern w:val="0"/>
                <w:szCs w:val="22"/>
                <w:lang w:val="en-US" w:eastAsia="en-US" w:bidi="ar-SA"/>
              </w:rPr>
            </w:pPr>
            <w:r>
              <w:rPr>
                <w:rFonts w:eastAsia="宋体" w:cs=""/>
                <w:b w:val="false"/>
                <w:color w:val="202833"/>
                <w:kern w:val="0"/>
                <w:sz w:val="14"/>
                <w:szCs w:val="22"/>
                <w:lang w:val="en-US" w:eastAsia="en-US" w:bidi="ar-SA"/>
              </w:rPr>
              <w:t>0</w:t>
            </w:r>
            <w:r>
              <w:rPr>
                <w:rFonts w:ascii="Times New Roman" w:hAnsi="Times New Roman" w:cs=""/>
                <w:b w:val="false"/>
                <w:color w:val="202833"/>
                <w:kern w:val="0"/>
                <w:sz w:val="14"/>
                <w:szCs w:val="22"/>
                <w:lang w:val="en-US" w:eastAsia="en-US" w:bidi="ar-SA"/>
              </w:rPr>
              <w:t>次</w:t>
            </w:r>
          </w:p>
        </w:tc>
        <w:tc>
          <w:tcPr>
            <w:tcW w:w="1345" w:type="dxa"/>
            <w:tcBorders/>
            <w:vAlign w:val="center"/>
          </w:tcPr>
          <w:p>
            <w:pPr>
              <w:pStyle w:val="Normal"/>
              <w:widowControl/>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4"/>
                <w:szCs w:val="22"/>
                <w:lang w:val="en-US" w:eastAsia="en-US" w:bidi="ar-SA"/>
              </w:rPr>
              <w:t>隔离工作站连续运行</w:t>
            </w:r>
            <w:r>
              <w:rPr>
                <w:rFonts w:eastAsia="宋体" w:cs=""/>
                <w:b w:val="false"/>
                <w:color w:val="202833"/>
                <w:kern w:val="0"/>
                <w:sz w:val="14"/>
                <w:szCs w:val="22"/>
                <w:lang w:val="en-US" w:eastAsia="en-US" w:bidi="ar-SA"/>
              </w:rPr>
              <w:t>72</w:t>
            </w:r>
            <w:r>
              <w:rPr>
                <w:rFonts w:ascii="Times New Roman" w:hAnsi="Times New Roman" w:cs=""/>
                <w:b w:val="false"/>
                <w:color w:val="202833"/>
                <w:kern w:val="0"/>
                <w:sz w:val="14"/>
                <w:szCs w:val="22"/>
                <w:lang w:val="en-US" w:eastAsia="en-US" w:bidi="ar-SA"/>
              </w:rPr>
              <w:t>小时，完成不少于</w:t>
            </w:r>
            <w:r>
              <w:rPr>
                <w:rFonts w:eastAsia="宋体" w:cs=""/>
                <w:b w:val="false"/>
                <w:color w:val="202833"/>
                <w:kern w:val="0"/>
                <w:sz w:val="14"/>
                <w:szCs w:val="22"/>
                <w:lang w:val="en-US" w:eastAsia="en-US" w:bidi="ar-SA"/>
              </w:rPr>
              <w:t>500</w:t>
            </w:r>
            <w:r>
              <w:rPr>
                <w:rFonts w:ascii="Times New Roman" w:hAnsi="Times New Roman" w:cs=""/>
                <w:b w:val="false"/>
                <w:color w:val="202833"/>
                <w:kern w:val="0"/>
                <w:sz w:val="14"/>
                <w:szCs w:val="22"/>
                <w:lang w:val="en-US" w:eastAsia="en-US" w:bidi="ar-SA"/>
              </w:rPr>
              <w:t>次推理，覆盖报告、分类和场景建议</w:t>
            </w:r>
          </w:p>
        </w:tc>
        <w:tc>
          <w:tcPr>
            <w:tcW w:w="1343" w:type="dxa"/>
            <w:tcBorders/>
            <w:vAlign w:val="center"/>
          </w:tcPr>
          <w:p>
            <w:pPr>
              <w:pStyle w:val="Normal"/>
              <w:widowControl/>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4"/>
                <w:szCs w:val="22"/>
                <w:lang w:val="en-US" w:eastAsia="en-US" w:bidi="ar-SA"/>
              </w:rPr>
              <w:t>防火墙、域名解析、进程套接字和流量镜像四类日志交叉计数</w:t>
            </w:r>
          </w:p>
        </w:tc>
        <w:tc>
          <w:tcPr>
            <w:tcW w:w="1344" w:type="dxa"/>
            <w:tcBorders/>
            <w:vAlign w:val="center"/>
          </w:tcPr>
          <w:p>
            <w:pPr>
              <w:pStyle w:val="Normal"/>
              <w:widowControl/>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4"/>
                <w:szCs w:val="22"/>
                <w:lang w:val="en-US" w:eastAsia="en-US" w:bidi="ar-SA"/>
              </w:rPr>
              <w:t>四类记录均为</w:t>
            </w:r>
            <w:r>
              <w:rPr>
                <w:rFonts w:eastAsia="宋体" w:cs=""/>
                <w:b w:val="false"/>
                <w:color w:val="202833"/>
                <w:kern w:val="0"/>
                <w:sz w:val="14"/>
                <w:szCs w:val="22"/>
                <w:lang w:val="en-US" w:eastAsia="en-US" w:bidi="ar-SA"/>
              </w:rPr>
              <w:t>0</w:t>
            </w:r>
            <w:r>
              <w:rPr>
                <w:rFonts w:ascii="Times New Roman" w:hAnsi="Times New Roman" w:cs=""/>
                <w:b w:val="false"/>
                <w:color w:val="202833"/>
                <w:kern w:val="0"/>
                <w:sz w:val="14"/>
                <w:szCs w:val="22"/>
                <w:lang w:val="en-US" w:eastAsia="en-US" w:bidi="ar-SA"/>
              </w:rPr>
              <w:t>；发现一次外连即不通过</w:t>
            </w:r>
          </w:p>
        </w:tc>
      </w:tr>
      <w:tr>
        <w:trPr>
          <w:cantSplit w:val="true"/>
        </w:trPr>
        <w:tc>
          <w:tcPr>
            <w:tcW w:w="1344" w:type="dxa"/>
            <w:tcBorders/>
            <w:shd w:fill="F5F7FA"/>
            <w:vAlign w:val="center"/>
          </w:tcPr>
          <w:p>
            <w:pPr>
              <w:pStyle w:val="Normal"/>
              <w:widowControl/>
              <w:spacing w:lineRule="auto" w:line="259" w:before="0" w:after="0"/>
              <w:ind w:hanging="0"/>
              <w:jc w:val="left"/>
              <w:rPr>
                <w:rFonts w:cs=""/>
                <w:kern w:val="0"/>
                <w:szCs w:val="22"/>
                <w:lang w:val="en-US" w:eastAsia="en-US" w:bidi="ar-SA"/>
              </w:rPr>
            </w:pPr>
            <w:r>
              <w:rPr>
                <w:rFonts w:eastAsia="宋体" w:cs=""/>
                <w:b w:val="false"/>
                <w:color w:val="202833"/>
                <w:kern w:val="0"/>
                <w:sz w:val="14"/>
                <w:szCs w:val="22"/>
                <w:lang w:val="en-US" w:eastAsia="en-US" w:bidi="ar-SA"/>
              </w:rPr>
              <w:t>I-02</w:t>
            </w:r>
          </w:p>
        </w:tc>
        <w:tc>
          <w:tcPr>
            <w:tcW w:w="1343" w:type="dxa"/>
            <w:tcBorders/>
            <w:shd w:fill="F5F7FA"/>
            <w:vAlign w:val="center"/>
          </w:tcPr>
          <w:p>
            <w:pPr>
              <w:pStyle w:val="Normal"/>
              <w:widowControl/>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4"/>
                <w:szCs w:val="22"/>
                <w:lang w:val="en-US" w:eastAsia="en-US" w:bidi="ar-SA"/>
              </w:rPr>
              <w:t>在线任务</w:t>
            </w:r>
            <w:r>
              <w:rPr>
                <w:rFonts w:eastAsia="宋体" w:cs=""/>
                <w:b w:val="false"/>
                <w:color w:val="202833"/>
                <w:kern w:val="0"/>
                <w:sz w:val="14"/>
                <w:szCs w:val="22"/>
                <w:lang w:val="en-US" w:eastAsia="en-US" w:bidi="ar-SA"/>
              </w:rPr>
              <w:t>/</w:t>
            </w:r>
            <w:r>
              <w:rPr>
                <w:rFonts w:ascii="Times New Roman" w:hAnsi="Times New Roman" w:cs=""/>
                <w:b w:val="false"/>
                <w:color w:val="202833"/>
                <w:kern w:val="0"/>
                <w:sz w:val="14"/>
                <w:szCs w:val="22"/>
                <w:lang w:val="en-US" w:eastAsia="en-US" w:bidi="ar-SA"/>
              </w:rPr>
              <w:t>控制接口可达数</w:t>
            </w:r>
          </w:p>
        </w:tc>
        <w:tc>
          <w:tcPr>
            <w:tcW w:w="1345" w:type="dxa"/>
            <w:tcBorders/>
            <w:shd w:fill="F5F7FA"/>
            <w:vAlign w:val="center"/>
          </w:tcPr>
          <w:p>
            <w:pPr>
              <w:pStyle w:val="Normal"/>
              <w:widowControl/>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4"/>
                <w:szCs w:val="22"/>
                <w:lang w:val="en-US" w:eastAsia="en-US" w:bidi="ar-SA"/>
              </w:rPr>
              <w:t>大模型层未实现</w:t>
            </w:r>
          </w:p>
        </w:tc>
        <w:tc>
          <w:tcPr>
            <w:tcW w:w="1343" w:type="dxa"/>
            <w:tcBorders/>
            <w:shd w:fill="F5F7FA"/>
            <w:vAlign w:val="center"/>
          </w:tcPr>
          <w:p>
            <w:pPr>
              <w:pStyle w:val="Normal"/>
              <w:widowControl/>
              <w:spacing w:lineRule="auto" w:line="259" w:before="0" w:after="0"/>
              <w:ind w:hanging="0"/>
              <w:jc w:val="left"/>
              <w:rPr>
                <w:rFonts w:cs=""/>
                <w:kern w:val="0"/>
                <w:szCs w:val="22"/>
                <w:lang w:val="en-US" w:eastAsia="en-US" w:bidi="ar-SA"/>
              </w:rPr>
            </w:pPr>
            <w:r>
              <w:rPr>
                <w:rFonts w:eastAsia="宋体" w:cs=""/>
                <w:b w:val="false"/>
                <w:color w:val="202833"/>
                <w:kern w:val="0"/>
                <w:sz w:val="14"/>
                <w:szCs w:val="22"/>
                <w:lang w:val="en-US" w:eastAsia="en-US" w:bidi="ar-SA"/>
              </w:rPr>
              <w:t>0</w:t>
            </w:r>
            <w:r>
              <w:rPr>
                <w:rFonts w:ascii="Times New Roman" w:hAnsi="Times New Roman" w:cs=""/>
                <w:b w:val="false"/>
                <w:color w:val="202833"/>
                <w:kern w:val="0"/>
                <w:sz w:val="14"/>
                <w:szCs w:val="22"/>
                <w:lang w:val="en-US" w:eastAsia="en-US" w:bidi="ar-SA"/>
              </w:rPr>
              <w:t>个</w:t>
            </w:r>
          </w:p>
        </w:tc>
        <w:tc>
          <w:tcPr>
            <w:tcW w:w="1345" w:type="dxa"/>
            <w:tcBorders/>
            <w:shd w:fill="F5F7FA"/>
            <w:vAlign w:val="center"/>
          </w:tcPr>
          <w:p>
            <w:pPr>
              <w:pStyle w:val="Normal"/>
              <w:widowControl/>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4"/>
                <w:szCs w:val="22"/>
                <w:lang w:val="en-US" w:eastAsia="en-US" w:bidi="ar-SA"/>
              </w:rPr>
              <w:t>依据接口清单进行端口扫描、权限测试和</w:t>
            </w:r>
            <w:r>
              <w:rPr>
                <w:rFonts w:eastAsia="宋体" w:cs=""/>
                <w:b w:val="false"/>
                <w:color w:val="202833"/>
                <w:kern w:val="0"/>
                <w:sz w:val="14"/>
                <w:szCs w:val="22"/>
                <w:lang w:val="en-US" w:eastAsia="en-US" w:bidi="ar-SA"/>
              </w:rPr>
              <w:t>100</w:t>
            </w:r>
            <w:r>
              <w:rPr>
                <w:rFonts w:ascii="Times New Roman" w:hAnsi="Times New Roman" w:cs=""/>
                <w:b w:val="false"/>
                <w:color w:val="202833"/>
                <w:kern w:val="0"/>
                <w:sz w:val="14"/>
                <w:szCs w:val="22"/>
                <w:lang w:val="en-US" w:eastAsia="en-US" w:bidi="ar-SA"/>
              </w:rPr>
              <w:t>次越权调用注入</w:t>
            </w:r>
          </w:p>
        </w:tc>
        <w:tc>
          <w:tcPr>
            <w:tcW w:w="1343" w:type="dxa"/>
            <w:tcBorders/>
            <w:shd w:fill="F5F7FA"/>
            <w:vAlign w:val="center"/>
          </w:tcPr>
          <w:p>
            <w:pPr>
              <w:pStyle w:val="Normal"/>
              <w:widowControl/>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4"/>
                <w:szCs w:val="22"/>
                <w:lang w:val="en-US" w:eastAsia="en-US" w:bidi="ar-SA"/>
              </w:rPr>
              <w:t>安全测试日志；检查任务发布、在线总线、全局目标编号写接口和飞行控制端点</w:t>
            </w:r>
          </w:p>
        </w:tc>
        <w:tc>
          <w:tcPr>
            <w:tcW w:w="1344" w:type="dxa"/>
            <w:tcBorders/>
            <w:shd w:fill="F5F7FA"/>
            <w:vAlign w:val="center"/>
          </w:tcPr>
          <w:p>
            <w:pPr>
              <w:pStyle w:val="Normal"/>
              <w:widowControl/>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4"/>
                <w:szCs w:val="22"/>
                <w:lang w:val="en-US" w:eastAsia="en-US" w:bidi="ar-SA"/>
              </w:rPr>
              <w:t>可达、可写和成功调用均为</w:t>
            </w:r>
            <w:r>
              <w:rPr>
                <w:rFonts w:eastAsia="宋体" w:cs=""/>
                <w:b w:val="false"/>
                <w:color w:val="202833"/>
                <w:kern w:val="0"/>
                <w:sz w:val="14"/>
                <w:szCs w:val="22"/>
                <w:lang w:val="en-US" w:eastAsia="en-US" w:bidi="ar-SA"/>
              </w:rPr>
              <w:t>0</w:t>
            </w:r>
            <w:r>
              <w:rPr>
                <w:rFonts w:ascii="Times New Roman" w:hAnsi="Times New Roman" w:cs=""/>
                <w:b w:val="false"/>
                <w:color w:val="202833"/>
                <w:kern w:val="0"/>
                <w:sz w:val="14"/>
                <w:szCs w:val="22"/>
                <w:lang w:val="en-US" w:eastAsia="en-US" w:bidi="ar-SA"/>
              </w:rPr>
              <w:t>；模型进程仅有证据只读与报告目录写权限</w:t>
            </w:r>
          </w:p>
        </w:tc>
      </w:tr>
      <w:tr>
        <w:trPr>
          <w:cantSplit w:val="true"/>
        </w:trPr>
        <w:tc>
          <w:tcPr>
            <w:tcW w:w="1344" w:type="dxa"/>
            <w:tcBorders/>
            <w:vAlign w:val="center"/>
          </w:tcPr>
          <w:p>
            <w:pPr>
              <w:pStyle w:val="Normal"/>
              <w:widowControl/>
              <w:spacing w:lineRule="auto" w:line="259" w:before="0" w:after="0"/>
              <w:ind w:hanging="0"/>
              <w:jc w:val="left"/>
              <w:rPr>
                <w:rFonts w:cs=""/>
                <w:kern w:val="0"/>
                <w:szCs w:val="22"/>
                <w:lang w:val="en-US" w:eastAsia="en-US" w:bidi="ar-SA"/>
              </w:rPr>
            </w:pPr>
            <w:r>
              <w:rPr>
                <w:rFonts w:eastAsia="宋体" w:cs=""/>
                <w:b w:val="false"/>
                <w:color w:val="202833"/>
                <w:kern w:val="0"/>
                <w:sz w:val="14"/>
                <w:szCs w:val="22"/>
                <w:lang w:val="en-US" w:eastAsia="en-US" w:bidi="ar-SA"/>
              </w:rPr>
              <w:t>I-03</w:t>
            </w:r>
          </w:p>
        </w:tc>
        <w:tc>
          <w:tcPr>
            <w:tcW w:w="1343" w:type="dxa"/>
            <w:tcBorders/>
            <w:vAlign w:val="center"/>
          </w:tcPr>
          <w:p>
            <w:pPr>
              <w:pStyle w:val="Normal"/>
              <w:widowControl/>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4"/>
                <w:szCs w:val="22"/>
                <w:lang w:val="en-US" w:eastAsia="en-US" w:bidi="ar-SA"/>
              </w:rPr>
              <w:t>原始日志完整性覆盖率</w:t>
            </w:r>
          </w:p>
        </w:tc>
        <w:tc>
          <w:tcPr>
            <w:tcW w:w="1345" w:type="dxa"/>
            <w:tcBorders/>
            <w:vAlign w:val="center"/>
          </w:tcPr>
          <w:p>
            <w:pPr>
              <w:pStyle w:val="Normal"/>
              <w:widowControl/>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4"/>
                <w:szCs w:val="22"/>
                <w:lang w:val="en-US" w:eastAsia="en-US" w:bidi="ar-SA"/>
              </w:rPr>
              <w:t>部分日志已有来源审计；统一只追加登记待建</w:t>
            </w:r>
          </w:p>
        </w:tc>
        <w:tc>
          <w:tcPr>
            <w:tcW w:w="1343" w:type="dxa"/>
            <w:tcBorders/>
            <w:vAlign w:val="center"/>
          </w:tcPr>
          <w:p>
            <w:pPr>
              <w:pStyle w:val="Normal"/>
              <w:widowControl/>
              <w:spacing w:lineRule="auto" w:line="259" w:before="0" w:after="0"/>
              <w:ind w:hanging="0"/>
              <w:jc w:val="left"/>
              <w:rPr>
                <w:rFonts w:cs=""/>
                <w:kern w:val="0"/>
                <w:szCs w:val="22"/>
                <w:lang w:val="en-US" w:eastAsia="en-US" w:bidi="ar-SA"/>
              </w:rPr>
            </w:pPr>
            <w:r>
              <w:rPr>
                <w:rFonts w:eastAsia="宋体" w:cs=""/>
                <w:b w:val="false"/>
                <w:color w:val="202833"/>
                <w:kern w:val="0"/>
                <w:sz w:val="14"/>
                <w:szCs w:val="22"/>
                <w:lang w:val="en-US" w:eastAsia="en-US" w:bidi="ar-SA"/>
              </w:rPr>
              <w:t>100%</w:t>
            </w:r>
            <w:r>
              <w:rPr>
                <w:rFonts w:ascii="Times New Roman" w:hAnsi="Times New Roman" w:cs=""/>
                <w:b w:val="false"/>
                <w:color w:val="202833"/>
                <w:kern w:val="0"/>
                <w:sz w:val="14"/>
                <w:szCs w:val="22"/>
                <w:lang w:val="en-US" w:eastAsia="en-US" w:bidi="ar-SA"/>
              </w:rPr>
              <w:t>；原文件修改数</w:t>
            </w:r>
            <w:r>
              <w:rPr>
                <w:rFonts w:eastAsia="宋体" w:cs=""/>
                <w:b w:val="false"/>
                <w:color w:val="202833"/>
                <w:kern w:val="0"/>
                <w:sz w:val="14"/>
                <w:szCs w:val="22"/>
                <w:lang w:val="en-US" w:eastAsia="en-US" w:bidi="ar-SA"/>
              </w:rPr>
              <w:t>0</w:t>
            </w:r>
          </w:p>
        </w:tc>
        <w:tc>
          <w:tcPr>
            <w:tcW w:w="1345" w:type="dxa"/>
            <w:tcBorders/>
            <w:vAlign w:val="center"/>
          </w:tcPr>
          <w:p>
            <w:pPr>
              <w:pStyle w:val="Normal"/>
              <w:widowControl/>
              <w:spacing w:lineRule="auto" w:line="259" w:before="0" w:after="0"/>
              <w:ind w:hanging="0"/>
              <w:jc w:val="left"/>
              <w:rPr>
                <w:rFonts w:cs=""/>
                <w:kern w:val="0"/>
                <w:szCs w:val="22"/>
                <w:lang w:val="en-US" w:eastAsia="en-US" w:bidi="ar-SA"/>
              </w:rPr>
            </w:pPr>
            <w:r>
              <w:rPr>
                <w:rFonts w:eastAsia="宋体" w:cs=""/>
                <w:b w:val="false"/>
                <w:color w:val="202833"/>
                <w:kern w:val="0"/>
                <w:sz w:val="14"/>
                <w:szCs w:val="22"/>
                <w:lang w:val="en-US" w:eastAsia="en-US" w:bidi="ar-SA"/>
              </w:rPr>
              <w:t>100</w:t>
            </w:r>
            <w:r>
              <w:rPr>
                <w:rFonts w:ascii="Times New Roman" w:hAnsi="Times New Roman" w:cs=""/>
                <w:b w:val="false"/>
                <w:color w:val="202833"/>
                <w:kern w:val="0"/>
                <w:sz w:val="14"/>
                <w:szCs w:val="22"/>
                <w:lang w:val="en-US" w:eastAsia="en-US" w:bidi="ar-SA"/>
              </w:rPr>
              <w:t>个有效</w:t>
            </w:r>
            <w:r>
              <w:rPr>
                <w:rFonts w:eastAsia="宋体" w:cs=""/>
                <w:b w:val="false"/>
                <w:color w:val="202833"/>
                <w:kern w:val="0"/>
                <w:sz w:val="14"/>
                <w:szCs w:val="22"/>
                <w:lang w:val="en-US" w:eastAsia="en-US" w:bidi="ar-SA"/>
              </w:rPr>
              <w:t>episode</w:t>
            </w:r>
            <w:r>
              <w:rPr>
                <w:rFonts w:ascii="Times New Roman" w:hAnsi="Times New Roman" w:cs=""/>
                <w:b w:val="false"/>
                <w:color w:val="202833"/>
                <w:kern w:val="0"/>
                <w:sz w:val="14"/>
                <w:szCs w:val="22"/>
                <w:lang w:val="en-US" w:eastAsia="en-US" w:bidi="ar-SA"/>
              </w:rPr>
              <w:t>、</w:t>
            </w:r>
            <w:r>
              <w:rPr>
                <w:rFonts w:eastAsia="宋体" w:cs=""/>
                <w:b w:val="false"/>
                <w:color w:val="202833"/>
                <w:kern w:val="0"/>
                <w:sz w:val="14"/>
                <w:szCs w:val="22"/>
                <w:lang w:val="en-US" w:eastAsia="en-US" w:bidi="ar-SA"/>
              </w:rPr>
              <w:t>20</w:t>
            </w:r>
            <w:r>
              <w:rPr>
                <w:rFonts w:ascii="Times New Roman" w:hAnsi="Times New Roman" w:cs=""/>
                <w:b w:val="false"/>
                <w:color w:val="202833"/>
                <w:kern w:val="0"/>
                <w:sz w:val="14"/>
                <w:szCs w:val="22"/>
                <w:lang w:val="en-US" w:eastAsia="en-US" w:bidi="ar-SA"/>
              </w:rPr>
              <w:t>个删除</w:t>
            </w:r>
            <w:r>
              <w:rPr>
                <w:rFonts w:eastAsia="宋体" w:cs=""/>
                <w:b w:val="false"/>
                <w:color w:val="202833"/>
                <w:kern w:val="0"/>
                <w:sz w:val="14"/>
                <w:szCs w:val="22"/>
                <w:lang w:val="en-US" w:eastAsia="en-US" w:bidi="ar-SA"/>
              </w:rPr>
              <w:t>/</w:t>
            </w:r>
            <w:r>
              <w:rPr>
                <w:rFonts w:ascii="Times New Roman" w:hAnsi="Times New Roman" w:cs=""/>
                <w:b w:val="false"/>
                <w:color w:val="202833"/>
                <w:kern w:val="0"/>
                <w:sz w:val="14"/>
                <w:szCs w:val="22"/>
                <w:lang w:val="en-US" w:eastAsia="en-US" w:bidi="ar-SA"/>
              </w:rPr>
              <w:t>改写</w:t>
            </w:r>
            <w:r>
              <w:rPr>
                <w:rFonts w:eastAsia="宋体" w:cs=""/>
                <w:b w:val="false"/>
                <w:color w:val="202833"/>
                <w:kern w:val="0"/>
                <w:sz w:val="14"/>
                <w:szCs w:val="22"/>
                <w:lang w:val="en-US" w:eastAsia="en-US" w:bidi="ar-SA"/>
              </w:rPr>
              <w:t>/</w:t>
            </w:r>
            <w:r>
              <w:rPr>
                <w:rFonts w:ascii="Times New Roman" w:hAnsi="Times New Roman" w:cs=""/>
                <w:b w:val="false"/>
                <w:color w:val="202833"/>
                <w:kern w:val="0"/>
                <w:sz w:val="14"/>
                <w:szCs w:val="22"/>
                <w:lang w:val="en-US" w:eastAsia="en-US" w:bidi="ar-SA"/>
              </w:rPr>
              <w:t>重排注入样本</w:t>
            </w:r>
          </w:p>
        </w:tc>
        <w:tc>
          <w:tcPr>
            <w:tcW w:w="1343" w:type="dxa"/>
            <w:tcBorders/>
            <w:vAlign w:val="center"/>
          </w:tcPr>
          <w:p>
            <w:pPr>
              <w:pStyle w:val="Normal"/>
              <w:widowControl/>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4"/>
                <w:szCs w:val="22"/>
                <w:lang w:val="en-US" w:eastAsia="en-US" w:bidi="ar-SA"/>
              </w:rPr>
              <w:t>覆盖率</w:t>
            </w:r>
            <w:r>
              <w:rPr>
                <w:rFonts w:eastAsia="宋体" w:cs=""/>
                <w:b w:val="false"/>
                <w:color w:val="202833"/>
                <w:kern w:val="0"/>
                <w:sz w:val="14"/>
                <w:szCs w:val="22"/>
                <w:lang w:val="en-US" w:eastAsia="en-US" w:bidi="ar-SA"/>
              </w:rPr>
              <w:t>=</w:t>
            </w:r>
            <w:r>
              <w:rPr>
                <w:rFonts w:ascii="Times New Roman" w:hAnsi="Times New Roman" w:cs=""/>
                <w:b w:val="false"/>
                <w:color w:val="202833"/>
                <w:kern w:val="0"/>
                <w:sz w:val="14"/>
                <w:szCs w:val="22"/>
                <w:lang w:val="en-US" w:eastAsia="en-US" w:bidi="ar-SA"/>
              </w:rPr>
              <w:t>带文件大小、</w:t>
            </w:r>
            <w:r>
              <w:rPr>
                <w:rFonts w:eastAsia="宋体" w:cs=""/>
                <w:b w:val="false"/>
                <w:color w:val="202833"/>
                <w:kern w:val="0"/>
                <w:sz w:val="14"/>
                <w:szCs w:val="22"/>
                <w:lang w:val="en-US" w:eastAsia="en-US" w:bidi="ar-SA"/>
              </w:rPr>
              <w:t>SHA-256</w:t>
            </w:r>
            <w:r>
              <w:rPr>
                <w:rFonts w:ascii="Times New Roman" w:hAnsi="Times New Roman" w:cs=""/>
                <w:b w:val="false"/>
                <w:color w:val="202833"/>
                <w:kern w:val="0"/>
                <w:sz w:val="14"/>
                <w:szCs w:val="22"/>
                <w:lang w:val="en-US" w:eastAsia="en-US" w:bidi="ar-SA"/>
              </w:rPr>
              <w:t>、生成者、模式版本和时间范围的原始文件数</w:t>
            </w:r>
            <w:r>
              <w:rPr>
                <w:rFonts w:eastAsia="宋体" w:cs=""/>
                <w:b w:val="false"/>
                <w:color w:val="202833"/>
                <w:kern w:val="0"/>
                <w:sz w:val="14"/>
                <w:szCs w:val="22"/>
                <w:lang w:val="en-US" w:eastAsia="en-US" w:bidi="ar-SA"/>
              </w:rPr>
              <w:t>/</w:t>
            </w:r>
            <w:r>
              <w:rPr>
                <w:rFonts w:ascii="Times New Roman" w:hAnsi="Times New Roman" w:cs=""/>
                <w:b w:val="false"/>
                <w:color w:val="202833"/>
                <w:kern w:val="0"/>
                <w:sz w:val="14"/>
                <w:szCs w:val="22"/>
                <w:lang w:val="en-US" w:eastAsia="en-US" w:bidi="ar-SA"/>
              </w:rPr>
              <w:t>应登记原始文件数</w:t>
            </w:r>
          </w:p>
        </w:tc>
        <w:tc>
          <w:tcPr>
            <w:tcW w:w="1344" w:type="dxa"/>
            <w:tcBorders/>
            <w:vAlign w:val="center"/>
          </w:tcPr>
          <w:p>
            <w:pPr>
              <w:pStyle w:val="Normal"/>
              <w:widowControl/>
              <w:spacing w:lineRule="auto" w:line="259" w:before="0" w:after="0"/>
              <w:ind w:hanging="0"/>
              <w:jc w:val="left"/>
              <w:rPr>
                <w:rFonts w:cs=""/>
                <w:kern w:val="0"/>
                <w:szCs w:val="22"/>
                <w:lang w:val="en-US" w:eastAsia="en-US" w:bidi="ar-SA"/>
              </w:rPr>
            </w:pPr>
            <w:r>
              <w:rPr>
                <w:rFonts w:eastAsia="宋体" w:cs=""/>
                <w:b w:val="false"/>
                <w:color w:val="202833"/>
                <w:kern w:val="0"/>
                <w:sz w:val="14"/>
                <w:szCs w:val="22"/>
                <w:lang w:val="en-US" w:eastAsia="en-US" w:bidi="ar-SA"/>
              </w:rPr>
              <w:t>100</w:t>
            </w:r>
            <w:r>
              <w:rPr>
                <w:rFonts w:ascii="Times New Roman" w:hAnsi="Times New Roman" w:cs=""/>
                <w:b w:val="false"/>
                <w:color w:val="202833"/>
                <w:kern w:val="0"/>
                <w:sz w:val="14"/>
                <w:szCs w:val="22"/>
                <w:lang w:val="en-US" w:eastAsia="en-US" w:bidi="ar-SA"/>
              </w:rPr>
              <w:t>个有效</w:t>
            </w:r>
            <w:r>
              <w:rPr>
                <w:rFonts w:eastAsia="宋体" w:cs=""/>
                <w:b w:val="false"/>
                <w:color w:val="202833"/>
                <w:kern w:val="0"/>
                <w:sz w:val="14"/>
                <w:szCs w:val="22"/>
                <w:lang w:val="en-US" w:eastAsia="en-US" w:bidi="ar-SA"/>
              </w:rPr>
              <w:t>episode</w:t>
            </w:r>
            <w:r>
              <w:rPr>
                <w:rFonts w:ascii="Times New Roman" w:hAnsi="Times New Roman" w:cs=""/>
                <w:b w:val="false"/>
                <w:color w:val="202833"/>
                <w:kern w:val="0"/>
                <w:sz w:val="14"/>
                <w:szCs w:val="22"/>
                <w:lang w:val="en-US" w:eastAsia="en-US" w:bidi="ar-SA"/>
              </w:rPr>
              <w:t>全覆盖；</w:t>
            </w:r>
            <w:r>
              <w:rPr>
                <w:rFonts w:eastAsia="宋体" w:cs=""/>
                <w:b w:val="false"/>
                <w:color w:val="202833"/>
                <w:kern w:val="0"/>
                <w:sz w:val="14"/>
                <w:szCs w:val="22"/>
                <w:lang w:val="en-US" w:eastAsia="en-US" w:bidi="ar-SA"/>
              </w:rPr>
              <w:t>20</w:t>
            </w:r>
            <w:r>
              <w:rPr>
                <w:rFonts w:ascii="Times New Roman" w:hAnsi="Times New Roman" w:cs=""/>
                <w:b w:val="false"/>
                <w:color w:val="202833"/>
                <w:kern w:val="0"/>
                <w:sz w:val="14"/>
                <w:szCs w:val="22"/>
                <w:lang w:val="en-US" w:eastAsia="en-US" w:bidi="ar-SA"/>
              </w:rPr>
              <w:t>个篡改样本全部检出；报告过程前后原文件哈希一致</w:t>
            </w:r>
          </w:p>
        </w:tc>
      </w:tr>
      <w:tr>
        <w:trPr>
          <w:cantSplit w:val="true"/>
        </w:trPr>
        <w:tc>
          <w:tcPr>
            <w:tcW w:w="1344" w:type="dxa"/>
            <w:tcBorders/>
            <w:shd w:fill="F5F7FA"/>
            <w:vAlign w:val="center"/>
          </w:tcPr>
          <w:p>
            <w:pPr>
              <w:pStyle w:val="Normal"/>
              <w:widowControl/>
              <w:spacing w:lineRule="auto" w:line="259" w:before="0" w:after="0"/>
              <w:ind w:hanging="0"/>
              <w:jc w:val="left"/>
              <w:rPr>
                <w:rFonts w:cs=""/>
                <w:kern w:val="0"/>
                <w:szCs w:val="22"/>
                <w:lang w:val="en-US" w:eastAsia="en-US" w:bidi="ar-SA"/>
              </w:rPr>
            </w:pPr>
            <w:r>
              <w:rPr>
                <w:rFonts w:eastAsia="宋体" w:cs=""/>
                <w:b w:val="false"/>
                <w:color w:val="202833"/>
                <w:kern w:val="0"/>
                <w:sz w:val="14"/>
                <w:szCs w:val="22"/>
                <w:lang w:val="en-US" w:eastAsia="en-US" w:bidi="ar-SA"/>
              </w:rPr>
              <w:t>I-04</w:t>
            </w:r>
          </w:p>
        </w:tc>
        <w:tc>
          <w:tcPr>
            <w:tcW w:w="1343" w:type="dxa"/>
            <w:tcBorders/>
            <w:shd w:fill="F5F7FA"/>
            <w:vAlign w:val="center"/>
          </w:tcPr>
          <w:p>
            <w:pPr>
              <w:pStyle w:val="Normal"/>
              <w:widowControl/>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4"/>
                <w:szCs w:val="22"/>
                <w:lang w:val="en-US" w:eastAsia="en-US" w:bidi="ar-SA"/>
              </w:rPr>
              <w:t>证据包模式通过与坏包拒绝</w:t>
            </w:r>
          </w:p>
        </w:tc>
        <w:tc>
          <w:tcPr>
            <w:tcW w:w="1345" w:type="dxa"/>
            <w:tcBorders/>
            <w:shd w:fill="F5F7FA"/>
            <w:vAlign w:val="center"/>
          </w:tcPr>
          <w:p>
            <w:pPr>
              <w:pStyle w:val="Normal"/>
              <w:widowControl/>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4"/>
                <w:szCs w:val="22"/>
                <w:lang w:val="en-US" w:eastAsia="en-US" w:bidi="ar-SA"/>
              </w:rPr>
              <w:t>未实现</w:t>
            </w:r>
          </w:p>
        </w:tc>
        <w:tc>
          <w:tcPr>
            <w:tcW w:w="1343" w:type="dxa"/>
            <w:tcBorders/>
            <w:shd w:fill="F5F7FA"/>
            <w:vAlign w:val="center"/>
          </w:tcPr>
          <w:p>
            <w:pPr>
              <w:pStyle w:val="Normal"/>
              <w:widowControl/>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4"/>
                <w:szCs w:val="22"/>
                <w:lang w:val="en-US" w:eastAsia="en-US" w:bidi="ar-SA"/>
              </w:rPr>
              <w:t>合法包</w:t>
            </w:r>
            <w:r>
              <w:rPr>
                <w:rFonts w:eastAsia="宋体" w:cs=""/>
                <w:b w:val="false"/>
                <w:color w:val="202833"/>
                <w:kern w:val="0"/>
                <w:sz w:val="14"/>
                <w:szCs w:val="22"/>
                <w:lang w:val="en-US" w:eastAsia="en-US" w:bidi="ar-SA"/>
              </w:rPr>
              <w:t>100%</w:t>
            </w:r>
            <w:r>
              <w:rPr>
                <w:rFonts w:ascii="Times New Roman" w:hAnsi="Times New Roman" w:cs=""/>
                <w:b w:val="false"/>
                <w:color w:val="202833"/>
                <w:kern w:val="0"/>
                <w:sz w:val="14"/>
                <w:szCs w:val="22"/>
                <w:lang w:val="en-US" w:eastAsia="en-US" w:bidi="ar-SA"/>
              </w:rPr>
              <w:t>通过；非法包</w:t>
            </w:r>
            <w:r>
              <w:rPr>
                <w:rFonts w:eastAsia="宋体" w:cs=""/>
                <w:b w:val="false"/>
                <w:color w:val="202833"/>
                <w:kern w:val="0"/>
                <w:sz w:val="14"/>
                <w:szCs w:val="22"/>
                <w:lang w:val="en-US" w:eastAsia="en-US" w:bidi="ar-SA"/>
              </w:rPr>
              <w:t>100%</w:t>
            </w:r>
            <w:r>
              <w:rPr>
                <w:rFonts w:ascii="Times New Roman" w:hAnsi="Times New Roman" w:cs=""/>
                <w:b w:val="false"/>
                <w:color w:val="202833"/>
                <w:kern w:val="0"/>
                <w:sz w:val="14"/>
                <w:szCs w:val="22"/>
                <w:lang w:val="en-US" w:eastAsia="en-US" w:bidi="ar-SA"/>
              </w:rPr>
              <w:t>拒绝</w:t>
            </w:r>
          </w:p>
        </w:tc>
        <w:tc>
          <w:tcPr>
            <w:tcW w:w="1345" w:type="dxa"/>
            <w:tcBorders/>
            <w:shd w:fill="F5F7FA"/>
            <w:vAlign w:val="center"/>
          </w:tcPr>
          <w:p>
            <w:pPr>
              <w:pStyle w:val="Normal"/>
              <w:widowControl/>
              <w:spacing w:lineRule="auto" w:line="259" w:before="0" w:after="0"/>
              <w:ind w:hanging="0"/>
              <w:jc w:val="left"/>
              <w:rPr>
                <w:rFonts w:cs=""/>
                <w:kern w:val="0"/>
                <w:szCs w:val="22"/>
                <w:lang w:val="en-US" w:eastAsia="en-US" w:bidi="ar-SA"/>
              </w:rPr>
            </w:pPr>
            <w:r>
              <w:rPr>
                <w:rFonts w:eastAsia="宋体" w:cs=""/>
                <w:b w:val="false"/>
                <w:color w:val="202833"/>
                <w:kern w:val="0"/>
                <w:sz w:val="14"/>
                <w:szCs w:val="22"/>
                <w:lang w:val="en-US" w:eastAsia="en-US" w:bidi="ar-SA"/>
              </w:rPr>
              <w:t>100</w:t>
            </w:r>
            <w:r>
              <w:rPr>
                <w:rFonts w:ascii="Times New Roman" w:hAnsi="Times New Roman" w:cs=""/>
                <w:b w:val="false"/>
                <w:color w:val="202833"/>
                <w:kern w:val="0"/>
                <w:sz w:val="14"/>
                <w:szCs w:val="22"/>
                <w:lang w:val="en-US" w:eastAsia="en-US" w:bidi="ar-SA"/>
              </w:rPr>
              <w:t>个合法证据包和不少于</w:t>
            </w:r>
            <w:r>
              <w:rPr>
                <w:rFonts w:eastAsia="宋体" w:cs=""/>
                <w:b w:val="false"/>
                <w:color w:val="202833"/>
                <w:kern w:val="0"/>
                <w:sz w:val="14"/>
                <w:szCs w:val="22"/>
                <w:lang w:val="en-US" w:eastAsia="en-US" w:bidi="ar-SA"/>
              </w:rPr>
              <w:t>100</w:t>
            </w:r>
            <w:r>
              <w:rPr>
                <w:rFonts w:ascii="Times New Roman" w:hAnsi="Times New Roman" w:cs=""/>
                <w:b w:val="false"/>
                <w:color w:val="202833"/>
                <w:kern w:val="0"/>
                <w:sz w:val="14"/>
                <w:szCs w:val="22"/>
                <w:lang w:val="en-US" w:eastAsia="en-US" w:bidi="ar-SA"/>
              </w:rPr>
              <w:t>个故障注入包，覆盖缺字段、坏哈希、错</w:t>
            </w:r>
            <w:r>
              <w:rPr>
                <w:rFonts w:eastAsia="宋体" w:cs=""/>
                <w:b w:val="false"/>
                <w:color w:val="202833"/>
                <w:kern w:val="0"/>
                <w:sz w:val="14"/>
                <w:szCs w:val="22"/>
                <w:lang w:val="en-US" w:eastAsia="en-US" w:bidi="ar-SA"/>
              </w:rPr>
              <w:t>episode</w:t>
            </w:r>
            <w:r>
              <w:rPr>
                <w:rFonts w:ascii="Times New Roman" w:hAnsi="Times New Roman" w:cs=""/>
                <w:b w:val="false"/>
                <w:color w:val="202833"/>
                <w:kern w:val="0"/>
                <w:sz w:val="14"/>
                <w:szCs w:val="22"/>
                <w:lang w:val="en-US" w:eastAsia="en-US" w:bidi="ar-SA"/>
              </w:rPr>
              <w:t>、错版本、</w:t>
            </w:r>
            <w:r>
              <w:rPr>
                <w:rFonts w:eastAsia="宋体" w:cs=""/>
                <w:b w:val="false"/>
                <w:color w:val="202833"/>
                <w:kern w:val="0"/>
                <w:sz w:val="14"/>
                <w:szCs w:val="22"/>
                <w:lang w:val="en-US" w:eastAsia="en-US" w:bidi="ar-SA"/>
              </w:rPr>
              <w:t>NaN/Inf</w:t>
            </w:r>
            <w:r>
              <w:rPr>
                <w:rFonts w:ascii="Times New Roman" w:hAnsi="Times New Roman" w:cs=""/>
                <w:b w:val="false"/>
                <w:color w:val="202833"/>
                <w:kern w:val="0"/>
                <w:sz w:val="14"/>
                <w:szCs w:val="22"/>
                <w:lang w:val="en-US" w:eastAsia="en-US" w:bidi="ar-SA"/>
              </w:rPr>
              <w:t>、时间倒序和证据悬空</w:t>
            </w:r>
          </w:p>
        </w:tc>
        <w:tc>
          <w:tcPr>
            <w:tcW w:w="1343" w:type="dxa"/>
            <w:tcBorders/>
            <w:shd w:fill="F5F7FA"/>
            <w:vAlign w:val="center"/>
          </w:tcPr>
          <w:p>
            <w:pPr>
              <w:pStyle w:val="Normal"/>
              <w:widowControl/>
              <w:spacing w:lineRule="auto" w:line="259" w:before="0" w:after="0"/>
              <w:ind w:hanging="0"/>
              <w:jc w:val="left"/>
              <w:rPr>
                <w:rFonts w:cs=""/>
                <w:kern w:val="0"/>
                <w:szCs w:val="22"/>
                <w:lang w:val="en-US" w:eastAsia="en-US" w:bidi="ar-SA"/>
              </w:rPr>
            </w:pPr>
            <w:r>
              <w:rPr>
                <w:rFonts w:eastAsia="宋体" w:cs=""/>
                <w:b w:val="false"/>
                <w:color w:val="202833"/>
                <w:kern w:val="0"/>
                <w:sz w:val="14"/>
                <w:szCs w:val="22"/>
                <w:lang w:val="en-US" w:eastAsia="en-US" w:bidi="ar-SA"/>
              </w:rPr>
              <w:t>JSON Schema</w:t>
            </w:r>
            <w:r>
              <w:rPr>
                <w:rFonts w:ascii="Times New Roman" w:hAnsi="Times New Roman" w:cs=""/>
                <w:b w:val="false"/>
                <w:color w:val="202833"/>
                <w:kern w:val="0"/>
                <w:sz w:val="14"/>
                <w:szCs w:val="22"/>
                <w:lang w:val="en-US" w:eastAsia="en-US" w:bidi="ar-SA"/>
              </w:rPr>
              <w:t>校验、哈希复算、范围和引用完整性检查日志</w:t>
            </w:r>
          </w:p>
        </w:tc>
        <w:tc>
          <w:tcPr>
            <w:tcW w:w="1344" w:type="dxa"/>
            <w:tcBorders/>
            <w:shd w:fill="F5F7FA"/>
            <w:vAlign w:val="center"/>
          </w:tcPr>
          <w:p>
            <w:pPr>
              <w:pStyle w:val="Normal"/>
              <w:widowControl/>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4"/>
                <w:szCs w:val="22"/>
                <w:lang w:val="en-US" w:eastAsia="en-US" w:bidi="ar-SA"/>
              </w:rPr>
              <w:t>合法包误拒</w:t>
            </w:r>
            <w:r>
              <w:rPr>
                <w:rFonts w:eastAsia="宋体" w:cs=""/>
                <w:b w:val="false"/>
                <w:color w:val="202833"/>
                <w:kern w:val="0"/>
                <w:sz w:val="14"/>
                <w:szCs w:val="22"/>
                <w:lang w:val="en-US" w:eastAsia="en-US" w:bidi="ar-SA"/>
              </w:rPr>
              <w:t>0</w:t>
            </w:r>
            <w:r>
              <w:rPr>
                <w:rFonts w:ascii="Times New Roman" w:hAnsi="Times New Roman" w:cs=""/>
                <w:b w:val="false"/>
                <w:color w:val="202833"/>
                <w:kern w:val="0"/>
                <w:sz w:val="14"/>
                <w:szCs w:val="22"/>
                <w:lang w:val="en-US" w:eastAsia="en-US" w:bidi="ar-SA"/>
              </w:rPr>
              <w:t>；非法包漏拒</w:t>
            </w:r>
            <w:r>
              <w:rPr>
                <w:rFonts w:eastAsia="宋体" w:cs=""/>
                <w:b w:val="false"/>
                <w:color w:val="202833"/>
                <w:kern w:val="0"/>
                <w:sz w:val="14"/>
                <w:szCs w:val="22"/>
                <w:lang w:val="en-US" w:eastAsia="en-US" w:bidi="ar-SA"/>
              </w:rPr>
              <w:t>0</w:t>
            </w:r>
            <w:r>
              <w:rPr>
                <w:rFonts w:ascii="Times New Roman" w:hAnsi="Times New Roman" w:cs=""/>
                <w:b w:val="false"/>
                <w:color w:val="202833"/>
                <w:kern w:val="0"/>
                <w:sz w:val="14"/>
                <w:szCs w:val="22"/>
                <w:lang w:val="en-US" w:eastAsia="en-US" w:bidi="ar-SA"/>
              </w:rPr>
              <w:t>；拒绝后不得调用模型</w:t>
            </w:r>
          </w:p>
        </w:tc>
      </w:tr>
      <w:tr>
        <w:trPr>
          <w:cantSplit w:val="true"/>
        </w:trPr>
        <w:tc>
          <w:tcPr>
            <w:tcW w:w="1344" w:type="dxa"/>
            <w:tcBorders/>
            <w:vAlign w:val="center"/>
          </w:tcPr>
          <w:p>
            <w:pPr>
              <w:pStyle w:val="Normal"/>
              <w:widowControl/>
              <w:spacing w:lineRule="auto" w:line="259" w:before="0" w:after="0"/>
              <w:ind w:hanging="0"/>
              <w:jc w:val="left"/>
              <w:rPr>
                <w:rFonts w:cs=""/>
                <w:kern w:val="0"/>
                <w:szCs w:val="22"/>
                <w:lang w:val="en-US" w:eastAsia="en-US" w:bidi="ar-SA"/>
              </w:rPr>
            </w:pPr>
            <w:r>
              <w:rPr>
                <w:rFonts w:eastAsia="宋体" w:cs=""/>
                <w:b w:val="false"/>
                <w:color w:val="202833"/>
                <w:kern w:val="0"/>
                <w:sz w:val="14"/>
                <w:szCs w:val="22"/>
                <w:lang w:val="en-US" w:eastAsia="en-US" w:bidi="ar-SA"/>
              </w:rPr>
              <w:t>I-05</w:t>
            </w:r>
          </w:p>
        </w:tc>
        <w:tc>
          <w:tcPr>
            <w:tcW w:w="1343" w:type="dxa"/>
            <w:tcBorders/>
            <w:vAlign w:val="center"/>
          </w:tcPr>
          <w:p>
            <w:pPr>
              <w:pStyle w:val="Normal"/>
              <w:widowControl/>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4"/>
                <w:szCs w:val="22"/>
                <w:lang w:val="en-US" w:eastAsia="en-US" w:bidi="ar-SA"/>
              </w:rPr>
              <w:t>正式指标由大模型计算的数量</w:t>
            </w:r>
          </w:p>
        </w:tc>
        <w:tc>
          <w:tcPr>
            <w:tcW w:w="1345" w:type="dxa"/>
            <w:tcBorders/>
            <w:vAlign w:val="center"/>
          </w:tcPr>
          <w:p>
            <w:pPr>
              <w:pStyle w:val="Normal"/>
              <w:widowControl/>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4"/>
                <w:szCs w:val="22"/>
                <w:lang w:val="en-US" w:eastAsia="en-US" w:bidi="ar-SA"/>
              </w:rPr>
              <w:t>当前正式指标由</w:t>
            </w:r>
            <w:r>
              <w:rPr>
                <w:rFonts w:eastAsia="宋体" w:cs=""/>
                <w:b w:val="false"/>
                <w:color w:val="202833"/>
                <w:kern w:val="0"/>
                <w:sz w:val="14"/>
                <w:szCs w:val="22"/>
                <w:lang w:val="en-US" w:eastAsia="en-US" w:bidi="ar-SA"/>
              </w:rPr>
              <w:t>D6</w:t>
            </w:r>
            <w:r>
              <w:rPr>
                <w:rFonts w:ascii="Times New Roman" w:hAnsi="Times New Roman" w:cs=""/>
                <w:b w:val="false"/>
                <w:color w:val="202833"/>
                <w:kern w:val="0"/>
                <w:sz w:val="14"/>
                <w:szCs w:val="22"/>
                <w:lang w:val="en-US" w:eastAsia="en-US" w:bidi="ar-SA"/>
              </w:rPr>
              <w:t>计算</w:t>
            </w:r>
          </w:p>
        </w:tc>
        <w:tc>
          <w:tcPr>
            <w:tcW w:w="1343" w:type="dxa"/>
            <w:tcBorders/>
            <w:vAlign w:val="center"/>
          </w:tcPr>
          <w:p>
            <w:pPr>
              <w:pStyle w:val="Normal"/>
              <w:widowControl/>
              <w:spacing w:lineRule="auto" w:line="259" w:before="0" w:after="0"/>
              <w:ind w:hanging="0"/>
              <w:jc w:val="left"/>
              <w:rPr>
                <w:rFonts w:cs=""/>
                <w:kern w:val="0"/>
                <w:szCs w:val="22"/>
                <w:lang w:val="en-US" w:eastAsia="en-US" w:bidi="ar-SA"/>
              </w:rPr>
            </w:pPr>
            <w:r>
              <w:rPr>
                <w:rFonts w:eastAsia="宋体" w:cs=""/>
                <w:b w:val="false"/>
                <w:color w:val="202833"/>
                <w:kern w:val="0"/>
                <w:sz w:val="14"/>
                <w:szCs w:val="22"/>
                <w:lang w:val="en-US" w:eastAsia="en-US" w:bidi="ar-SA"/>
              </w:rPr>
              <w:t>0</w:t>
            </w:r>
            <w:r>
              <w:rPr>
                <w:rFonts w:ascii="Times New Roman" w:hAnsi="Times New Roman" w:cs=""/>
                <w:b w:val="false"/>
                <w:color w:val="202833"/>
                <w:kern w:val="0"/>
                <w:sz w:val="14"/>
                <w:szCs w:val="22"/>
                <w:lang w:val="en-US" w:eastAsia="en-US" w:bidi="ar-SA"/>
              </w:rPr>
              <w:t>项</w:t>
            </w:r>
          </w:p>
        </w:tc>
        <w:tc>
          <w:tcPr>
            <w:tcW w:w="1345" w:type="dxa"/>
            <w:tcBorders/>
            <w:vAlign w:val="center"/>
          </w:tcPr>
          <w:p>
            <w:pPr>
              <w:pStyle w:val="Normal"/>
              <w:widowControl/>
              <w:spacing w:lineRule="auto" w:line="259" w:before="0" w:after="0"/>
              <w:ind w:hanging="0"/>
              <w:jc w:val="left"/>
              <w:rPr>
                <w:rFonts w:cs=""/>
                <w:kern w:val="0"/>
                <w:szCs w:val="22"/>
                <w:lang w:val="en-US" w:eastAsia="en-US" w:bidi="ar-SA"/>
              </w:rPr>
            </w:pPr>
            <w:r>
              <w:rPr>
                <w:rFonts w:eastAsia="宋体" w:cs=""/>
                <w:b w:val="false"/>
                <w:color w:val="202833"/>
                <w:kern w:val="0"/>
                <w:sz w:val="14"/>
                <w:szCs w:val="22"/>
                <w:lang w:val="en-US" w:eastAsia="en-US" w:bidi="ar-SA"/>
              </w:rPr>
              <w:t>100</w:t>
            </w:r>
            <w:r>
              <w:rPr>
                <w:rFonts w:ascii="Times New Roman" w:hAnsi="Times New Roman" w:cs=""/>
                <w:b w:val="false"/>
                <w:color w:val="202833"/>
                <w:kern w:val="0"/>
                <w:sz w:val="14"/>
                <w:szCs w:val="22"/>
                <w:lang w:val="en-US" w:eastAsia="en-US" w:bidi="ar-SA"/>
              </w:rPr>
              <w:t>个</w:t>
            </w:r>
            <w:r>
              <w:rPr>
                <w:rFonts w:eastAsia="宋体" w:cs=""/>
                <w:b w:val="false"/>
                <w:color w:val="202833"/>
                <w:kern w:val="0"/>
                <w:sz w:val="14"/>
                <w:szCs w:val="22"/>
                <w:lang w:val="en-US" w:eastAsia="en-US" w:bidi="ar-SA"/>
              </w:rPr>
              <w:t>episode</w:t>
            </w:r>
            <w:r>
              <w:rPr>
                <w:rFonts w:ascii="Times New Roman" w:hAnsi="Times New Roman" w:cs=""/>
                <w:b w:val="false"/>
                <w:color w:val="202833"/>
                <w:kern w:val="0"/>
                <w:sz w:val="14"/>
                <w:szCs w:val="22"/>
                <w:lang w:val="en-US" w:eastAsia="en-US" w:bidi="ar-SA"/>
              </w:rPr>
              <w:t>，包含所有可用正式指标和显式不可用项；另注入</w:t>
            </w:r>
            <w:r>
              <w:rPr>
                <w:rFonts w:eastAsia="宋体" w:cs=""/>
                <w:b w:val="false"/>
                <w:color w:val="202833"/>
                <w:kern w:val="0"/>
                <w:sz w:val="14"/>
                <w:szCs w:val="22"/>
                <w:lang w:val="en-US" w:eastAsia="en-US" w:bidi="ar-SA"/>
              </w:rPr>
              <w:t>200</w:t>
            </w:r>
            <w:r>
              <w:rPr>
                <w:rFonts w:ascii="Times New Roman" w:hAnsi="Times New Roman" w:cs=""/>
                <w:b w:val="false"/>
                <w:color w:val="202833"/>
                <w:kern w:val="0"/>
                <w:sz w:val="14"/>
                <w:szCs w:val="22"/>
                <w:lang w:val="en-US" w:eastAsia="en-US" w:bidi="ar-SA"/>
              </w:rPr>
              <w:t>个数值改写样本</w:t>
            </w:r>
          </w:p>
        </w:tc>
        <w:tc>
          <w:tcPr>
            <w:tcW w:w="1343" w:type="dxa"/>
            <w:tcBorders/>
            <w:vAlign w:val="center"/>
          </w:tcPr>
          <w:p>
            <w:pPr>
              <w:pStyle w:val="Normal"/>
              <w:widowControl/>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4"/>
                <w:szCs w:val="22"/>
                <w:lang w:val="en-US" w:eastAsia="en-US" w:bidi="ar-SA"/>
              </w:rPr>
              <w:t>比较报告机器可读中间表示与</w:t>
            </w:r>
            <w:r>
              <w:rPr>
                <w:rFonts w:eastAsia="宋体" w:cs=""/>
                <w:b w:val="false"/>
                <w:color w:val="202833"/>
                <w:kern w:val="0"/>
                <w:sz w:val="14"/>
                <w:szCs w:val="22"/>
                <w:lang w:val="en-US" w:eastAsia="en-US" w:bidi="ar-SA"/>
              </w:rPr>
              <w:t>D6</w:t>
            </w:r>
            <w:r>
              <w:rPr>
                <w:rFonts w:ascii="Times New Roman" w:hAnsi="Times New Roman" w:cs=""/>
                <w:b w:val="false"/>
                <w:color w:val="202833"/>
                <w:kern w:val="0"/>
                <w:sz w:val="14"/>
                <w:szCs w:val="22"/>
                <w:lang w:val="en-US" w:eastAsia="en-US" w:bidi="ar-SA"/>
              </w:rPr>
              <w:t>指标</w:t>
            </w:r>
            <w:r>
              <w:rPr>
                <w:rFonts w:eastAsia="宋体" w:cs=""/>
                <w:b w:val="false"/>
                <w:color w:val="202833"/>
                <w:kern w:val="0"/>
                <w:sz w:val="14"/>
                <w:szCs w:val="22"/>
                <w:lang w:val="en-US" w:eastAsia="en-US" w:bidi="ar-SA"/>
              </w:rPr>
              <w:t>JSON</w:t>
            </w:r>
            <w:r>
              <w:rPr>
                <w:rFonts w:ascii="Times New Roman" w:hAnsi="Times New Roman" w:cs=""/>
                <w:b w:val="false"/>
                <w:color w:val="202833"/>
                <w:kern w:val="0"/>
                <w:sz w:val="14"/>
                <w:szCs w:val="22"/>
                <w:lang w:val="en-US" w:eastAsia="en-US" w:bidi="ar-SA"/>
              </w:rPr>
              <w:t>；统计模型输出中直接生成并进入正式结果的数字</w:t>
            </w:r>
          </w:p>
        </w:tc>
        <w:tc>
          <w:tcPr>
            <w:tcW w:w="1344" w:type="dxa"/>
            <w:tcBorders/>
            <w:vAlign w:val="center"/>
          </w:tcPr>
          <w:p>
            <w:pPr>
              <w:pStyle w:val="Normal"/>
              <w:widowControl/>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4"/>
                <w:szCs w:val="22"/>
                <w:lang w:val="en-US" w:eastAsia="en-US" w:bidi="ar-SA"/>
              </w:rPr>
              <w:t>进入正式结果的模型计算值为</w:t>
            </w:r>
            <w:r>
              <w:rPr>
                <w:rFonts w:eastAsia="宋体" w:cs=""/>
                <w:b w:val="false"/>
                <w:color w:val="202833"/>
                <w:kern w:val="0"/>
                <w:sz w:val="14"/>
                <w:szCs w:val="22"/>
                <w:lang w:val="en-US" w:eastAsia="en-US" w:bidi="ar-SA"/>
              </w:rPr>
              <w:t>0</w:t>
            </w:r>
            <w:r>
              <w:rPr>
                <w:rFonts w:ascii="Times New Roman" w:hAnsi="Times New Roman" w:cs=""/>
                <w:b w:val="false"/>
                <w:color w:val="202833"/>
                <w:kern w:val="0"/>
                <w:sz w:val="14"/>
                <w:szCs w:val="22"/>
                <w:lang w:val="en-US" w:eastAsia="en-US" w:bidi="ar-SA"/>
              </w:rPr>
              <w:t>；</w:t>
            </w:r>
            <w:r>
              <w:rPr>
                <w:rFonts w:eastAsia="宋体" w:cs=""/>
                <w:b w:val="false"/>
                <w:color w:val="202833"/>
                <w:kern w:val="0"/>
                <w:sz w:val="14"/>
                <w:szCs w:val="22"/>
                <w:lang w:val="en-US" w:eastAsia="en-US" w:bidi="ar-SA"/>
              </w:rPr>
              <w:t>200</w:t>
            </w:r>
            <w:r>
              <w:rPr>
                <w:rFonts w:ascii="Times New Roman" w:hAnsi="Times New Roman" w:cs=""/>
                <w:b w:val="false"/>
                <w:color w:val="202833"/>
                <w:kern w:val="0"/>
                <w:sz w:val="14"/>
                <w:szCs w:val="22"/>
                <w:lang w:val="en-US" w:eastAsia="en-US" w:bidi="ar-SA"/>
              </w:rPr>
              <w:t>个改写样本全部阻断</w:t>
            </w:r>
          </w:p>
        </w:tc>
      </w:tr>
      <w:tr>
        <w:trPr>
          <w:cantSplit w:val="true"/>
        </w:trPr>
        <w:tc>
          <w:tcPr>
            <w:tcW w:w="1344" w:type="dxa"/>
            <w:tcBorders/>
            <w:shd w:fill="F5F7FA"/>
            <w:vAlign w:val="center"/>
          </w:tcPr>
          <w:p>
            <w:pPr>
              <w:pStyle w:val="Normal"/>
              <w:widowControl/>
              <w:spacing w:lineRule="auto" w:line="259" w:before="0" w:after="0"/>
              <w:ind w:hanging="0"/>
              <w:jc w:val="left"/>
              <w:rPr>
                <w:rFonts w:cs=""/>
                <w:kern w:val="0"/>
                <w:szCs w:val="22"/>
                <w:lang w:val="en-US" w:eastAsia="en-US" w:bidi="ar-SA"/>
              </w:rPr>
            </w:pPr>
            <w:r>
              <w:rPr>
                <w:rFonts w:eastAsia="宋体" w:cs=""/>
                <w:b w:val="false"/>
                <w:color w:val="202833"/>
                <w:kern w:val="0"/>
                <w:sz w:val="14"/>
                <w:szCs w:val="22"/>
                <w:lang w:val="en-US" w:eastAsia="en-US" w:bidi="ar-SA"/>
              </w:rPr>
              <w:t>I-06</w:t>
            </w:r>
          </w:p>
        </w:tc>
        <w:tc>
          <w:tcPr>
            <w:tcW w:w="1343" w:type="dxa"/>
            <w:tcBorders/>
            <w:shd w:fill="F5F7FA"/>
            <w:vAlign w:val="center"/>
          </w:tcPr>
          <w:p>
            <w:pPr>
              <w:pStyle w:val="Normal"/>
              <w:widowControl/>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4"/>
                <w:szCs w:val="22"/>
                <w:lang w:val="en-US" w:eastAsia="en-US" w:bidi="ar-SA"/>
              </w:rPr>
              <w:t>数值锁定准确率</w:t>
            </w:r>
          </w:p>
        </w:tc>
        <w:tc>
          <w:tcPr>
            <w:tcW w:w="1345" w:type="dxa"/>
            <w:tcBorders/>
            <w:shd w:fill="F5F7FA"/>
            <w:vAlign w:val="center"/>
          </w:tcPr>
          <w:p>
            <w:pPr>
              <w:pStyle w:val="Normal"/>
              <w:widowControl/>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4"/>
                <w:szCs w:val="22"/>
                <w:lang w:val="en-US" w:eastAsia="en-US" w:bidi="ar-SA"/>
              </w:rPr>
              <w:t>未实现</w:t>
            </w:r>
          </w:p>
        </w:tc>
        <w:tc>
          <w:tcPr>
            <w:tcW w:w="1343" w:type="dxa"/>
            <w:tcBorders/>
            <w:shd w:fill="F5F7FA"/>
            <w:vAlign w:val="center"/>
          </w:tcPr>
          <w:p>
            <w:pPr>
              <w:pStyle w:val="Normal"/>
              <w:widowControl/>
              <w:spacing w:lineRule="auto" w:line="259" w:before="0" w:after="0"/>
              <w:ind w:hanging="0"/>
              <w:jc w:val="left"/>
              <w:rPr>
                <w:rFonts w:cs=""/>
                <w:kern w:val="0"/>
                <w:szCs w:val="22"/>
                <w:lang w:val="en-US" w:eastAsia="en-US" w:bidi="ar-SA"/>
              </w:rPr>
            </w:pPr>
            <w:r>
              <w:rPr>
                <w:rFonts w:eastAsia="宋体" w:cs=""/>
                <w:b w:val="false"/>
                <w:color w:val="202833"/>
                <w:kern w:val="0"/>
                <w:sz w:val="14"/>
                <w:szCs w:val="22"/>
                <w:lang w:val="en-US" w:eastAsia="en-US" w:bidi="ar-SA"/>
              </w:rPr>
              <w:t>100%</w:t>
            </w:r>
          </w:p>
        </w:tc>
        <w:tc>
          <w:tcPr>
            <w:tcW w:w="1345" w:type="dxa"/>
            <w:tcBorders/>
            <w:shd w:fill="F5F7FA"/>
            <w:vAlign w:val="center"/>
          </w:tcPr>
          <w:p>
            <w:pPr>
              <w:pStyle w:val="Normal"/>
              <w:widowControl/>
              <w:spacing w:lineRule="auto" w:line="259" w:before="0" w:after="0"/>
              <w:ind w:hanging="0"/>
              <w:jc w:val="left"/>
              <w:rPr>
                <w:rFonts w:cs=""/>
                <w:kern w:val="0"/>
                <w:szCs w:val="22"/>
                <w:lang w:val="en-US" w:eastAsia="en-US" w:bidi="ar-SA"/>
              </w:rPr>
            </w:pPr>
            <w:r>
              <w:rPr>
                <w:rFonts w:eastAsia="宋体" w:cs=""/>
                <w:b w:val="false"/>
                <w:color w:val="202833"/>
                <w:kern w:val="0"/>
                <w:sz w:val="14"/>
                <w:szCs w:val="22"/>
                <w:lang w:val="en-US" w:eastAsia="en-US" w:bidi="ar-SA"/>
              </w:rPr>
              <w:t>1000</w:t>
            </w:r>
            <w:r>
              <w:rPr>
                <w:rFonts w:ascii="Times New Roman" w:hAnsi="Times New Roman" w:cs=""/>
                <w:b w:val="false"/>
                <w:color w:val="202833"/>
                <w:kern w:val="0"/>
                <w:sz w:val="14"/>
                <w:szCs w:val="22"/>
                <w:lang w:val="en-US" w:eastAsia="en-US" w:bidi="ar-SA"/>
              </w:rPr>
              <w:t>个数值占位符，覆盖整数、小数、百分比、单位、四舍五入、显式零和不可用</w:t>
            </w:r>
          </w:p>
        </w:tc>
        <w:tc>
          <w:tcPr>
            <w:tcW w:w="1343" w:type="dxa"/>
            <w:tcBorders/>
            <w:shd w:fill="F5F7FA"/>
            <w:vAlign w:val="center"/>
          </w:tcPr>
          <w:p>
            <w:pPr>
              <w:pStyle w:val="Normal"/>
              <w:widowControl/>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4"/>
                <w:szCs w:val="22"/>
                <w:lang w:val="en-US" w:eastAsia="en-US" w:bidi="ar-SA"/>
              </w:rPr>
              <w:t>准确率</w:t>
            </w:r>
            <w:r>
              <w:rPr>
                <w:rFonts w:eastAsia="宋体" w:cs=""/>
                <w:b w:val="false"/>
                <w:color w:val="202833"/>
                <w:kern w:val="0"/>
                <w:sz w:val="14"/>
                <w:szCs w:val="22"/>
                <w:lang w:val="en-US" w:eastAsia="en-US" w:bidi="ar-SA"/>
              </w:rPr>
              <w:t>=</w:t>
            </w:r>
            <w:r>
              <w:rPr>
                <w:rFonts w:ascii="Times New Roman" w:hAnsi="Times New Roman" w:cs=""/>
                <w:b w:val="false"/>
                <w:color w:val="202833"/>
                <w:kern w:val="0"/>
                <w:sz w:val="14"/>
                <w:szCs w:val="22"/>
                <w:lang w:val="en-US" w:eastAsia="en-US" w:bidi="ar-SA"/>
              </w:rPr>
              <w:t>与指标源值、单位、显示规则完全一致的已发布数值</w:t>
            </w:r>
            <w:r>
              <w:rPr>
                <w:rFonts w:eastAsia="宋体" w:cs=""/>
                <w:b w:val="false"/>
                <w:color w:val="202833"/>
                <w:kern w:val="0"/>
                <w:sz w:val="14"/>
                <w:szCs w:val="22"/>
                <w:lang w:val="en-US" w:eastAsia="en-US" w:bidi="ar-SA"/>
              </w:rPr>
              <w:t>/</w:t>
            </w:r>
            <w:r>
              <w:rPr>
                <w:rFonts w:ascii="Times New Roman" w:hAnsi="Times New Roman" w:cs=""/>
                <w:b w:val="false"/>
                <w:color w:val="202833"/>
                <w:kern w:val="0"/>
                <w:sz w:val="14"/>
                <w:szCs w:val="22"/>
                <w:lang w:val="en-US" w:eastAsia="en-US" w:bidi="ar-SA"/>
              </w:rPr>
              <w:t>已发布数值总数</w:t>
            </w:r>
          </w:p>
        </w:tc>
        <w:tc>
          <w:tcPr>
            <w:tcW w:w="1344" w:type="dxa"/>
            <w:tcBorders/>
            <w:shd w:fill="F5F7FA"/>
            <w:vAlign w:val="center"/>
          </w:tcPr>
          <w:p>
            <w:pPr>
              <w:pStyle w:val="Normal"/>
              <w:widowControl/>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4"/>
                <w:szCs w:val="22"/>
                <w:lang w:val="en-US" w:eastAsia="en-US" w:bidi="ar-SA"/>
              </w:rPr>
              <w:t>准确率</w:t>
            </w:r>
            <w:r>
              <w:rPr>
                <w:rFonts w:eastAsia="宋体" w:cs=""/>
                <w:b w:val="false"/>
                <w:color w:val="202833"/>
                <w:kern w:val="0"/>
                <w:sz w:val="14"/>
                <w:szCs w:val="22"/>
                <w:lang w:val="en-US" w:eastAsia="en-US" w:bidi="ar-SA"/>
              </w:rPr>
              <w:t>100%</w:t>
            </w:r>
            <w:r>
              <w:rPr>
                <w:rFonts w:ascii="Times New Roman" w:hAnsi="Times New Roman" w:cs=""/>
                <w:b w:val="false"/>
                <w:color w:val="202833"/>
                <w:kern w:val="0"/>
                <w:sz w:val="14"/>
                <w:szCs w:val="22"/>
                <w:lang w:val="en-US" w:eastAsia="en-US" w:bidi="ar-SA"/>
              </w:rPr>
              <w:t>；不匹配、无来源或状态冲突的报告不得发布</w:t>
            </w:r>
          </w:p>
        </w:tc>
      </w:tr>
      <w:tr>
        <w:trPr>
          <w:cantSplit w:val="true"/>
        </w:trPr>
        <w:tc>
          <w:tcPr>
            <w:tcW w:w="1344" w:type="dxa"/>
            <w:tcBorders/>
            <w:vAlign w:val="center"/>
          </w:tcPr>
          <w:p>
            <w:pPr>
              <w:pStyle w:val="Normal"/>
              <w:widowControl/>
              <w:spacing w:lineRule="auto" w:line="259" w:before="0" w:after="0"/>
              <w:ind w:hanging="0"/>
              <w:jc w:val="left"/>
              <w:rPr>
                <w:rFonts w:cs=""/>
                <w:kern w:val="0"/>
                <w:szCs w:val="22"/>
                <w:lang w:val="en-US" w:eastAsia="en-US" w:bidi="ar-SA"/>
              </w:rPr>
            </w:pPr>
            <w:r>
              <w:rPr>
                <w:rFonts w:eastAsia="宋体" w:cs=""/>
                <w:b w:val="false"/>
                <w:color w:val="202833"/>
                <w:kern w:val="0"/>
                <w:sz w:val="14"/>
                <w:szCs w:val="22"/>
                <w:lang w:val="en-US" w:eastAsia="en-US" w:bidi="ar-SA"/>
              </w:rPr>
              <w:t>I-07</w:t>
            </w:r>
          </w:p>
        </w:tc>
        <w:tc>
          <w:tcPr>
            <w:tcW w:w="1343" w:type="dxa"/>
            <w:tcBorders/>
            <w:vAlign w:val="center"/>
          </w:tcPr>
          <w:p>
            <w:pPr>
              <w:pStyle w:val="Normal"/>
              <w:widowControl/>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4"/>
                <w:szCs w:val="22"/>
                <w:lang w:val="en-US" w:eastAsia="en-US" w:bidi="ar-SA"/>
              </w:rPr>
              <w:t>结果性原子结论证据绑定率</w:t>
            </w:r>
          </w:p>
        </w:tc>
        <w:tc>
          <w:tcPr>
            <w:tcW w:w="1345" w:type="dxa"/>
            <w:tcBorders/>
            <w:vAlign w:val="center"/>
          </w:tcPr>
          <w:p>
            <w:pPr>
              <w:pStyle w:val="Normal"/>
              <w:widowControl/>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4"/>
                <w:szCs w:val="22"/>
                <w:lang w:val="en-US" w:eastAsia="en-US" w:bidi="ar-SA"/>
              </w:rPr>
              <w:t>未实现</w:t>
            </w:r>
          </w:p>
        </w:tc>
        <w:tc>
          <w:tcPr>
            <w:tcW w:w="1343" w:type="dxa"/>
            <w:tcBorders/>
            <w:vAlign w:val="center"/>
          </w:tcPr>
          <w:p>
            <w:pPr>
              <w:pStyle w:val="Normal"/>
              <w:widowControl/>
              <w:spacing w:lineRule="auto" w:line="259" w:before="0" w:after="0"/>
              <w:ind w:hanging="0"/>
              <w:jc w:val="left"/>
              <w:rPr>
                <w:rFonts w:cs=""/>
                <w:kern w:val="0"/>
                <w:szCs w:val="22"/>
                <w:lang w:val="en-US" w:eastAsia="en-US" w:bidi="ar-SA"/>
              </w:rPr>
            </w:pPr>
            <w:r>
              <w:rPr>
                <w:rFonts w:eastAsia="宋体" w:cs=""/>
                <w:b w:val="false"/>
                <w:color w:val="202833"/>
                <w:kern w:val="0"/>
                <w:sz w:val="14"/>
                <w:szCs w:val="22"/>
                <w:lang w:val="en-US" w:eastAsia="en-US" w:bidi="ar-SA"/>
              </w:rPr>
              <w:t>100%</w:t>
            </w:r>
            <w:r>
              <w:rPr>
                <w:rFonts w:ascii="Times New Roman" w:hAnsi="Times New Roman" w:cs=""/>
                <w:b w:val="false"/>
                <w:color w:val="202833"/>
                <w:kern w:val="0"/>
                <w:sz w:val="14"/>
                <w:szCs w:val="22"/>
                <w:lang w:val="en-US" w:eastAsia="en-US" w:bidi="ar-SA"/>
              </w:rPr>
              <w:t>；有效引用率不低于</w:t>
            </w:r>
            <w:r>
              <w:rPr>
                <w:rFonts w:eastAsia="宋体" w:cs=""/>
                <w:b w:val="false"/>
                <w:color w:val="202833"/>
                <w:kern w:val="0"/>
                <w:sz w:val="14"/>
                <w:szCs w:val="22"/>
                <w:lang w:val="en-US" w:eastAsia="en-US" w:bidi="ar-SA"/>
              </w:rPr>
              <w:t>99%</w:t>
            </w:r>
          </w:p>
        </w:tc>
        <w:tc>
          <w:tcPr>
            <w:tcW w:w="1345" w:type="dxa"/>
            <w:tcBorders/>
            <w:vAlign w:val="center"/>
          </w:tcPr>
          <w:p>
            <w:pPr>
              <w:pStyle w:val="Normal"/>
              <w:widowControl/>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4"/>
                <w:szCs w:val="22"/>
                <w:lang w:val="en-US" w:eastAsia="en-US" w:bidi="ar-SA"/>
              </w:rPr>
              <w:t>独立测试集不少于</w:t>
            </w:r>
            <w:r>
              <w:rPr>
                <w:rFonts w:eastAsia="宋体" w:cs=""/>
                <w:b w:val="false"/>
                <w:color w:val="202833"/>
                <w:kern w:val="0"/>
                <w:sz w:val="14"/>
                <w:szCs w:val="22"/>
                <w:lang w:val="en-US" w:eastAsia="en-US" w:bidi="ar-SA"/>
              </w:rPr>
              <w:t>1000</w:t>
            </w:r>
            <w:r>
              <w:rPr>
                <w:rFonts w:ascii="Times New Roman" w:hAnsi="Times New Roman" w:cs=""/>
                <w:b w:val="false"/>
                <w:color w:val="202833"/>
                <w:kern w:val="0"/>
                <w:sz w:val="14"/>
                <w:szCs w:val="22"/>
                <w:lang w:val="en-US" w:eastAsia="en-US" w:bidi="ar-SA"/>
              </w:rPr>
              <w:t>条原子结论，七类一级失败每类不少于</w:t>
            </w:r>
            <w:r>
              <w:rPr>
                <w:rFonts w:eastAsia="宋体" w:cs=""/>
                <w:b w:val="false"/>
                <w:color w:val="202833"/>
                <w:kern w:val="0"/>
                <w:sz w:val="14"/>
                <w:szCs w:val="22"/>
                <w:lang w:val="en-US" w:eastAsia="en-US" w:bidi="ar-SA"/>
              </w:rPr>
              <w:t>50</w:t>
            </w:r>
            <w:r>
              <w:rPr>
                <w:rFonts w:ascii="Times New Roman" w:hAnsi="Times New Roman" w:cs=""/>
                <w:b w:val="false"/>
                <w:color w:val="202833"/>
                <w:kern w:val="0"/>
                <w:sz w:val="14"/>
                <w:szCs w:val="22"/>
                <w:lang w:val="en-US" w:eastAsia="en-US" w:bidi="ar-SA"/>
              </w:rPr>
              <w:t>条</w:t>
            </w:r>
          </w:p>
        </w:tc>
        <w:tc>
          <w:tcPr>
            <w:tcW w:w="1343" w:type="dxa"/>
            <w:tcBorders/>
            <w:vAlign w:val="center"/>
          </w:tcPr>
          <w:p>
            <w:pPr>
              <w:pStyle w:val="Normal"/>
              <w:widowControl/>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4"/>
                <w:szCs w:val="22"/>
                <w:lang w:val="en-US" w:eastAsia="en-US" w:bidi="ar-SA"/>
              </w:rPr>
              <w:t>绑定率</w:t>
            </w:r>
            <w:r>
              <w:rPr>
                <w:rFonts w:eastAsia="宋体" w:cs=""/>
                <w:b w:val="false"/>
                <w:color w:val="202833"/>
                <w:kern w:val="0"/>
                <w:sz w:val="14"/>
                <w:szCs w:val="22"/>
                <w:lang w:val="en-US" w:eastAsia="en-US" w:bidi="ar-SA"/>
              </w:rPr>
              <w:t>=</w:t>
            </w:r>
            <w:r>
              <w:rPr>
                <w:rFonts w:ascii="Times New Roman" w:hAnsi="Times New Roman" w:cs=""/>
                <w:b w:val="false"/>
                <w:color w:val="202833"/>
                <w:kern w:val="0"/>
                <w:sz w:val="14"/>
                <w:szCs w:val="22"/>
                <w:lang w:val="en-US" w:eastAsia="en-US" w:bidi="ar-SA"/>
              </w:rPr>
              <w:t>带证据编号的结果性结论</w:t>
            </w:r>
            <w:r>
              <w:rPr>
                <w:rFonts w:eastAsia="宋体" w:cs=""/>
                <w:b w:val="false"/>
                <w:color w:val="202833"/>
                <w:kern w:val="0"/>
                <w:sz w:val="14"/>
                <w:szCs w:val="22"/>
                <w:lang w:val="en-US" w:eastAsia="en-US" w:bidi="ar-SA"/>
              </w:rPr>
              <w:t>/</w:t>
            </w:r>
            <w:r>
              <w:rPr>
                <w:rFonts w:ascii="Times New Roman" w:hAnsi="Times New Roman" w:cs=""/>
                <w:b w:val="false"/>
                <w:color w:val="202833"/>
                <w:kern w:val="0"/>
                <w:sz w:val="14"/>
                <w:szCs w:val="22"/>
                <w:lang w:val="en-US" w:eastAsia="en-US" w:bidi="ar-SA"/>
              </w:rPr>
              <w:t>全部结果性结论；有效引用由程序检查存在性、</w:t>
            </w:r>
            <w:r>
              <w:rPr>
                <w:rFonts w:eastAsia="宋体" w:cs=""/>
                <w:b w:val="false"/>
                <w:color w:val="202833"/>
                <w:kern w:val="0"/>
                <w:sz w:val="14"/>
                <w:szCs w:val="22"/>
                <w:lang w:val="en-US" w:eastAsia="en-US" w:bidi="ar-SA"/>
              </w:rPr>
              <w:t>episode</w:t>
            </w:r>
            <w:r>
              <w:rPr>
                <w:rFonts w:ascii="Times New Roman" w:hAnsi="Times New Roman" w:cs=""/>
                <w:b w:val="false"/>
                <w:color w:val="202833"/>
                <w:kern w:val="0"/>
                <w:sz w:val="14"/>
                <w:szCs w:val="22"/>
                <w:lang w:val="en-US" w:eastAsia="en-US" w:bidi="ar-SA"/>
              </w:rPr>
              <w:t>、时间窗和字段范围，由双人抽检语义支持</w:t>
            </w:r>
          </w:p>
        </w:tc>
        <w:tc>
          <w:tcPr>
            <w:tcW w:w="1344" w:type="dxa"/>
            <w:tcBorders/>
            <w:vAlign w:val="center"/>
          </w:tcPr>
          <w:p>
            <w:pPr>
              <w:pStyle w:val="Normal"/>
              <w:widowControl/>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4"/>
                <w:szCs w:val="22"/>
                <w:lang w:val="en-US" w:eastAsia="en-US" w:bidi="ar-SA"/>
              </w:rPr>
              <w:t>绑定率</w:t>
            </w:r>
            <w:r>
              <w:rPr>
                <w:rFonts w:eastAsia="宋体" w:cs=""/>
                <w:b w:val="false"/>
                <w:color w:val="202833"/>
                <w:kern w:val="0"/>
                <w:sz w:val="14"/>
                <w:szCs w:val="22"/>
                <w:lang w:val="en-US" w:eastAsia="en-US" w:bidi="ar-SA"/>
              </w:rPr>
              <w:t>100%</w:t>
            </w:r>
            <w:r>
              <w:rPr>
                <w:rFonts w:ascii="Times New Roman" w:hAnsi="Times New Roman" w:cs=""/>
                <w:b w:val="false"/>
                <w:color w:val="202833"/>
                <w:kern w:val="0"/>
                <w:sz w:val="14"/>
                <w:szCs w:val="22"/>
                <w:lang w:val="en-US" w:eastAsia="en-US" w:bidi="ar-SA"/>
              </w:rPr>
              <w:t>；有效引用率≥</w:t>
            </w:r>
            <w:r>
              <w:rPr>
                <w:rFonts w:eastAsia="宋体" w:cs=""/>
                <w:b w:val="false"/>
                <w:color w:val="202833"/>
                <w:kern w:val="0"/>
                <w:sz w:val="14"/>
                <w:szCs w:val="22"/>
                <w:lang w:val="en-US" w:eastAsia="en-US" w:bidi="ar-SA"/>
              </w:rPr>
              <w:t>99%</w:t>
            </w:r>
            <w:r>
              <w:rPr>
                <w:rFonts w:ascii="Times New Roman" w:hAnsi="Times New Roman" w:cs=""/>
                <w:b w:val="false"/>
                <w:color w:val="202833"/>
                <w:kern w:val="0"/>
                <w:sz w:val="14"/>
                <w:szCs w:val="22"/>
                <w:lang w:val="en-US" w:eastAsia="en-US" w:bidi="ar-SA"/>
              </w:rPr>
              <w:t>，其</w:t>
            </w:r>
            <w:r>
              <w:rPr>
                <w:rFonts w:eastAsia="宋体" w:cs=""/>
                <w:b w:val="false"/>
                <w:color w:val="202833"/>
                <w:kern w:val="0"/>
                <w:sz w:val="14"/>
                <w:szCs w:val="22"/>
                <w:lang w:val="en-US" w:eastAsia="en-US" w:bidi="ar-SA"/>
              </w:rPr>
              <w:t>95% Wilson</w:t>
            </w:r>
            <w:r>
              <w:rPr>
                <w:rFonts w:ascii="Times New Roman" w:hAnsi="Times New Roman" w:cs=""/>
                <w:b w:val="false"/>
                <w:color w:val="202833"/>
                <w:kern w:val="0"/>
                <w:sz w:val="14"/>
                <w:szCs w:val="22"/>
                <w:lang w:val="en-US" w:eastAsia="en-US" w:bidi="ar-SA"/>
              </w:rPr>
              <w:t>置信区间下限≥</w:t>
            </w:r>
            <w:r>
              <w:rPr>
                <w:rFonts w:eastAsia="宋体" w:cs=""/>
                <w:b w:val="false"/>
                <w:color w:val="202833"/>
                <w:kern w:val="0"/>
                <w:sz w:val="14"/>
                <w:szCs w:val="22"/>
                <w:lang w:val="en-US" w:eastAsia="en-US" w:bidi="ar-SA"/>
              </w:rPr>
              <w:t>98%</w:t>
            </w:r>
            <w:r>
              <w:rPr>
                <w:rFonts w:ascii="Times New Roman" w:hAnsi="Times New Roman" w:cs=""/>
                <w:b w:val="false"/>
                <w:color w:val="202833"/>
                <w:kern w:val="0"/>
                <w:sz w:val="14"/>
                <w:szCs w:val="22"/>
                <w:lang w:val="en-US" w:eastAsia="en-US" w:bidi="ar-SA"/>
              </w:rPr>
              <w:t>；关键结论无证据时直接阻断</w:t>
            </w:r>
          </w:p>
        </w:tc>
      </w:tr>
      <w:tr>
        <w:trPr>
          <w:cantSplit w:val="true"/>
        </w:trPr>
        <w:tc>
          <w:tcPr>
            <w:tcW w:w="1344" w:type="dxa"/>
            <w:tcBorders/>
            <w:shd w:fill="F5F7FA"/>
            <w:vAlign w:val="center"/>
          </w:tcPr>
          <w:p>
            <w:pPr>
              <w:pStyle w:val="Normal"/>
              <w:widowControl/>
              <w:spacing w:lineRule="auto" w:line="259" w:before="0" w:after="0"/>
              <w:ind w:hanging="0"/>
              <w:jc w:val="left"/>
              <w:rPr>
                <w:rFonts w:cs=""/>
                <w:kern w:val="0"/>
                <w:szCs w:val="22"/>
                <w:lang w:val="en-US" w:eastAsia="en-US" w:bidi="ar-SA"/>
              </w:rPr>
            </w:pPr>
            <w:r>
              <w:rPr>
                <w:rFonts w:eastAsia="宋体" w:cs=""/>
                <w:b w:val="false"/>
                <w:color w:val="202833"/>
                <w:kern w:val="0"/>
                <w:sz w:val="14"/>
                <w:szCs w:val="22"/>
                <w:lang w:val="en-US" w:eastAsia="en-US" w:bidi="ar-SA"/>
              </w:rPr>
              <w:t>I-08</w:t>
            </w:r>
          </w:p>
        </w:tc>
        <w:tc>
          <w:tcPr>
            <w:tcW w:w="1343" w:type="dxa"/>
            <w:tcBorders/>
            <w:shd w:fill="F5F7FA"/>
            <w:vAlign w:val="center"/>
          </w:tcPr>
          <w:p>
            <w:pPr>
              <w:pStyle w:val="Normal"/>
              <w:widowControl/>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4"/>
                <w:szCs w:val="22"/>
                <w:lang w:val="en-US" w:eastAsia="en-US" w:bidi="ar-SA"/>
              </w:rPr>
              <w:t>失败一级分类和二级分类质量</w:t>
            </w:r>
          </w:p>
        </w:tc>
        <w:tc>
          <w:tcPr>
            <w:tcW w:w="1345" w:type="dxa"/>
            <w:tcBorders/>
            <w:shd w:fill="F5F7FA"/>
            <w:vAlign w:val="center"/>
          </w:tcPr>
          <w:p>
            <w:pPr>
              <w:pStyle w:val="Normal"/>
              <w:widowControl/>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4"/>
                <w:szCs w:val="22"/>
                <w:lang w:val="en-US" w:eastAsia="en-US" w:bidi="ar-SA"/>
              </w:rPr>
              <w:t>未实现</w:t>
            </w:r>
          </w:p>
        </w:tc>
        <w:tc>
          <w:tcPr>
            <w:tcW w:w="1343" w:type="dxa"/>
            <w:tcBorders/>
            <w:shd w:fill="F5F7FA"/>
            <w:vAlign w:val="center"/>
          </w:tcPr>
          <w:p>
            <w:pPr>
              <w:pStyle w:val="Normal"/>
              <w:widowControl/>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4"/>
                <w:szCs w:val="22"/>
                <w:lang w:val="en-US" w:eastAsia="en-US" w:bidi="ar-SA"/>
              </w:rPr>
              <w:t>一级准确率≥</w:t>
            </w:r>
            <w:r>
              <w:rPr>
                <w:rFonts w:eastAsia="宋体" w:cs=""/>
                <w:b w:val="false"/>
                <w:color w:val="202833"/>
                <w:kern w:val="0"/>
                <w:sz w:val="14"/>
                <w:szCs w:val="22"/>
                <w:lang w:val="en-US" w:eastAsia="en-US" w:bidi="ar-SA"/>
              </w:rPr>
              <w:t>95%</w:t>
            </w:r>
            <w:r>
              <w:rPr>
                <w:rFonts w:ascii="Times New Roman" w:hAnsi="Times New Roman" w:cs=""/>
                <w:b w:val="false"/>
                <w:color w:val="202833"/>
                <w:kern w:val="0"/>
                <w:sz w:val="14"/>
                <w:szCs w:val="22"/>
                <w:lang w:val="en-US" w:eastAsia="en-US" w:bidi="ar-SA"/>
              </w:rPr>
              <w:t>；二级宏平均</w:t>
            </w:r>
            <w:r>
              <w:rPr>
                <w:rFonts w:eastAsia="宋体" w:cs=""/>
                <w:b w:val="false"/>
                <w:color w:val="202833"/>
                <w:kern w:val="0"/>
                <w:sz w:val="14"/>
                <w:szCs w:val="22"/>
                <w:lang w:val="en-US" w:eastAsia="en-US" w:bidi="ar-SA"/>
              </w:rPr>
              <w:t>F1≥0.85</w:t>
            </w:r>
          </w:p>
        </w:tc>
        <w:tc>
          <w:tcPr>
            <w:tcW w:w="1345" w:type="dxa"/>
            <w:tcBorders/>
            <w:shd w:fill="F5F7FA"/>
            <w:vAlign w:val="center"/>
          </w:tcPr>
          <w:p>
            <w:pPr>
              <w:pStyle w:val="Normal"/>
              <w:widowControl/>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4"/>
                <w:szCs w:val="22"/>
                <w:lang w:val="en-US" w:eastAsia="en-US" w:bidi="ar-SA"/>
              </w:rPr>
              <w:t>按</w:t>
            </w:r>
            <w:r>
              <w:rPr>
                <w:rFonts w:eastAsia="宋体" w:cs=""/>
                <w:b w:val="false"/>
                <w:color w:val="202833"/>
                <w:kern w:val="0"/>
                <w:sz w:val="14"/>
                <w:szCs w:val="22"/>
                <w:lang w:val="en-US" w:eastAsia="en-US" w:bidi="ar-SA"/>
              </w:rPr>
              <w:t>episode</w:t>
            </w:r>
            <w:r>
              <w:rPr>
                <w:rFonts w:ascii="Times New Roman" w:hAnsi="Times New Roman" w:cs=""/>
                <w:b w:val="false"/>
                <w:color w:val="202833"/>
                <w:kern w:val="0"/>
                <w:sz w:val="14"/>
                <w:szCs w:val="22"/>
                <w:lang w:val="en-US" w:eastAsia="en-US" w:bidi="ar-SA"/>
              </w:rPr>
              <w:t>分组的独立测试集不少于</w:t>
            </w:r>
            <w:r>
              <w:rPr>
                <w:rFonts w:eastAsia="宋体" w:cs=""/>
                <w:b w:val="false"/>
                <w:color w:val="202833"/>
                <w:kern w:val="0"/>
                <w:sz w:val="14"/>
                <w:szCs w:val="22"/>
                <w:lang w:val="en-US" w:eastAsia="en-US" w:bidi="ar-SA"/>
              </w:rPr>
              <w:t>500</w:t>
            </w:r>
            <w:r>
              <w:rPr>
                <w:rFonts w:ascii="Times New Roman" w:hAnsi="Times New Roman" w:cs=""/>
                <w:b w:val="false"/>
                <w:color w:val="202833"/>
                <w:kern w:val="0"/>
                <w:sz w:val="14"/>
                <w:szCs w:val="22"/>
                <w:lang w:val="en-US" w:eastAsia="en-US" w:bidi="ar-SA"/>
              </w:rPr>
              <w:t>个失败事件，七类一级类别每类不少于</w:t>
            </w:r>
            <w:r>
              <w:rPr>
                <w:rFonts w:eastAsia="宋体" w:cs=""/>
                <w:b w:val="false"/>
                <w:color w:val="202833"/>
                <w:kern w:val="0"/>
                <w:sz w:val="14"/>
                <w:szCs w:val="22"/>
                <w:lang w:val="en-US" w:eastAsia="en-US" w:bidi="ar-SA"/>
              </w:rPr>
              <w:t>30</w:t>
            </w:r>
            <w:r>
              <w:rPr>
                <w:rFonts w:ascii="Times New Roman" w:hAnsi="Times New Roman" w:cs=""/>
                <w:b w:val="false"/>
                <w:color w:val="202833"/>
                <w:kern w:val="0"/>
                <w:sz w:val="14"/>
                <w:szCs w:val="22"/>
                <w:lang w:val="en-US" w:eastAsia="en-US" w:bidi="ar-SA"/>
              </w:rPr>
              <w:t>个；两名标注员独立标注并仲裁</w:t>
            </w:r>
          </w:p>
        </w:tc>
        <w:tc>
          <w:tcPr>
            <w:tcW w:w="1343" w:type="dxa"/>
            <w:tcBorders/>
            <w:shd w:fill="F5F7FA"/>
            <w:vAlign w:val="center"/>
          </w:tcPr>
          <w:p>
            <w:pPr>
              <w:pStyle w:val="Normal"/>
              <w:widowControl/>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4"/>
                <w:szCs w:val="22"/>
                <w:lang w:val="en-US" w:eastAsia="en-US" w:bidi="ar-SA"/>
              </w:rPr>
              <w:t>与冻结金标比较；宏平均</w:t>
            </w:r>
            <w:r>
              <w:rPr>
                <w:rFonts w:eastAsia="宋体" w:cs=""/>
                <w:b w:val="false"/>
                <w:color w:val="202833"/>
                <w:kern w:val="0"/>
                <w:sz w:val="14"/>
                <w:szCs w:val="22"/>
                <w:lang w:val="en-US" w:eastAsia="en-US" w:bidi="ar-SA"/>
              </w:rPr>
              <w:t>F1</w:t>
            </w:r>
            <w:r>
              <w:rPr>
                <w:rFonts w:ascii="Times New Roman" w:hAnsi="Times New Roman" w:cs=""/>
                <w:b w:val="false"/>
                <w:color w:val="202833"/>
                <w:kern w:val="0"/>
                <w:sz w:val="14"/>
                <w:szCs w:val="22"/>
                <w:lang w:val="en-US" w:eastAsia="en-US" w:bidi="ar-SA"/>
              </w:rPr>
              <w:t>按二级类别等权计算，使用</w:t>
            </w:r>
            <w:r>
              <w:rPr>
                <w:rFonts w:eastAsia="宋体" w:cs=""/>
                <w:b w:val="false"/>
                <w:color w:val="202833"/>
                <w:kern w:val="0"/>
                <w:sz w:val="14"/>
                <w:szCs w:val="22"/>
                <w:lang w:val="en-US" w:eastAsia="en-US" w:bidi="ar-SA"/>
              </w:rPr>
              <w:t>2000</w:t>
            </w:r>
            <w:r>
              <w:rPr>
                <w:rFonts w:ascii="Times New Roman" w:hAnsi="Times New Roman" w:cs=""/>
                <w:b w:val="false"/>
                <w:color w:val="202833"/>
                <w:kern w:val="0"/>
                <w:sz w:val="14"/>
                <w:szCs w:val="22"/>
                <w:lang w:val="en-US" w:eastAsia="en-US" w:bidi="ar-SA"/>
              </w:rPr>
              <w:t>次按</w:t>
            </w:r>
            <w:r>
              <w:rPr>
                <w:rFonts w:eastAsia="宋体" w:cs=""/>
                <w:b w:val="false"/>
                <w:color w:val="202833"/>
                <w:kern w:val="0"/>
                <w:sz w:val="14"/>
                <w:szCs w:val="22"/>
                <w:lang w:val="en-US" w:eastAsia="en-US" w:bidi="ar-SA"/>
              </w:rPr>
              <w:t>episode</w:t>
            </w:r>
            <w:r>
              <w:rPr>
                <w:rFonts w:ascii="Times New Roman" w:hAnsi="Times New Roman" w:cs=""/>
                <w:b w:val="false"/>
                <w:color w:val="202833"/>
                <w:kern w:val="0"/>
                <w:sz w:val="14"/>
                <w:szCs w:val="22"/>
                <w:lang w:val="en-US" w:eastAsia="en-US" w:bidi="ar-SA"/>
              </w:rPr>
              <w:t>重采样自助法计算</w:t>
            </w:r>
            <w:r>
              <w:rPr>
                <w:rFonts w:eastAsia="宋体" w:cs=""/>
                <w:b w:val="false"/>
                <w:color w:val="202833"/>
                <w:kern w:val="0"/>
                <w:sz w:val="14"/>
                <w:szCs w:val="22"/>
                <w:lang w:val="en-US" w:eastAsia="en-US" w:bidi="ar-SA"/>
              </w:rPr>
              <w:t>95%</w:t>
            </w:r>
            <w:r>
              <w:rPr>
                <w:rFonts w:ascii="Times New Roman" w:hAnsi="Times New Roman" w:cs=""/>
                <w:b w:val="false"/>
                <w:color w:val="202833"/>
                <w:kern w:val="0"/>
                <w:sz w:val="14"/>
                <w:szCs w:val="22"/>
                <w:lang w:val="en-US" w:eastAsia="en-US" w:bidi="ar-SA"/>
              </w:rPr>
              <w:t>区间</w:t>
            </w:r>
          </w:p>
        </w:tc>
        <w:tc>
          <w:tcPr>
            <w:tcW w:w="1344" w:type="dxa"/>
            <w:tcBorders/>
            <w:shd w:fill="F5F7FA"/>
            <w:vAlign w:val="center"/>
          </w:tcPr>
          <w:p>
            <w:pPr>
              <w:pStyle w:val="Normal"/>
              <w:widowControl/>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4"/>
                <w:szCs w:val="22"/>
                <w:lang w:val="en-US" w:eastAsia="en-US" w:bidi="ar-SA"/>
              </w:rPr>
              <w:t>一级准确率≥</w:t>
            </w:r>
            <w:r>
              <w:rPr>
                <w:rFonts w:eastAsia="宋体" w:cs=""/>
                <w:b w:val="false"/>
                <w:color w:val="202833"/>
                <w:kern w:val="0"/>
                <w:sz w:val="14"/>
                <w:szCs w:val="22"/>
                <w:lang w:val="en-US" w:eastAsia="en-US" w:bidi="ar-SA"/>
              </w:rPr>
              <w:t>95%</w:t>
            </w:r>
            <w:r>
              <w:rPr>
                <w:rFonts w:ascii="Times New Roman" w:hAnsi="Times New Roman" w:cs=""/>
                <w:b w:val="false"/>
                <w:color w:val="202833"/>
                <w:kern w:val="0"/>
                <w:sz w:val="14"/>
                <w:szCs w:val="22"/>
                <w:lang w:val="en-US" w:eastAsia="en-US" w:bidi="ar-SA"/>
              </w:rPr>
              <w:t>；二级宏</w:t>
            </w:r>
            <w:r>
              <w:rPr>
                <w:rFonts w:eastAsia="宋体" w:cs=""/>
                <w:b w:val="false"/>
                <w:color w:val="202833"/>
                <w:kern w:val="0"/>
                <w:sz w:val="14"/>
                <w:szCs w:val="22"/>
                <w:lang w:val="en-US" w:eastAsia="en-US" w:bidi="ar-SA"/>
              </w:rPr>
              <w:t>F1≥0.85</w:t>
            </w:r>
            <w:r>
              <w:rPr>
                <w:rFonts w:ascii="Times New Roman" w:hAnsi="Times New Roman" w:cs=""/>
                <w:b w:val="false"/>
                <w:color w:val="202833"/>
                <w:kern w:val="0"/>
                <w:sz w:val="14"/>
                <w:szCs w:val="22"/>
                <w:lang w:val="en-US" w:eastAsia="en-US" w:bidi="ar-SA"/>
              </w:rPr>
              <w:t>且</w:t>
            </w:r>
            <w:r>
              <w:rPr>
                <w:rFonts w:eastAsia="宋体" w:cs=""/>
                <w:b w:val="false"/>
                <w:color w:val="202833"/>
                <w:kern w:val="0"/>
                <w:sz w:val="14"/>
                <w:szCs w:val="22"/>
                <w:lang w:val="en-US" w:eastAsia="en-US" w:bidi="ar-SA"/>
              </w:rPr>
              <w:t>95%</w:t>
            </w:r>
            <w:r>
              <w:rPr>
                <w:rFonts w:ascii="Times New Roman" w:hAnsi="Times New Roman" w:cs=""/>
                <w:b w:val="false"/>
                <w:color w:val="202833"/>
                <w:kern w:val="0"/>
                <w:sz w:val="14"/>
                <w:szCs w:val="22"/>
                <w:lang w:val="en-US" w:eastAsia="en-US" w:bidi="ar-SA"/>
              </w:rPr>
              <w:t>区间下限≥</w:t>
            </w:r>
            <w:r>
              <w:rPr>
                <w:rFonts w:eastAsia="宋体" w:cs=""/>
                <w:b w:val="false"/>
                <w:color w:val="202833"/>
                <w:kern w:val="0"/>
                <w:sz w:val="14"/>
                <w:szCs w:val="22"/>
                <w:lang w:val="en-US" w:eastAsia="en-US" w:bidi="ar-SA"/>
              </w:rPr>
              <w:t>0.80</w:t>
            </w:r>
            <w:r>
              <w:rPr>
                <w:rFonts w:ascii="Times New Roman" w:hAnsi="Times New Roman" w:cs=""/>
                <w:b w:val="false"/>
                <w:color w:val="202833"/>
                <w:kern w:val="0"/>
                <w:sz w:val="14"/>
                <w:szCs w:val="22"/>
                <w:lang w:val="en-US" w:eastAsia="en-US" w:bidi="ar-SA"/>
              </w:rPr>
              <w:t>；任何类召回率不得低于</w:t>
            </w:r>
            <w:r>
              <w:rPr>
                <w:rFonts w:eastAsia="宋体" w:cs=""/>
                <w:b w:val="false"/>
                <w:color w:val="202833"/>
                <w:kern w:val="0"/>
                <w:sz w:val="14"/>
                <w:szCs w:val="22"/>
                <w:lang w:val="en-US" w:eastAsia="en-US" w:bidi="ar-SA"/>
              </w:rPr>
              <w:t>0.70</w:t>
            </w:r>
          </w:p>
        </w:tc>
      </w:tr>
      <w:tr>
        <w:trPr>
          <w:cantSplit w:val="true"/>
        </w:trPr>
        <w:tc>
          <w:tcPr>
            <w:tcW w:w="1344" w:type="dxa"/>
            <w:tcBorders/>
            <w:vAlign w:val="center"/>
          </w:tcPr>
          <w:p>
            <w:pPr>
              <w:pStyle w:val="Normal"/>
              <w:widowControl/>
              <w:spacing w:lineRule="auto" w:line="259" w:before="0" w:after="0"/>
              <w:ind w:hanging="0"/>
              <w:jc w:val="left"/>
              <w:rPr>
                <w:rFonts w:cs=""/>
                <w:kern w:val="0"/>
                <w:szCs w:val="22"/>
                <w:lang w:val="en-US" w:eastAsia="en-US" w:bidi="ar-SA"/>
              </w:rPr>
            </w:pPr>
            <w:r>
              <w:rPr>
                <w:rFonts w:eastAsia="宋体" w:cs=""/>
                <w:b w:val="false"/>
                <w:color w:val="202833"/>
                <w:kern w:val="0"/>
                <w:sz w:val="14"/>
                <w:szCs w:val="22"/>
                <w:lang w:val="en-US" w:eastAsia="en-US" w:bidi="ar-SA"/>
              </w:rPr>
              <w:t>I-09</w:t>
            </w:r>
          </w:p>
        </w:tc>
        <w:tc>
          <w:tcPr>
            <w:tcW w:w="1343" w:type="dxa"/>
            <w:tcBorders/>
            <w:vAlign w:val="center"/>
          </w:tcPr>
          <w:p>
            <w:pPr>
              <w:pStyle w:val="Normal"/>
              <w:widowControl/>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4"/>
                <w:szCs w:val="22"/>
                <w:lang w:val="en-US" w:eastAsia="en-US" w:bidi="ar-SA"/>
              </w:rPr>
              <w:t>因果越权结论漏放数</w:t>
            </w:r>
          </w:p>
        </w:tc>
        <w:tc>
          <w:tcPr>
            <w:tcW w:w="1345" w:type="dxa"/>
            <w:tcBorders/>
            <w:vAlign w:val="center"/>
          </w:tcPr>
          <w:p>
            <w:pPr>
              <w:pStyle w:val="Normal"/>
              <w:widowControl/>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4"/>
                <w:szCs w:val="22"/>
                <w:lang w:val="en-US" w:eastAsia="en-US" w:bidi="ar-SA"/>
              </w:rPr>
              <w:t>未实现</w:t>
            </w:r>
          </w:p>
        </w:tc>
        <w:tc>
          <w:tcPr>
            <w:tcW w:w="1343" w:type="dxa"/>
            <w:tcBorders/>
            <w:vAlign w:val="center"/>
          </w:tcPr>
          <w:p>
            <w:pPr>
              <w:pStyle w:val="Normal"/>
              <w:widowControl/>
              <w:spacing w:lineRule="auto" w:line="259" w:before="0" w:after="0"/>
              <w:ind w:hanging="0"/>
              <w:jc w:val="left"/>
              <w:rPr>
                <w:rFonts w:cs=""/>
                <w:kern w:val="0"/>
                <w:szCs w:val="22"/>
                <w:lang w:val="en-US" w:eastAsia="en-US" w:bidi="ar-SA"/>
              </w:rPr>
            </w:pPr>
            <w:r>
              <w:rPr>
                <w:rFonts w:eastAsia="宋体" w:cs=""/>
                <w:b w:val="false"/>
                <w:color w:val="202833"/>
                <w:kern w:val="0"/>
                <w:sz w:val="14"/>
                <w:szCs w:val="22"/>
                <w:lang w:val="en-US" w:eastAsia="en-US" w:bidi="ar-SA"/>
              </w:rPr>
              <w:t>0</w:t>
            </w:r>
            <w:r>
              <w:rPr>
                <w:rFonts w:ascii="Times New Roman" w:hAnsi="Times New Roman" w:cs=""/>
                <w:b w:val="false"/>
                <w:color w:val="202833"/>
                <w:kern w:val="0"/>
                <w:sz w:val="14"/>
                <w:szCs w:val="22"/>
                <w:lang w:val="en-US" w:eastAsia="en-US" w:bidi="ar-SA"/>
              </w:rPr>
              <w:t>条</w:t>
            </w:r>
          </w:p>
        </w:tc>
        <w:tc>
          <w:tcPr>
            <w:tcW w:w="1345" w:type="dxa"/>
            <w:tcBorders/>
            <w:vAlign w:val="center"/>
          </w:tcPr>
          <w:p>
            <w:pPr>
              <w:pStyle w:val="Normal"/>
              <w:widowControl/>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4"/>
                <w:szCs w:val="22"/>
                <w:lang w:val="en-US" w:eastAsia="en-US" w:bidi="ar-SA"/>
              </w:rPr>
              <w:t>不少于</w:t>
            </w:r>
            <w:r>
              <w:rPr>
                <w:rFonts w:eastAsia="宋体" w:cs=""/>
                <w:b w:val="false"/>
                <w:color w:val="202833"/>
                <w:kern w:val="0"/>
                <w:sz w:val="14"/>
                <w:szCs w:val="22"/>
                <w:lang w:val="en-US" w:eastAsia="en-US" w:bidi="ar-SA"/>
              </w:rPr>
              <w:t>200</w:t>
            </w:r>
            <w:r>
              <w:rPr>
                <w:rFonts w:ascii="Times New Roman" w:hAnsi="Times New Roman" w:cs=""/>
                <w:b w:val="false"/>
                <w:color w:val="202833"/>
                <w:kern w:val="0"/>
                <w:sz w:val="14"/>
                <w:szCs w:val="22"/>
                <w:lang w:val="en-US" w:eastAsia="en-US" w:bidi="ar-SA"/>
              </w:rPr>
              <w:t>个相关但不能证明因果、证据冲突或证据不足的对抗样本</w:t>
            </w:r>
          </w:p>
        </w:tc>
        <w:tc>
          <w:tcPr>
            <w:tcW w:w="1343" w:type="dxa"/>
            <w:tcBorders/>
            <w:vAlign w:val="center"/>
          </w:tcPr>
          <w:p>
            <w:pPr>
              <w:pStyle w:val="Normal"/>
              <w:widowControl/>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4"/>
                <w:szCs w:val="22"/>
                <w:lang w:val="en-US" w:eastAsia="en-US" w:bidi="ar-SA"/>
              </w:rPr>
              <w:t>检查</w:t>
            </w:r>
            <w:r>
              <w:rPr>
                <w:rFonts w:eastAsia="宋体" w:cs="" w:ascii="Consolas" w:hAnsi="Consolas"/>
                <w:color w:val="176B73"/>
                <w:kern w:val="0"/>
                <w:sz w:val="14"/>
                <w:szCs w:val="22"/>
                <w:lang w:val="en-US" w:eastAsia="en-US" w:bidi="ar-SA"/>
              </w:rPr>
              <w:t>causality_state</w:t>
            </w:r>
            <w:r>
              <w:rPr>
                <w:rFonts w:ascii="Times New Roman" w:hAnsi="Times New Roman" w:cs=""/>
                <w:b w:val="false"/>
                <w:color w:val="202833"/>
                <w:kern w:val="0"/>
                <w:sz w:val="14"/>
                <w:szCs w:val="22"/>
                <w:lang w:val="en-US" w:eastAsia="en-US" w:bidi="ar-SA"/>
              </w:rPr>
              <w:t>和报告措辞；金标只允许“疑似”“相关”或“证据不足”</w:t>
            </w:r>
          </w:p>
        </w:tc>
        <w:tc>
          <w:tcPr>
            <w:tcW w:w="1344" w:type="dxa"/>
            <w:tcBorders/>
            <w:vAlign w:val="center"/>
          </w:tcPr>
          <w:p>
            <w:pPr>
              <w:pStyle w:val="Normal"/>
              <w:widowControl/>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4"/>
                <w:szCs w:val="22"/>
                <w:lang w:val="en-US" w:eastAsia="en-US" w:bidi="ar-SA"/>
              </w:rPr>
              <w:t>确定因果措辞漏放</w:t>
            </w:r>
            <w:r>
              <w:rPr>
                <w:rFonts w:eastAsia="宋体" w:cs=""/>
                <w:b w:val="false"/>
                <w:color w:val="202833"/>
                <w:kern w:val="0"/>
                <w:sz w:val="14"/>
                <w:szCs w:val="22"/>
                <w:lang w:val="en-US" w:eastAsia="en-US" w:bidi="ar-SA"/>
              </w:rPr>
              <w:t>0</w:t>
            </w:r>
            <w:r>
              <w:rPr>
                <w:rFonts w:ascii="Times New Roman" w:hAnsi="Times New Roman" w:cs=""/>
                <w:b w:val="false"/>
                <w:color w:val="202833"/>
                <w:kern w:val="0"/>
                <w:sz w:val="14"/>
                <w:szCs w:val="22"/>
                <w:lang w:val="en-US" w:eastAsia="en-US" w:bidi="ar-SA"/>
              </w:rPr>
              <w:t>；冲突证据必须进入人工复核</w:t>
            </w:r>
          </w:p>
        </w:tc>
      </w:tr>
      <w:tr>
        <w:trPr>
          <w:cantSplit w:val="true"/>
        </w:trPr>
        <w:tc>
          <w:tcPr>
            <w:tcW w:w="1344" w:type="dxa"/>
            <w:tcBorders/>
            <w:shd w:fill="F5F7FA"/>
            <w:vAlign w:val="center"/>
          </w:tcPr>
          <w:p>
            <w:pPr>
              <w:pStyle w:val="Normal"/>
              <w:widowControl/>
              <w:spacing w:lineRule="auto" w:line="259" w:before="0" w:after="0"/>
              <w:ind w:hanging="0"/>
              <w:jc w:val="left"/>
              <w:rPr>
                <w:rFonts w:cs=""/>
                <w:kern w:val="0"/>
                <w:szCs w:val="22"/>
                <w:lang w:val="en-US" w:eastAsia="en-US" w:bidi="ar-SA"/>
              </w:rPr>
            </w:pPr>
            <w:r>
              <w:rPr>
                <w:rFonts w:eastAsia="宋体" w:cs=""/>
                <w:b w:val="false"/>
                <w:color w:val="202833"/>
                <w:kern w:val="0"/>
                <w:sz w:val="14"/>
                <w:szCs w:val="22"/>
                <w:lang w:val="en-US" w:eastAsia="en-US" w:bidi="ar-SA"/>
              </w:rPr>
              <w:t>I-10</w:t>
            </w:r>
          </w:p>
        </w:tc>
        <w:tc>
          <w:tcPr>
            <w:tcW w:w="1343" w:type="dxa"/>
            <w:tcBorders/>
            <w:shd w:fill="F5F7FA"/>
            <w:vAlign w:val="center"/>
          </w:tcPr>
          <w:p>
            <w:pPr>
              <w:pStyle w:val="Normal"/>
              <w:widowControl/>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4"/>
                <w:szCs w:val="22"/>
                <w:lang w:val="en-US" w:eastAsia="en-US" w:bidi="ar-SA"/>
              </w:rPr>
              <w:t>报告事实支持精度</w:t>
            </w:r>
          </w:p>
        </w:tc>
        <w:tc>
          <w:tcPr>
            <w:tcW w:w="1345" w:type="dxa"/>
            <w:tcBorders/>
            <w:shd w:fill="F5F7FA"/>
            <w:vAlign w:val="center"/>
          </w:tcPr>
          <w:p>
            <w:pPr>
              <w:pStyle w:val="Normal"/>
              <w:widowControl/>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4"/>
                <w:szCs w:val="22"/>
                <w:lang w:val="en-US" w:eastAsia="en-US" w:bidi="ar-SA"/>
              </w:rPr>
              <w:t>未实现</w:t>
            </w:r>
          </w:p>
        </w:tc>
        <w:tc>
          <w:tcPr>
            <w:tcW w:w="1343" w:type="dxa"/>
            <w:tcBorders/>
            <w:shd w:fill="F5F7FA"/>
            <w:vAlign w:val="center"/>
          </w:tcPr>
          <w:p>
            <w:pPr>
              <w:pStyle w:val="Normal"/>
              <w:widowControl/>
              <w:spacing w:lineRule="auto" w:line="259" w:before="0" w:after="0"/>
              <w:ind w:hanging="0"/>
              <w:jc w:val="left"/>
              <w:rPr>
                <w:rFonts w:cs=""/>
                <w:kern w:val="0"/>
                <w:szCs w:val="22"/>
                <w:lang w:val="en-US" w:eastAsia="en-US" w:bidi="ar-SA"/>
              </w:rPr>
            </w:pPr>
            <w:r>
              <w:rPr>
                <w:rFonts w:eastAsia="宋体" w:cs=""/>
                <w:b w:val="false"/>
                <w:color w:val="202833"/>
                <w:kern w:val="0"/>
                <w:sz w:val="14"/>
                <w:szCs w:val="22"/>
                <w:lang w:val="en-US" w:eastAsia="en-US" w:bidi="ar-SA"/>
              </w:rPr>
              <w:t>≥</w:t>
            </w:r>
            <w:r>
              <w:rPr>
                <w:rFonts w:eastAsia="宋体" w:cs=""/>
                <w:b w:val="false"/>
                <w:color w:val="202833"/>
                <w:kern w:val="0"/>
                <w:sz w:val="14"/>
                <w:szCs w:val="22"/>
                <w:lang w:val="en-US" w:eastAsia="en-US" w:bidi="ar-SA"/>
              </w:rPr>
              <w:t>98%</w:t>
            </w:r>
          </w:p>
        </w:tc>
        <w:tc>
          <w:tcPr>
            <w:tcW w:w="1345" w:type="dxa"/>
            <w:tcBorders/>
            <w:shd w:fill="F5F7FA"/>
            <w:vAlign w:val="center"/>
          </w:tcPr>
          <w:p>
            <w:pPr>
              <w:pStyle w:val="Normal"/>
              <w:widowControl/>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4"/>
                <w:szCs w:val="22"/>
                <w:lang w:val="en-US" w:eastAsia="en-US" w:bidi="ar-SA"/>
              </w:rPr>
              <w:t>独立测试集不少于</w:t>
            </w:r>
            <w:r>
              <w:rPr>
                <w:rFonts w:eastAsia="宋体" w:cs=""/>
                <w:b w:val="false"/>
                <w:color w:val="202833"/>
                <w:kern w:val="0"/>
                <w:sz w:val="14"/>
                <w:szCs w:val="22"/>
                <w:lang w:val="en-US" w:eastAsia="en-US" w:bidi="ar-SA"/>
              </w:rPr>
              <w:t>1000</w:t>
            </w:r>
            <w:r>
              <w:rPr>
                <w:rFonts w:ascii="Times New Roman" w:hAnsi="Times New Roman" w:cs=""/>
                <w:b w:val="false"/>
                <w:color w:val="202833"/>
                <w:kern w:val="0"/>
                <w:sz w:val="14"/>
                <w:szCs w:val="22"/>
                <w:lang w:val="en-US" w:eastAsia="en-US" w:bidi="ar-SA"/>
              </w:rPr>
              <w:t>条可判定原子事实，不含纯格式文本；双人复核并仲裁</w:t>
            </w:r>
          </w:p>
        </w:tc>
        <w:tc>
          <w:tcPr>
            <w:tcW w:w="1343" w:type="dxa"/>
            <w:tcBorders/>
            <w:shd w:fill="F5F7FA"/>
            <w:vAlign w:val="center"/>
          </w:tcPr>
          <w:p>
            <w:pPr>
              <w:pStyle w:val="Normal"/>
              <w:widowControl/>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4"/>
                <w:szCs w:val="22"/>
                <w:lang w:val="en-US" w:eastAsia="en-US" w:bidi="ar-SA"/>
              </w:rPr>
              <w:t>精度</w:t>
            </w:r>
            <w:r>
              <w:rPr>
                <w:rFonts w:eastAsia="宋体" w:cs=""/>
                <w:b w:val="false"/>
                <w:color w:val="202833"/>
                <w:kern w:val="0"/>
                <w:sz w:val="14"/>
                <w:szCs w:val="22"/>
                <w:lang w:val="en-US" w:eastAsia="en-US" w:bidi="ar-SA"/>
              </w:rPr>
              <w:t>=</w:t>
            </w:r>
            <w:r>
              <w:rPr>
                <w:rFonts w:ascii="Times New Roman" w:hAnsi="Times New Roman" w:cs=""/>
                <w:b w:val="false"/>
                <w:color w:val="202833"/>
                <w:kern w:val="0"/>
                <w:sz w:val="14"/>
                <w:szCs w:val="22"/>
                <w:lang w:val="en-US" w:eastAsia="en-US" w:bidi="ar-SA"/>
              </w:rPr>
              <w:t>被所引证据完整支持的原子事实数</w:t>
            </w:r>
            <w:r>
              <w:rPr>
                <w:rFonts w:eastAsia="宋体" w:cs=""/>
                <w:b w:val="false"/>
                <w:color w:val="202833"/>
                <w:kern w:val="0"/>
                <w:sz w:val="14"/>
                <w:szCs w:val="22"/>
                <w:lang w:val="en-US" w:eastAsia="en-US" w:bidi="ar-SA"/>
              </w:rPr>
              <w:t>/</w:t>
            </w:r>
            <w:r>
              <w:rPr>
                <w:rFonts w:ascii="Times New Roman" w:hAnsi="Times New Roman" w:cs=""/>
                <w:b w:val="false"/>
                <w:color w:val="202833"/>
                <w:kern w:val="0"/>
                <w:sz w:val="14"/>
                <w:szCs w:val="22"/>
                <w:lang w:val="en-US" w:eastAsia="en-US" w:bidi="ar-SA"/>
              </w:rPr>
              <w:t>可判定原子事实总数；按</w:t>
            </w:r>
            <w:r>
              <w:rPr>
                <w:rFonts w:eastAsia="宋体" w:cs=""/>
                <w:b w:val="false"/>
                <w:color w:val="202833"/>
                <w:kern w:val="0"/>
                <w:sz w:val="14"/>
                <w:szCs w:val="22"/>
                <w:lang w:val="en-US" w:eastAsia="en-US" w:bidi="ar-SA"/>
              </w:rPr>
              <w:t>episode</w:t>
            </w:r>
            <w:r>
              <w:rPr>
                <w:rFonts w:ascii="Times New Roman" w:hAnsi="Times New Roman" w:cs=""/>
                <w:b w:val="false"/>
                <w:color w:val="202833"/>
                <w:kern w:val="0"/>
                <w:sz w:val="14"/>
                <w:szCs w:val="22"/>
                <w:lang w:val="en-US" w:eastAsia="en-US" w:bidi="ar-SA"/>
              </w:rPr>
              <w:t>自助法计算</w:t>
            </w:r>
            <w:r>
              <w:rPr>
                <w:rFonts w:eastAsia="宋体" w:cs=""/>
                <w:b w:val="false"/>
                <w:color w:val="202833"/>
                <w:kern w:val="0"/>
                <w:sz w:val="14"/>
                <w:szCs w:val="22"/>
                <w:lang w:val="en-US" w:eastAsia="en-US" w:bidi="ar-SA"/>
              </w:rPr>
              <w:t>95%</w:t>
            </w:r>
            <w:r>
              <w:rPr>
                <w:rFonts w:ascii="Times New Roman" w:hAnsi="Times New Roman" w:cs=""/>
                <w:b w:val="false"/>
                <w:color w:val="202833"/>
                <w:kern w:val="0"/>
                <w:sz w:val="14"/>
                <w:szCs w:val="22"/>
                <w:lang w:val="en-US" w:eastAsia="en-US" w:bidi="ar-SA"/>
              </w:rPr>
              <w:t>区间</w:t>
            </w:r>
          </w:p>
        </w:tc>
        <w:tc>
          <w:tcPr>
            <w:tcW w:w="1344" w:type="dxa"/>
            <w:tcBorders/>
            <w:shd w:fill="F5F7FA"/>
            <w:vAlign w:val="center"/>
          </w:tcPr>
          <w:p>
            <w:pPr>
              <w:pStyle w:val="Normal"/>
              <w:widowControl/>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4"/>
                <w:szCs w:val="22"/>
                <w:lang w:val="en-US" w:eastAsia="en-US" w:bidi="ar-SA"/>
              </w:rPr>
              <w:t>点估计≥</w:t>
            </w:r>
            <w:r>
              <w:rPr>
                <w:rFonts w:eastAsia="宋体" w:cs=""/>
                <w:b w:val="false"/>
                <w:color w:val="202833"/>
                <w:kern w:val="0"/>
                <w:sz w:val="14"/>
                <w:szCs w:val="22"/>
                <w:lang w:val="en-US" w:eastAsia="en-US" w:bidi="ar-SA"/>
              </w:rPr>
              <w:t>98%</w:t>
            </w:r>
            <w:r>
              <w:rPr>
                <w:rFonts w:ascii="Times New Roman" w:hAnsi="Times New Roman" w:cs=""/>
                <w:b w:val="false"/>
                <w:color w:val="202833"/>
                <w:kern w:val="0"/>
                <w:sz w:val="14"/>
                <w:szCs w:val="22"/>
                <w:lang w:val="en-US" w:eastAsia="en-US" w:bidi="ar-SA"/>
              </w:rPr>
              <w:t>且</w:t>
            </w:r>
            <w:r>
              <w:rPr>
                <w:rFonts w:eastAsia="宋体" w:cs=""/>
                <w:b w:val="false"/>
                <w:color w:val="202833"/>
                <w:kern w:val="0"/>
                <w:sz w:val="14"/>
                <w:szCs w:val="22"/>
                <w:lang w:val="en-US" w:eastAsia="en-US" w:bidi="ar-SA"/>
              </w:rPr>
              <w:t>95%</w:t>
            </w:r>
            <w:r>
              <w:rPr>
                <w:rFonts w:ascii="Times New Roman" w:hAnsi="Times New Roman" w:cs=""/>
                <w:b w:val="false"/>
                <w:color w:val="202833"/>
                <w:kern w:val="0"/>
                <w:sz w:val="14"/>
                <w:szCs w:val="22"/>
                <w:lang w:val="en-US" w:eastAsia="en-US" w:bidi="ar-SA"/>
              </w:rPr>
              <w:t>区间下限≥</w:t>
            </w:r>
            <w:r>
              <w:rPr>
                <w:rFonts w:eastAsia="宋体" w:cs=""/>
                <w:b w:val="false"/>
                <w:color w:val="202833"/>
                <w:kern w:val="0"/>
                <w:sz w:val="14"/>
                <w:szCs w:val="22"/>
                <w:lang w:val="en-US" w:eastAsia="en-US" w:bidi="ar-SA"/>
              </w:rPr>
              <w:t>95%</w:t>
            </w:r>
            <w:r>
              <w:rPr>
                <w:rFonts w:ascii="Times New Roman" w:hAnsi="Times New Roman" w:cs=""/>
                <w:b w:val="false"/>
                <w:color w:val="202833"/>
                <w:kern w:val="0"/>
                <w:sz w:val="14"/>
                <w:szCs w:val="22"/>
                <w:lang w:val="en-US" w:eastAsia="en-US" w:bidi="ar-SA"/>
              </w:rPr>
              <w:t>；涉及安全、正式指标和验收判断的错误为</w:t>
            </w:r>
            <w:r>
              <w:rPr>
                <w:rFonts w:eastAsia="宋体" w:cs=""/>
                <w:b w:val="false"/>
                <w:color w:val="202833"/>
                <w:kern w:val="0"/>
                <w:sz w:val="14"/>
                <w:szCs w:val="22"/>
                <w:lang w:val="en-US" w:eastAsia="en-US" w:bidi="ar-SA"/>
              </w:rPr>
              <w:t>0</w:t>
            </w:r>
          </w:p>
        </w:tc>
      </w:tr>
      <w:tr>
        <w:trPr>
          <w:cantSplit w:val="true"/>
        </w:trPr>
        <w:tc>
          <w:tcPr>
            <w:tcW w:w="1344" w:type="dxa"/>
            <w:tcBorders/>
            <w:vAlign w:val="center"/>
          </w:tcPr>
          <w:p>
            <w:pPr>
              <w:pStyle w:val="Normal"/>
              <w:widowControl/>
              <w:spacing w:lineRule="auto" w:line="259" w:before="0" w:after="0"/>
              <w:ind w:hanging="0"/>
              <w:jc w:val="left"/>
              <w:rPr>
                <w:rFonts w:cs=""/>
                <w:kern w:val="0"/>
                <w:szCs w:val="22"/>
                <w:lang w:val="en-US" w:eastAsia="en-US" w:bidi="ar-SA"/>
              </w:rPr>
            </w:pPr>
            <w:r>
              <w:rPr>
                <w:rFonts w:eastAsia="宋体" w:cs=""/>
                <w:b w:val="false"/>
                <w:color w:val="202833"/>
                <w:kern w:val="0"/>
                <w:sz w:val="14"/>
                <w:szCs w:val="22"/>
                <w:lang w:val="en-US" w:eastAsia="en-US" w:bidi="ar-SA"/>
              </w:rPr>
              <w:t>I-11</w:t>
            </w:r>
          </w:p>
        </w:tc>
        <w:tc>
          <w:tcPr>
            <w:tcW w:w="1343" w:type="dxa"/>
            <w:tcBorders/>
            <w:vAlign w:val="center"/>
          </w:tcPr>
          <w:p>
            <w:pPr>
              <w:pStyle w:val="Normal"/>
              <w:widowControl/>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4"/>
                <w:szCs w:val="22"/>
                <w:lang w:val="en-US" w:eastAsia="en-US" w:bidi="ar-SA"/>
              </w:rPr>
              <w:t>结构化输出有效率</w:t>
            </w:r>
          </w:p>
        </w:tc>
        <w:tc>
          <w:tcPr>
            <w:tcW w:w="1345" w:type="dxa"/>
            <w:tcBorders/>
            <w:vAlign w:val="center"/>
          </w:tcPr>
          <w:p>
            <w:pPr>
              <w:pStyle w:val="Normal"/>
              <w:widowControl/>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4"/>
                <w:szCs w:val="22"/>
                <w:lang w:val="en-US" w:eastAsia="en-US" w:bidi="ar-SA"/>
              </w:rPr>
              <w:t>未实现</w:t>
            </w:r>
          </w:p>
        </w:tc>
        <w:tc>
          <w:tcPr>
            <w:tcW w:w="1343" w:type="dxa"/>
            <w:tcBorders/>
            <w:vAlign w:val="center"/>
          </w:tcPr>
          <w:p>
            <w:pPr>
              <w:pStyle w:val="Normal"/>
              <w:widowControl/>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4"/>
                <w:szCs w:val="22"/>
                <w:lang w:val="en-US" w:eastAsia="en-US" w:bidi="ar-SA"/>
              </w:rPr>
              <w:t>首次有效率≥</w:t>
            </w:r>
            <w:r>
              <w:rPr>
                <w:rFonts w:eastAsia="宋体" w:cs=""/>
                <w:b w:val="false"/>
                <w:color w:val="202833"/>
                <w:kern w:val="0"/>
                <w:sz w:val="14"/>
                <w:szCs w:val="22"/>
                <w:lang w:val="en-US" w:eastAsia="en-US" w:bidi="ar-SA"/>
              </w:rPr>
              <w:t>99%</w:t>
            </w:r>
            <w:r>
              <w:rPr>
                <w:rFonts w:ascii="Times New Roman" w:hAnsi="Times New Roman" w:cs=""/>
                <w:b w:val="false"/>
                <w:color w:val="202833"/>
                <w:kern w:val="0"/>
                <w:sz w:val="14"/>
                <w:szCs w:val="22"/>
                <w:lang w:val="en-US" w:eastAsia="en-US" w:bidi="ar-SA"/>
              </w:rPr>
              <w:t>；最终接收有效率</w:t>
            </w:r>
            <w:r>
              <w:rPr>
                <w:rFonts w:eastAsia="宋体" w:cs=""/>
                <w:b w:val="false"/>
                <w:color w:val="202833"/>
                <w:kern w:val="0"/>
                <w:sz w:val="14"/>
                <w:szCs w:val="22"/>
                <w:lang w:val="en-US" w:eastAsia="en-US" w:bidi="ar-SA"/>
              </w:rPr>
              <w:t>100%</w:t>
            </w:r>
          </w:p>
        </w:tc>
        <w:tc>
          <w:tcPr>
            <w:tcW w:w="1345" w:type="dxa"/>
            <w:tcBorders/>
            <w:vAlign w:val="center"/>
          </w:tcPr>
          <w:p>
            <w:pPr>
              <w:pStyle w:val="Normal"/>
              <w:widowControl/>
              <w:spacing w:lineRule="auto" w:line="259" w:before="0" w:after="0"/>
              <w:ind w:hanging="0"/>
              <w:jc w:val="left"/>
              <w:rPr>
                <w:rFonts w:cs=""/>
                <w:kern w:val="0"/>
                <w:szCs w:val="22"/>
                <w:lang w:val="en-US" w:eastAsia="en-US" w:bidi="ar-SA"/>
              </w:rPr>
            </w:pPr>
            <w:r>
              <w:rPr>
                <w:rFonts w:eastAsia="宋体" w:cs=""/>
                <w:b w:val="false"/>
                <w:color w:val="202833"/>
                <w:kern w:val="0"/>
                <w:sz w:val="14"/>
                <w:szCs w:val="22"/>
                <w:lang w:val="en-US" w:eastAsia="en-US" w:bidi="ar-SA"/>
              </w:rPr>
              <w:t>1000</w:t>
            </w:r>
            <w:r>
              <w:rPr>
                <w:rFonts w:ascii="Times New Roman" w:hAnsi="Times New Roman" w:cs=""/>
                <w:b w:val="false"/>
                <w:color w:val="202833"/>
                <w:kern w:val="0"/>
                <w:sz w:val="14"/>
                <w:szCs w:val="22"/>
                <w:lang w:val="en-US" w:eastAsia="en-US" w:bidi="ar-SA"/>
              </w:rPr>
              <w:t>次推理，覆盖摘要、分类、比较和场景建议四类模式</w:t>
            </w:r>
          </w:p>
        </w:tc>
        <w:tc>
          <w:tcPr>
            <w:tcW w:w="1343" w:type="dxa"/>
            <w:tcBorders/>
            <w:vAlign w:val="center"/>
          </w:tcPr>
          <w:p>
            <w:pPr>
              <w:pStyle w:val="Normal"/>
              <w:widowControl/>
              <w:spacing w:lineRule="auto" w:line="259" w:before="0" w:after="0"/>
              <w:ind w:hanging="0"/>
              <w:jc w:val="left"/>
              <w:rPr>
                <w:rFonts w:cs=""/>
                <w:kern w:val="0"/>
                <w:szCs w:val="22"/>
                <w:lang w:val="en-US" w:eastAsia="en-US" w:bidi="ar-SA"/>
              </w:rPr>
            </w:pPr>
            <w:r>
              <w:rPr>
                <w:rFonts w:eastAsia="宋体" w:cs=""/>
                <w:b w:val="false"/>
                <w:color w:val="202833"/>
                <w:kern w:val="0"/>
                <w:sz w:val="14"/>
                <w:szCs w:val="22"/>
                <w:lang w:val="en-US" w:eastAsia="en-US" w:bidi="ar-SA"/>
              </w:rPr>
              <w:t>JSON Schema</w:t>
            </w:r>
            <w:r>
              <w:rPr>
                <w:rFonts w:ascii="Times New Roman" w:hAnsi="Times New Roman" w:cs=""/>
                <w:b w:val="false"/>
                <w:color w:val="202833"/>
                <w:kern w:val="0"/>
                <w:sz w:val="14"/>
                <w:szCs w:val="22"/>
                <w:lang w:val="en-US" w:eastAsia="en-US" w:bidi="ar-SA"/>
              </w:rPr>
              <w:t>首次校验通过数</w:t>
            </w:r>
            <w:r>
              <w:rPr>
                <w:rFonts w:eastAsia="宋体" w:cs=""/>
                <w:b w:val="false"/>
                <w:color w:val="202833"/>
                <w:kern w:val="0"/>
                <w:sz w:val="14"/>
                <w:szCs w:val="22"/>
                <w:lang w:val="en-US" w:eastAsia="en-US" w:bidi="ar-SA"/>
              </w:rPr>
              <w:t>/</w:t>
            </w:r>
            <w:r>
              <w:rPr>
                <w:rFonts w:ascii="Times New Roman" w:hAnsi="Times New Roman" w:cs=""/>
                <w:b w:val="false"/>
                <w:color w:val="202833"/>
                <w:kern w:val="0"/>
                <w:sz w:val="14"/>
                <w:szCs w:val="22"/>
                <w:lang w:val="en-US" w:eastAsia="en-US" w:bidi="ar-SA"/>
              </w:rPr>
              <w:t>调用数；最终接收仅统计修复后通过或明确失败关闭的结果</w:t>
            </w:r>
          </w:p>
        </w:tc>
        <w:tc>
          <w:tcPr>
            <w:tcW w:w="1344" w:type="dxa"/>
            <w:tcBorders/>
            <w:vAlign w:val="center"/>
          </w:tcPr>
          <w:p>
            <w:pPr>
              <w:pStyle w:val="Normal"/>
              <w:widowControl/>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4"/>
                <w:szCs w:val="22"/>
                <w:lang w:val="en-US" w:eastAsia="en-US" w:bidi="ar-SA"/>
              </w:rPr>
              <w:t>首次有效率≥</w:t>
            </w:r>
            <w:r>
              <w:rPr>
                <w:rFonts w:eastAsia="宋体" w:cs=""/>
                <w:b w:val="false"/>
                <w:color w:val="202833"/>
                <w:kern w:val="0"/>
                <w:sz w:val="14"/>
                <w:szCs w:val="22"/>
                <w:lang w:val="en-US" w:eastAsia="en-US" w:bidi="ar-SA"/>
              </w:rPr>
              <w:t>99%</w:t>
            </w:r>
            <w:r>
              <w:rPr>
                <w:rFonts w:ascii="Times New Roman" w:hAnsi="Times New Roman" w:cs=""/>
                <w:b w:val="false"/>
                <w:color w:val="202833"/>
                <w:kern w:val="0"/>
                <w:sz w:val="14"/>
                <w:szCs w:val="22"/>
                <w:lang w:val="en-US" w:eastAsia="en-US" w:bidi="ar-SA"/>
              </w:rPr>
              <w:t>；未通过最终校验的输出不得进入报告</w:t>
            </w:r>
          </w:p>
        </w:tc>
      </w:tr>
      <w:tr>
        <w:trPr>
          <w:cantSplit w:val="true"/>
        </w:trPr>
        <w:tc>
          <w:tcPr>
            <w:tcW w:w="1344" w:type="dxa"/>
            <w:tcBorders/>
            <w:shd w:fill="F5F7FA"/>
            <w:vAlign w:val="center"/>
          </w:tcPr>
          <w:p>
            <w:pPr>
              <w:pStyle w:val="Normal"/>
              <w:widowControl/>
              <w:spacing w:lineRule="auto" w:line="259" w:before="0" w:after="0"/>
              <w:ind w:hanging="0"/>
              <w:jc w:val="left"/>
              <w:rPr>
                <w:rFonts w:cs=""/>
                <w:kern w:val="0"/>
                <w:szCs w:val="22"/>
                <w:lang w:val="en-US" w:eastAsia="en-US" w:bidi="ar-SA"/>
              </w:rPr>
            </w:pPr>
            <w:r>
              <w:rPr>
                <w:rFonts w:eastAsia="宋体" w:cs=""/>
                <w:b w:val="false"/>
                <w:color w:val="202833"/>
                <w:kern w:val="0"/>
                <w:sz w:val="14"/>
                <w:szCs w:val="22"/>
                <w:lang w:val="en-US" w:eastAsia="en-US" w:bidi="ar-SA"/>
              </w:rPr>
              <w:t>I-12</w:t>
            </w:r>
          </w:p>
        </w:tc>
        <w:tc>
          <w:tcPr>
            <w:tcW w:w="1343" w:type="dxa"/>
            <w:tcBorders/>
            <w:shd w:fill="F5F7FA"/>
            <w:vAlign w:val="center"/>
          </w:tcPr>
          <w:p>
            <w:pPr>
              <w:pStyle w:val="Normal"/>
              <w:widowControl/>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4"/>
                <w:szCs w:val="22"/>
                <w:lang w:val="en-US" w:eastAsia="en-US" w:bidi="ar-SA"/>
              </w:rPr>
              <w:t>本地推理时间</w:t>
            </w:r>
          </w:p>
        </w:tc>
        <w:tc>
          <w:tcPr>
            <w:tcW w:w="1345" w:type="dxa"/>
            <w:tcBorders/>
            <w:shd w:fill="F5F7FA"/>
            <w:vAlign w:val="center"/>
          </w:tcPr>
          <w:p>
            <w:pPr>
              <w:pStyle w:val="Normal"/>
              <w:widowControl/>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4"/>
                <w:szCs w:val="22"/>
                <w:lang w:val="en-US" w:eastAsia="en-US" w:bidi="ar-SA"/>
              </w:rPr>
              <w:t>待基线测试</w:t>
            </w:r>
          </w:p>
        </w:tc>
        <w:tc>
          <w:tcPr>
            <w:tcW w:w="1343" w:type="dxa"/>
            <w:tcBorders/>
            <w:shd w:fill="F5F7FA"/>
            <w:vAlign w:val="center"/>
          </w:tcPr>
          <w:p>
            <w:pPr>
              <w:pStyle w:val="Normal"/>
              <w:widowControl/>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4"/>
                <w:szCs w:val="22"/>
                <w:lang w:val="en-US" w:eastAsia="en-US" w:bidi="ar-SA"/>
              </w:rPr>
              <w:t>单</w:t>
            </w:r>
            <w:r>
              <w:rPr>
                <w:rFonts w:eastAsia="宋体" w:cs=""/>
                <w:b w:val="false"/>
                <w:color w:val="202833"/>
                <w:kern w:val="0"/>
                <w:sz w:val="14"/>
                <w:szCs w:val="22"/>
                <w:lang w:val="en-US" w:eastAsia="en-US" w:bidi="ar-SA"/>
              </w:rPr>
              <w:t>episode</w:t>
            </w:r>
            <w:r>
              <w:rPr>
                <w:rFonts w:ascii="Times New Roman" w:hAnsi="Times New Roman" w:cs=""/>
                <w:b w:val="false"/>
                <w:color w:val="202833"/>
                <w:kern w:val="0"/>
                <w:sz w:val="14"/>
                <w:szCs w:val="22"/>
                <w:lang w:val="en-US" w:eastAsia="en-US" w:bidi="ar-SA"/>
              </w:rPr>
              <w:t>报告</w:t>
            </w:r>
            <w:r>
              <w:rPr>
                <w:rFonts w:eastAsia="宋体" w:cs=""/>
                <w:b w:val="false"/>
                <w:color w:val="202833"/>
                <w:kern w:val="0"/>
                <w:sz w:val="14"/>
                <w:szCs w:val="22"/>
                <w:lang w:val="en-US" w:eastAsia="en-US" w:bidi="ar-SA"/>
              </w:rPr>
              <w:t>P95≤60</w:t>
            </w:r>
            <w:r>
              <w:rPr>
                <w:rFonts w:ascii="Times New Roman" w:hAnsi="Times New Roman" w:cs=""/>
                <w:b w:val="false"/>
                <w:color w:val="202833"/>
                <w:kern w:val="0"/>
                <w:sz w:val="14"/>
                <w:szCs w:val="22"/>
                <w:lang w:val="en-US" w:eastAsia="en-US" w:bidi="ar-SA"/>
              </w:rPr>
              <w:t>秒；</w:t>
            </w:r>
            <w:r>
              <w:rPr>
                <w:rFonts w:eastAsia="宋体" w:cs=""/>
                <w:b w:val="false"/>
                <w:color w:val="202833"/>
                <w:kern w:val="0"/>
                <w:sz w:val="14"/>
                <w:szCs w:val="22"/>
                <w:lang w:val="en-US" w:eastAsia="en-US" w:bidi="ar-SA"/>
              </w:rPr>
              <w:t>100</w:t>
            </w:r>
            <w:r>
              <w:rPr>
                <w:rFonts w:ascii="Times New Roman" w:hAnsi="Times New Roman" w:cs=""/>
                <w:b w:val="false"/>
                <w:color w:val="202833"/>
                <w:kern w:val="0"/>
                <w:sz w:val="14"/>
                <w:szCs w:val="22"/>
                <w:lang w:val="en-US" w:eastAsia="en-US" w:bidi="ar-SA"/>
              </w:rPr>
              <w:t>个</w:t>
            </w:r>
            <w:r>
              <w:rPr>
                <w:rFonts w:eastAsia="宋体" w:cs=""/>
                <w:b w:val="false"/>
                <w:color w:val="202833"/>
                <w:kern w:val="0"/>
                <w:sz w:val="14"/>
                <w:szCs w:val="22"/>
                <w:lang w:val="en-US" w:eastAsia="en-US" w:bidi="ar-SA"/>
              </w:rPr>
              <w:t>episode</w:t>
            </w:r>
            <w:r>
              <w:rPr>
                <w:rFonts w:ascii="Times New Roman" w:hAnsi="Times New Roman" w:cs=""/>
                <w:b w:val="false"/>
                <w:color w:val="202833"/>
                <w:kern w:val="0"/>
                <w:sz w:val="14"/>
                <w:szCs w:val="22"/>
                <w:lang w:val="en-US" w:eastAsia="en-US" w:bidi="ar-SA"/>
              </w:rPr>
              <w:t>聚合报告</w:t>
            </w:r>
            <w:r>
              <w:rPr>
                <w:rFonts w:eastAsia="宋体" w:cs=""/>
                <w:b w:val="false"/>
                <w:color w:val="202833"/>
                <w:kern w:val="0"/>
                <w:sz w:val="14"/>
                <w:szCs w:val="22"/>
                <w:lang w:val="en-US" w:eastAsia="en-US" w:bidi="ar-SA"/>
              </w:rPr>
              <w:t>P95≤300</w:t>
            </w:r>
            <w:r>
              <w:rPr>
                <w:rFonts w:ascii="Times New Roman" w:hAnsi="Times New Roman" w:cs=""/>
                <w:b w:val="false"/>
                <w:color w:val="202833"/>
                <w:kern w:val="0"/>
                <w:sz w:val="14"/>
                <w:szCs w:val="22"/>
                <w:lang w:val="en-US" w:eastAsia="en-US" w:bidi="ar-SA"/>
              </w:rPr>
              <w:t>秒</w:t>
            </w:r>
          </w:p>
        </w:tc>
        <w:tc>
          <w:tcPr>
            <w:tcW w:w="1345" w:type="dxa"/>
            <w:tcBorders/>
            <w:shd w:fill="F5F7FA"/>
            <w:vAlign w:val="center"/>
          </w:tcPr>
          <w:p>
            <w:pPr>
              <w:pStyle w:val="Normal"/>
              <w:widowControl/>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4"/>
                <w:szCs w:val="22"/>
                <w:lang w:val="en-US" w:eastAsia="en-US" w:bidi="ar-SA"/>
              </w:rPr>
              <w:t>冻结模型、量化、推理框架和单工作站；预热</w:t>
            </w:r>
            <w:r>
              <w:rPr>
                <w:rFonts w:eastAsia="宋体" w:cs=""/>
                <w:b w:val="false"/>
                <w:color w:val="202833"/>
                <w:kern w:val="0"/>
                <w:sz w:val="14"/>
                <w:szCs w:val="22"/>
                <w:lang w:val="en-US" w:eastAsia="en-US" w:bidi="ar-SA"/>
              </w:rPr>
              <w:t>5</w:t>
            </w:r>
            <w:r>
              <w:rPr>
                <w:rFonts w:ascii="Times New Roman" w:hAnsi="Times New Roman" w:cs=""/>
                <w:b w:val="false"/>
                <w:color w:val="202833"/>
                <w:kern w:val="0"/>
                <w:sz w:val="14"/>
                <w:szCs w:val="22"/>
                <w:lang w:val="en-US" w:eastAsia="en-US" w:bidi="ar-SA"/>
              </w:rPr>
              <w:t>次后各测</w:t>
            </w:r>
            <w:r>
              <w:rPr>
                <w:rFonts w:eastAsia="宋体" w:cs=""/>
                <w:b w:val="false"/>
                <w:color w:val="202833"/>
                <w:kern w:val="0"/>
                <w:sz w:val="14"/>
                <w:szCs w:val="22"/>
                <w:lang w:val="en-US" w:eastAsia="en-US" w:bidi="ar-SA"/>
              </w:rPr>
              <w:t>30</w:t>
            </w:r>
            <w:r>
              <w:rPr>
                <w:rFonts w:ascii="Times New Roman" w:hAnsi="Times New Roman" w:cs=""/>
                <w:b w:val="false"/>
                <w:color w:val="202833"/>
                <w:kern w:val="0"/>
                <w:sz w:val="14"/>
                <w:szCs w:val="22"/>
                <w:lang w:val="en-US" w:eastAsia="en-US" w:bidi="ar-SA"/>
              </w:rPr>
              <w:t>轮；输入不超过所选模型上下文上限的</w:t>
            </w:r>
            <w:r>
              <w:rPr>
                <w:rFonts w:eastAsia="宋体" w:cs=""/>
                <w:b w:val="false"/>
                <w:color w:val="202833"/>
                <w:kern w:val="0"/>
                <w:sz w:val="14"/>
                <w:szCs w:val="22"/>
                <w:lang w:val="en-US" w:eastAsia="en-US" w:bidi="ar-SA"/>
              </w:rPr>
              <w:t>70%</w:t>
            </w:r>
          </w:p>
        </w:tc>
        <w:tc>
          <w:tcPr>
            <w:tcW w:w="1343" w:type="dxa"/>
            <w:tcBorders/>
            <w:shd w:fill="F5F7FA"/>
            <w:vAlign w:val="center"/>
          </w:tcPr>
          <w:p>
            <w:pPr>
              <w:pStyle w:val="Normal"/>
              <w:widowControl/>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4"/>
                <w:szCs w:val="22"/>
                <w:lang w:val="en-US" w:eastAsia="en-US" w:bidi="ar-SA"/>
              </w:rPr>
              <w:t>从证据包读取完成到结构化输出落盘；用单调时钟记录，不含人工复核和</w:t>
            </w:r>
            <w:r>
              <w:rPr>
                <w:rFonts w:eastAsia="宋体" w:cs=""/>
                <w:b w:val="false"/>
                <w:color w:val="202833"/>
                <w:kern w:val="0"/>
                <w:sz w:val="14"/>
                <w:szCs w:val="22"/>
                <w:lang w:val="en-US" w:eastAsia="en-US" w:bidi="ar-SA"/>
              </w:rPr>
              <w:t>PDF</w:t>
            </w:r>
            <w:r>
              <w:rPr>
                <w:rFonts w:ascii="Times New Roman" w:hAnsi="Times New Roman" w:cs=""/>
                <w:b w:val="false"/>
                <w:color w:val="202833"/>
                <w:kern w:val="0"/>
                <w:sz w:val="14"/>
                <w:szCs w:val="22"/>
                <w:lang w:val="en-US" w:eastAsia="en-US" w:bidi="ar-SA"/>
              </w:rPr>
              <w:t>排版</w:t>
            </w:r>
          </w:p>
        </w:tc>
        <w:tc>
          <w:tcPr>
            <w:tcW w:w="1344" w:type="dxa"/>
            <w:tcBorders/>
            <w:shd w:fill="F5F7FA"/>
            <w:vAlign w:val="center"/>
          </w:tcPr>
          <w:p>
            <w:pPr>
              <w:pStyle w:val="Normal"/>
              <w:widowControl/>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4"/>
                <w:szCs w:val="22"/>
                <w:lang w:val="en-US" w:eastAsia="en-US" w:bidi="ar-SA"/>
              </w:rPr>
              <w:t>两类</w:t>
            </w:r>
            <w:r>
              <w:rPr>
                <w:rFonts w:eastAsia="宋体" w:cs=""/>
                <w:b w:val="false"/>
                <w:color w:val="202833"/>
                <w:kern w:val="0"/>
                <w:sz w:val="14"/>
                <w:szCs w:val="22"/>
                <w:lang w:val="en-US" w:eastAsia="en-US" w:bidi="ar-SA"/>
              </w:rPr>
              <w:t>P95</w:t>
            </w:r>
            <w:r>
              <w:rPr>
                <w:rFonts w:ascii="Times New Roman" w:hAnsi="Times New Roman" w:cs=""/>
                <w:b w:val="false"/>
                <w:color w:val="202833"/>
                <w:kern w:val="0"/>
                <w:sz w:val="14"/>
                <w:szCs w:val="22"/>
                <w:lang w:val="en-US" w:eastAsia="en-US" w:bidi="ar-SA"/>
              </w:rPr>
              <w:t>均达标；报告模型、硬件、功耗限制和输入</w:t>
            </w:r>
            <w:r>
              <w:rPr>
                <w:rFonts w:eastAsia="宋体" w:cs=""/>
                <w:b w:val="false"/>
                <w:color w:val="202833"/>
                <w:kern w:val="0"/>
                <w:sz w:val="14"/>
                <w:szCs w:val="22"/>
                <w:lang w:val="en-US" w:eastAsia="en-US" w:bidi="ar-SA"/>
              </w:rPr>
              <w:t>token</w:t>
            </w:r>
            <w:r>
              <w:rPr>
                <w:rFonts w:ascii="Times New Roman" w:hAnsi="Times New Roman" w:cs=""/>
                <w:b w:val="false"/>
                <w:color w:val="202833"/>
                <w:kern w:val="0"/>
                <w:sz w:val="14"/>
                <w:szCs w:val="22"/>
                <w:lang w:val="en-US" w:eastAsia="en-US" w:bidi="ar-SA"/>
              </w:rPr>
              <w:t>分布</w:t>
            </w:r>
          </w:p>
        </w:tc>
      </w:tr>
      <w:tr>
        <w:trPr>
          <w:cantSplit w:val="true"/>
        </w:trPr>
        <w:tc>
          <w:tcPr>
            <w:tcW w:w="1344" w:type="dxa"/>
            <w:tcBorders/>
            <w:vAlign w:val="center"/>
          </w:tcPr>
          <w:p>
            <w:pPr>
              <w:pStyle w:val="Normal"/>
              <w:widowControl/>
              <w:spacing w:lineRule="auto" w:line="259" w:before="0" w:after="0"/>
              <w:ind w:hanging="0"/>
              <w:jc w:val="left"/>
              <w:rPr>
                <w:rFonts w:cs=""/>
                <w:kern w:val="0"/>
                <w:szCs w:val="22"/>
                <w:lang w:val="en-US" w:eastAsia="en-US" w:bidi="ar-SA"/>
              </w:rPr>
            </w:pPr>
            <w:r>
              <w:rPr>
                <w:rFonts w:eastAsia="宋体" w:cs=""/>
                <w:b w:val="false"/>
                <w:color w:val="202833"/>
                <w:kern w:val="0"/>
                <w:sz w:val="14"/>
                <w:szCs w:val="22"/>
                <w:lang w:val="en-US" w:eastAsia="en-US" w:bidi="ar-SA"/>
              </w:rPr>
              <w:t>I-13</w:t>
            </w:r>
          </w:p>
        </w:tc>
        <w:tc>
          <w:tcPr>
            <w:tcW w:w="1343" w:type="dxa"/>
            <w:tcBorders/>
            <w:vAlign w:val="center"/>
          </w:tcPr>
          <w:p>
            <w:pPr>
              <w:pStyle w:val="Normal"/>
              <w:widowControl/>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4"/>
                <w:szCs w:val="22"/>
                <w:lang w:val="en-US" w:eastAsia="en-US" w:bidi="ar-SA"/>
              </w:rPr>
              <w:t>本地资源与单位推理成本</w:t>
            </w:r>
          </w:p>
        </w:tc>
        <w:tc>
          <w:tcPr>
            <w:tcW w:w="1345" w:type="dxa"/>
            <w:tcBorders/>
            <w:vAlign w:val="center"/>
          </w:tcPr>
          <w:p>
            <w:pPr>
              <w:pStyle w:val="Normal"/>
              <w:widowControl/>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4"/>
                <w:szCs w:val="22"/>
                <w:lang w:val="en-US" w:eastAsia="en-US" w:bidi="ar-SA"/>
              </w:rPr>
              <w:t>待基线测试</w:t>
            </w:r>
          </w:p>
        </w:tc>
        <w:tc>
          <w:tcPr>
            <w:tcW w:w="1343" w:type="dxa"/>
            <w:tcBorders/>
            <w:vAlign w:val="center"/>
          </w:tcPr>
          <w:p>
            <w:pPr>
              <w:pStyle w:val="Normal"/>
              <w:widowControl/>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4"/>
                <w:szCs w:val="22"/>
                <w:lang w:val="en-US" w:eastAsia="en-US" w:bidi="ar-SA"/>
              </w:rPr>
              <w:t>峰值显存≤</w:t>
            </w:r>
            <w:r>
              <w:rPr>
                <w:rFonts w:eastAsia="宋体" w:cs=""/>
                <w:b w:val="false"/>
                <w:color w:val="202833"/>
                <w:kern w:val="0"/>
                <w:sz w:val="14"/>
                <w:szCs w:val="22"/>
                <w:lang w:val="en-US" w:eastAsia="en-US" w:bidi="ar-SA"/>
              </w:rPr>
              <w:t>32GB</w:t>
            </w:r>
            <w:r>
              <w:rPr>
                <w:rFonts w:ascii="Times New Roman" w:hAnsi="Times New Roman" w:cs=""/>
                <w:b w:val="false"/>
                <w:color w:val="202833"/>
                <w:kern w:val="0"/>
                <w:sz w:val="14"/>
                <w:szCs w:val="22"/>
                <w:lang w:val="en-US" w:eastAsia="en-US" w:bidi="ar-SA"/>
              </w:rPr>
              <w:t>；单</w:t>
            </w:r>
            <w:r>
              <w:rPr>
                <w:rFonts w:eastAsia="宋体" w:cs=""/>
                <w:b w:val="false"/>
                <w:color w:val="202833"/>
                <w:kern w:val="0"/>
                <w:sz w:val="14"/>
                <w:szCs w:val="22"/>
                <w:lang w:val="en-US" w:eastAsia="en-US" w:bidi="ar-SA"/>
              </w:rPr>
              <w:t>episode</w:t>
            </w:r>
            <w:r>
              <w:rPr>
                <w:rFonts w:ascii="Times New Roman" w:hAnsi="Times New Roman" w:cs=""/>
                <w:b w:val="false"/>
                <w:color w:val="202833"/>
                <w:kern w:val="0"/>
                <w:sz w:val="14"/>
                <w:szCs w:val="22"/>
                <w:lang w:val="en-US" w:eastAsia="en-US" w:bidi="ar-SA"/>
              </w:rPr>
              <w:t>报告电能≤</w:t>
            </w:r>
            <w:r>
              <w:rPr>
                <w:rFonts w:eastAsia="宋体" w:cs=""/>
                <w:b w:val="false"/>
                <w:color w:val="202833"/>
                <w:kern w:val="0"/>
                <w:sz w:val="14"/>
                <w:szCs w:val="22"/>
                <w:lang w:val="en-US" w:eastAsia="en-US" w:bidi="ar-SA"/>
              </w:rPr>
              <w:t>0.10kWh</w:t>
            </w:r>
            <w:r>
              <w:rPr>
                <w:rFonts w:ascii="Times New Roman" w:hAnsi="Times New Roman" w:cs=""/>
                <w:b w:val="false"/>
                <w:color w:val="202833"/>
                <w:kern w:val="0"/>
                <w:sz w:val="14"/>
                <w:szCs w:val="22"/>
                <w:lang w:val="en-US" w:eastAsia="en-US" w:bidi="ar-SA"/>
              </w:rPr>
              <w:t>；单位计算成本≤</w:t>
            </w:r>
            <w:r>
              <w:rPr>
                <w:rFonts w:eastAsia="宋体" w:cs=""/>
                <w:b w:val="false"/>
                <w:color w:val="202833"/>
                <w:kern w:val="0"/>
                <w:sz w:val="14"/>
                <w:szCs w:val="22"/>
                <w:lang w:val="en-US" w:eastAsia="en-US" w:bidi="ar-SA"/>
              </w:rPr>
              <w:t>2.00</w:t>
            </w:r>
            <w:r>
              <w:rPr>
                <w:rFonts w:ascii="Times New Roman" w:hAnsi="Times New Roman" w:cs=""/>
                <w:b w:val="false"/>
                <w:color w:val="202833"/>
                <w:kern w:val="0"/>
                <w:sz w:val="14"/>
                <w:szCs w:val="22"/>
                <w:lang w:val="en-US" w:eastAsia="en-US" w:bidi="ar-SA"/>
              </w:rPr>
              <w:t>元</w:t>
            </w:r>
          </w:p>
        </w:tc>
        <w:tc>
          <w:tcPr>
            <w:tcW w:w="1345" w:type="dxa"/>
            <w:tcBorders/>
            <w:vAlign w:val="center"/>
          </w:tcPr>
          <w:p>
            <w:pPr>
              <w:pStyle w:val="Normal"/>
              <w:widowControl/>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4"/>
                <w:szCs w:val="22"/>
                <w:lang w:val="en-US" w:eastAsia="en-US" w:bidi="ar-SA"/>
              </w:rPr>
              <w:t>与</w:t>
            </w:r>
            <w:r>
              <w:rPr>
                <w:rFonts w:eastAsia="宋体" w:cs=""/>
                <w:b w:val="false"/>
                <w:color w:val="202833"/>
                <w:kern w:val="0"/>
                <w:sz w:val="14"/>
                <w:szCs w:val="22"/>
                <w:lang w:val="en-US" w:eastAsia="en-US" w:bidi="ar-SA"/>
              </w:rPr>
              <w:t>I-12</w:t>
            </w:r>
            <w:r>
              <w:rPr>
                <w:rFonts w:ascii="Times New Roman" w:hAnsi="Times New Roman" w:cs=""/>
                <w:b w:val="false"/>
                <w:color w:val="202833"/>
                <w:kern w:val="0"/>
                <w:sz w:val="14"/>
                <w:szCs w:val="22"/>
                <w:lang w:val="en-US" w:eastAsia="en-US" w:bidi="ar-SA"/>
              </w:rPr>
              <w:t>同一硬件，连续生成</w:t>
            </w:r>
            <w:r>
              <w:rPr>
                <w:rFonts w:eastAsia="宋体" w:cs=""/>
                <w:b w:val="false"/>
                <w:color w:val="202833"/>
                <w:kern w:val="0"/>
                <w:sz w:val="14"/>
                <w:szCs w:val="22"/>
                <w:lang w:val="en-US" w:eastAsia="en-US" w:bidi="ar-SA"/>
              </w:rPr>
              <w:t>100</w:t>
            </w:r>
            <w:r>
              <w:rPr>
                <w:rFonts w:ascii="Times New Roman" w:hAnsi="Times New Roman" w:cs=""/>
                <w:b w:val="false"/>
                <w:color w:val="202833"/>
                <w:kern w:val="0"/>
                <w:sz w:val="14"/>
                <w:szCs w:val="22"/>
                <w:lang w:val="en-US" w:eastAsia="en-US" w:bidi="ar-SA"/>
              </w:rPr>
              <w:t>份通过校验的报告；同时记录</w:t>
            </w:r>
            <w:r>
              <w:rPr>
                <w:rFonts w:eastAsia="宋体" w:cs=""/>
                <w:b w:val="false"/>
                <w:color w:val="202833"/>
                <w:kern w:val="0"/>
                <w:sz w:val="14"/>
                <w:szCs w:val="22"/>
                <w:lang w:val="en-US" w:eastAsia="en-US" w:bidi="ar-SA"/>
              </w:rPr>
              <w:t>GPU</w:t>
            </w:r>
            <w:r>
              <w:rPr>
                <w:rFonts w:ascii="Times New Roman" w:hAnsi="Times New Roman" w:cs=""/>
                <w:b w:val="false"/>
                <w:color w:val="202833"/>
                <w:kern w:val="0"/>
                <w:sz w:val="14"/>
                <w:szCs w:val="22"/>
                <w:lang w:val="en-US" w:eastAsia="en-US" w:bidi="ar-SA"/>
              </w:rPr>
              <w:t>、</w:t>
            </w:r>
            <w:r>
              <w:rPr>
                <w:rFonts w:eastAsia="宋体" w:cs=""/>
                <w:b w:val="false"/>
                <w:color w:val="202833"/>
                <w:kern w:val="0"/>
                <w:sz w:val="14"/>
                <w:szCs w:val="22"/>
                <w:lang w:val="en-US" w:eastAsia="en-US" w:bidi="ar-SA"/>
              </w:rPr>
              <w:t>CPU</w:t>
            </w:r>
            <w:r>
              <w:rPr>
                <w:rFonts w:ascii="Times New Roman" w:hAnsi="Times New Roman" w:cs=""/>
                <w:b w:val="false"/>
                <w:color w:val="202833"/>
                <w:kern w:val="0"/>
                <w:sz w:val="14"/>
                <w:szCs w:val="22"/>
                <w:lang w:val="en-US" w:eastAsia="en-US" w:bidi="ar-SA"/>
              </w:rPr>
              <w:t>、内存、墙上功率和失败重试</w:t>
            </w:r>
          </w:p>
        </w:tc>
        <w:tc>
          <w:tcPr>
            <w:tcW w:w="1343" w:type="dxa"/>
            <w:tcBorders/>
            <w:vAlign w:val="center"/>
          </w:tcPr>
          <w:p>
            <w:pPr>
              <w:pStyle w:val="Normal"/>
              <w:widowControl/>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4"/>
                <w:szCs w:val="22"/>
                <w:lang w:val="en-US" w:eastAsia="en-US" w:bidi="ar-SA"/>
              </w:rPr>
              <w:t>电能由功率计为主、设备遥测为辅；单位成本</w:t>
            </w:r>
            <w:r>
              <w:rPr>
                <w:rFonts w:eastAsia="宋体" w:cs=""/>
                <w:b w:val="false"/>
                <w:color w:val="202833"/>
                <w:kern w:val="0"/>
                <w:sz w:val="14"/>
                <w:szCs w:val="22"/>
                <w:lang w:val="en-US" w:eastAsia="en-US" w:bidi="ar-SA"/>
              </w:rPr>
              <w:t>=(</w:t>
            </w:r>
            <w:r>
              <w:rPr>
                <w:rFonts w:ascii="Times New Roman" w:hAnsi="Times New Roman" w:cs=""/>
                <w:b w:val="false"/>
                <w:color w:val="202833"/>
                <w:kern w:val="0"/>
                <w:sz w:val="14"/>
                <w:szCs w:val="22"/>
                <w:lang w:val="en-US" w:eastAsia="en-US" w:bidi="ar-SA"/>
              </w:rPr>
              <w:t>电费</w:t>
            </w:r>
            <w:r>
              <w:rPr>
                <w:rFonts w:eastAsia="宋体" w:cs=""/>
                <w:b w:val="false"/>
                <w:color w:val="202833"/>
                <w:kern w:val="0"/>
                <w:sz w:val="14"/>
                <w:szCs w:val="22"/>
                <w:lang w:val="en-US" w:eastAsia="en-US" w:bidi="ar-SA"/>
              </w:rPr>
              <w:t>+</w:t>
            </w:r>
            <w:r>
              <w:rPr>
                <w:rFonts w:ascii="Times New Roman" w:hAnsi="Times New Roman" w:cs=""/>
                <w:b w:val="false"/>
                <w:color w:val="202833"/>
                <w:kern w:val="0"/>
                <w:sz w:val="14"/>
                <w:szCs w:val="22"/>
                <w:lang w:val="en-US" w:eastAsia="en-US" w:bidi="ar-SA"/>
              </w:rPr>
              <w:t>按验收冻结的三年任务量摊销的设备折旧</w:t>
            </w:r>
            <w:r>
              <w:rPr>
                <w:rFonts w:eastAsia="宋体" w:cs=""/>
                <w:b w:val="false"/>
                <w:color w:val="202833"/>
                <w:kern w:val="0"/>
                <w:sz w:val="14"/>
                <w:szCs w:val="22"/>
                <w:lang w:val="en-US" w:eastAsia="en-US" w:bidi="ar-SA"/>
              </w:rPr>
              <w:t>+</w:t>
            </w:r>
            <w:r>
              <w:rPr>
                <w:rFonts w:ascii="Times New Roman" w:hAnsi="Times New Roman" w:cs=""/>
                <w:b w:val="false"/>
                <w:color w:val="202833"/>
                <w:kern w:val="0"/>
                <w:sz w:val="14"/>
                <w:szCs w:val="22"/>
                <w:lang w:val="en-US" w:eastAsia="en-US" w:bidi="ar-SA"/>
              </w:rPr>
              <w:t>本地运维摊销</w:t>
            </w:r>
            <w:r>
              <w:rPr>
                <w:rFonts w:eastAsia="宋体" w:cs=""/>
                <w:b w:val="false"/>
                <w:color w:val="202833"/>
                <w:kern w:val="0"/>
                <w:sz w:val="14"/>
                <w:szCs w:val="22"/>
                <w:lang w:val="en-US" w:eastAsia="en-US" w:bidi="ar-SA"/>
              </w:rPr>
              <w:t>)/</w:t>
            </w:r>
            <w:r>
              <w:rPr>
                <w:rFonts w:ascii="Times New Roman" w:hAnsi="Times New Roman" w:cs=""/>
                <w:b w:val="false"/>
                <w:color w:val="202833"/>
                <w:kern w:val="0"/>
                <w:sz w:val="14"/>
                <w:szCs w:val="22"/>
                <w:lang w:val="en-US" w:eastAsia="en-US" w:bidi="ar-SA"/>
              </w:rPr>
              <w:t>通过校验报告数，不含人工审核</w:t>
            </w:r>
          </w:p>
        </w:tc>
        <w:tc>
          <w:tcPr>
            <w:tcW w:w="1344" w:type="dxa"/>
            <w:tcBorders/>
            <w:vAlign w:val="center"/>
          </w:tcPr>
          <w:p>
            <w:pPr>
              <w:pStyle w:val="Normal"/>
              <w:widowControl/>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4"/>
                <w:szCs w:val="22"/>
                <w:lang w:val="en-US" w:eastAsia="en-US" w:bidi="ar-SA"/>
              </w:rPr>
              <w:t>三项均达标；报价、当地电价、折旧期、任务量和重试次数可复算。该目标为建议值，需以采购前实测确认</w:t>
            </w:r>
          </w:p>
        </w:tc>
      </w:tr>
      <w:tr>
        <w:trPr>
          <w:cantSplit w:val="true"/>
        </w:trPr>
        <w:tc>
          <w:tcPr>
            <w:tcW w:w="1344" w:type="dxa"/>
            <w:tcBorders/>
            <w:shd w:fill="F5F7FA"/>
            <w:vAlign w:val="center"/>
          </w:tcPr>
          <w:p>
            <w:pPr>
              <w:pStyle w:val="Normal"/>
              <w:widowControl/>
              <w:spacing w:lineRule="auto" w:line="259" w:before="0" w:after="0"/>
              <w:ind w:hanging="0"/>
              <w:jc w:val="left"/>
              <w:rPr>
                <w:rFonts w:cs=""/>
                <w:kern w:val="0"/>
                <w:szCs w:val="22"/>
                <w:lang w:val="en-US" w:eastAsia="en-US" w:bidi="ar-SA"/>
              </w:rPr>
            </w:pPr>
            <w:r>
              <w:rPr>
                <w:rFonts w:eastAsia="宋体" w:cs=""/>
                <w:b w:val="false"/>
                <w:color w:val="202833"/>
                <w:kern w:val="0"/>
                <w:sz w:val="14"/>
                <w:szCs w:val="22"/>
                <w:lang w:val="en-US" w:eastAsia="en-US" w:bidi="ar-SA"/>
              </w:rPr>
              <w:t>I-14</w:t>
            </w:r>
          </w:p>
        </w:tc>
        <w:tc>
          <w:tcPr>
            <w:tcW w:w="1343" w:type="dxa"/>
            <w:tcBorders/>
            <w:shd w:fill="F5F7FA"/>
            <w:vAlign w:val="center"/>
          </w:tcPr>
          <w:p>
            <w:pPr>
              <w:pStyle w:val="Normal"/>
              <w:widowControl/>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4"/>
                <w:szCs w:val="22"/>
                <w:lang w:val="en-US" w:eastAsia="en-US" w:bidi="ar-SA"/>
              </w:rPr>
              <w:t>模型与生成追溯完整率</w:t>
            </w:r>
          </w:p>
        </w:tc>
        <w:tc>
          <w:tcPr>
            <w:tcW w:w="1345" w:type="dxa"/>
            <w:tcBorders/>
            <w:shd w:fill="F5F7FA"/>
            <w:vAlign w:val="center"/>
          </w:tcPr>
          <w:p>
            <w:pPr>
              <w:pStyle w:val="Normal"/>
              <w:widowControl/>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4"/>
                <w:szCs w:val="22"/>
                <w:lang w:val="en-US" w:eastAsia="en-US" w:bidi="ar-SA"/>
              </w:rPr>
              <w:t>未实现</w:t>
            </w:r>
          </w:p>
        </w:tc>
        <w:tc>
          <w:tcPr>
            <w:tcW w:w="1343" w:type="dxa"/>
            <w:tcBorders/>
            <w:shd w:fill="F5F7FA"/>
            <w:vAlign w:val="center"/>
          </w:tcPr>
          <w:p>
            <w:pPr>
              <w:pStyle w:val="Normal"/>
              <w:widowControl/>
              <w:spacing w:lineRule="auto" w:line="259" w:before="0" w:after="0"/>
              <w:ind w:hanging="0"/>
              <w:jc w:val="left"/>
              <w:rPr>
                <w:rFonts w:cs=""/>
                <w:kern w:val="0"/>
                <w:szCs w:val="22"/>
                <w:lang w:val="en-US" w:eastAsia="en-US" w:bidi="ar-SA"/>
              </w:rPr>
            </w:pPr>
            <w:r>
              <w:rPr>
                <w:rFonts w:eastAsia="宋体" w:cs=""/>
                <w:b w:val="false"/>
                <w:color w:val="202833"/>
                <w:kern w:val="0"/>
                <w:sz w:val="14"/>
                <w:szCs w:val="22"/>
                <w:lang w:val="en-US" w:eastAsia="en-US" w:bidi="ar-SA"/>
              </w:rPr>
              <w:t>100%</w:t>
            </w:r>
          </w:p>
        </w:tc>
        <w:tc>
          <w:tcPr>
            <w:tcW w:w="1345" w:type="dxa"/>
            <w:tcBorders/>
            <w:shd w:fill="F5F7FA"/>
            <w:vAlign w:val="center"/>
          </w:tcPr>
          <w:p>
            <w:pPr>
              <w:pStyle w:val="Normal"/>
              <w:widowControl/>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4"/>
                <w:szCs w:val="22"/>
                <w:lang w:val="en-US" w:eastAsia="en-US" w:bidi="ar-SA"/>
              </w:rPr>
              <w:t>抽查</w:t>
            </w:r>
            <w:r>
              <w:rPr>
                <w:rFonts w:eastAsia="宋体" w:cs=""/>
                <w:b w:val="false"/>
                <w:color w:val="202833"/>
                <w:kern w:val="0"/>
                <w:sz w:val="14"/>
                <w:szCs w:val="22"/>
                <w:lang w:val="en-US" w:eastAsia="en-US" w:bidi="ar-SA"/>
              </w:rPr>
              <w:t>100</w:t>
            </w:r>
            <w:r>
              <w:rPr>
                <w:rFonts w:ascii="Times New Roman" w:hAnsi="Times New Roman" w:cs=""/>
                <w:b w:val="false"/>
                <w:color w:val="202833"/>
                <w:kern w:val="0"/>
                <w:sz w:val="14"/>
                <w:szCs w:val="22"/>
                <w:lang w:val="en-US" w:eastAsia="en-US" w:bidi="ar-SA"/>
              </w:rPr>
              <w:t>份报告并执行</w:t>
            </w:r>
            <w:r>
              <w:rPr>
                <w:rFonts w:eastAsia="宋体" w:cs=""/>
                <w:b w:val="false"/>
                <w:color w:val="202833"/>
                <w:kern w:val="0"/>
                <w:sz w:val="14"/>
                <w:szCs w:val="22"/>
                <w:lang w:val="en-US" w:eastAsia="en-US" w:bidi="ar-SA"/>
              </w:rPr>
              <w:t>5</w:t>
            </w:r>
            <w:r>
              <w:rPr>
                <w:rFonts w:ascii="Times New Roman" w:hAnsi="Times New Roman" w:cs=""/>
                <w:b w:val="false"/>
                <w:color w:val="202833"/>
                <w:kern w:val="0"/>
                <w:sz w:val="14"/>
                <w:szCs w:val="22"/>
                <w:lang w:val="en-US" w:eastAsia="en-US" w:bidi="ar-SA"/>
              </w:rPr>
              <w:t>次模型</w:t>
            </w:r>
            <w:r>
              <w:rPr>
                <w:rFonts w:eastAsia="宋体" w:cs=""/>
                <w:b w:val="false"/>
                <w:color w:val="202833"/>
                <w:kern w:val="0"/>
                <w:sz w:val="14"/>
                <w:szCs w:val="22"/>
                <w:lang w:val="en-US" w:eastAsia="en-US" w:bidi="ar-SA"/>
              </w:rPr>
              <w:t>/</w:t>
            </w:r>
            <w:r>
              <w:rPr>
                <w:rFonts w:ascii="Times New Roman" w:hAnsi="Times New Roman" w:cs=""/>
                <w:b w:val="false"/>
                <w:color w:val="202833"/>
                <w:kern w:val="0"/>
                <w:sz w:val="14"/>
                <w:szCs w:val="22"/>
                <w:lang w:val="en-US" w:eastAsia="en-US" w:bidi="ar-SA"/>
              </w:rPr>
              <w:t>提示词升级演练</w:t>
            </w:r>
          </w:p>
        </w:tc>
        <w:tc>
          <w:tcPr>
            <w:tcW w:w="1343" w:type="dxa"/>
            <w:tcBorders/>
            <w:shd w:fill="F5F7FA"/>
            <w:vAlign w:val="center"/>
          </w:tcPr>
          <w:p>
            <w:pPr>
              <w:pStyle w:val="Normal"/>
              <w:widowControl/>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4"/>
                <w:szCs w:val="22"/>
                <w:lang w:val="en-US" w:eastAsia="en-US" w:bidi="ar-SA"/>
              </w:rPr>
              <w:t>检查模型名称、权重哈希、许可证、量化、推理框架、提示词、知识库</w:t>
            </w:r>
            <w:r>
              <w:rPr>
                <w:rFonts w:eastAsia="宋体" w:cs=""/>
                <w:b w:val="false"/>
                <w:color w:val="202833"/>
                <w:kern w:val="0"/>
                <w:sz w:val="14"/>
                <w:szCs w:val="22"/>
                <w:lang w:val="en-US" w:eastAsia="en-US" w:bidi="ar-SA"/>
              </w:rPr>
              <w:t>/</w:t>
            </w:r>
            <w:r>
              <w:rPr>
                <w:rFonts w:ascii="Times New Roman" w:hAnsi="Times New Roman" w:cs=""/>
                <w:b w:val="false"/>
                <w:color w:val="202833"/>
                <w:kern w:val="0"/>
                <w:sz w:val="14"/>
                <w:szCs w:val="22"/>
                <w:lang w:val="en-US" w:eastAsia="en-US" w:bidi="ar-SA"/>
              </w:rPr>
              <w:t>词表、解码参数、硬件、证据包哈希、时间和原始模型输出</w:t>
            </w:r>
          </w:p>
        </w:tc>
        <w:tc>
          <w:tcPr>
            <w:tcW w:w="1344" w:type="dxa"/>
            <w:tcBorders/>
            <w:shd w:fill="F5F7FA"/>
            <w:vAlign w:val="center"/>
          </w:tcPr>
          <w:p>
            <w:pPr>
              <w:pStyle w:val="Normal"/>
              <w:widowControl/>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4"/>
                <w:szCs w:val="22"/>
                <w:lang w:val="en-US" w:eastAsia="en-US" w:bidi="ar-SA"/>
              </w:rPr>
              <w:t>字段完整率</w:t>
            </w:r>
            <w:r>
              <w:rPr>
                <w:rFonts w:eastAsia="宋体" w:cs=""/>
                <w:b w:val="false"/>
                <w:color w:val="202833"/>
                <w:kern w:val="0"/>
                <w:sz w:val="14"/>
                <w:szCs w:val="22"/>
                <w:lang w:val="en-US" w:eastAsia="en-US" w:bidi="ar-SA"/>
              </w:rPr>
              <w:t>100%</w:t>
            </w:r>
            <w:r>
              <w:rPr>
                <w:rFonts w:ascii="Times New Roman" w:hAnsi="Times New Roman" w:cs=""/>
                <w:b w:val="false"/>
                <w:color w:val="202833"/>
                <w:kern w:val="0"/>
                <w:sz w:val="14"/>
                <w:szCs w:val="22"/>
                <w:lang w:val="en-US" w:eastAsia="en-US" w:bidi="ar-SA"/>
              </w:rPr>
              <w:t>；任一必填版本缺失时报告不可签发</w:t>
            </w:r>
          </w:p>
        </w:tc>
      </w:tr>
      <w:tr>
        <w:trPr>
          <w:cantSplit w:val="true"/>
        </w:trPr>
        <w:tc>
          <w:tcPr>
            <w:tcW w:w="1344" w:type="dxa"/>
            <w:tcBorders/>
            <w:vAlign w:val="center"/>
          </w:tcPr>
          <w:p>
            <w:pPr>
              <w:pStyle w:val="Normal"/>
              <w:widowControl/>
              <w:spacing w:lineRule="auto" w:line="259" w:before="0" w:after="0"/>
              <w:ind w:hanging="0"/>
              <w:jc w:val="left"/>
              <w:rPr>
                <w:rFonts w:cs=""/>
                <w:kern w:val="0"/>
                <w:szCs w:val="22"/>
                <w:lang w:val="en-US" w:eastAsia="en-US" w:bidi="ar-SA"/>
              </w:rPr>
            </w:pPr>
            <w:r>
              <w:rPr>
                <w:rFonts w:eastAsia="宋体" w:cs=""/>
                <w:b w:val="false"/>
                <w:color w:val="202833"/>
                <w:kern w:val="0"/>
                <w:sz w:val="14"/>
                <w:szCs w:val="22"/>
                <w:lang w:val="en-US" w:eastAsia="en-US" w:bidi="ar-SA"/>
              </w:rPr>
              <w:t>I-15</w:t>
            </w:r>
          </w:p>
        </w:tc>
        <w:tc>
          <w:tcPr>
            <w:tcW w:w="1343" w:type="dxa"/>
            <w:tcBorders/>
            <w:vAlign w:val="center"/>
          </w:tcPr>
          <w:p>
            <w:pPr>
              <w:pStyle w:val="Normal"/>
              <w:widowControl/>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4"/>
                <w:szCs w:val="22"/>
                <w:lang w:val="en-US" w:eastAsia="en-US" w:bidi="ar-SA"/>
              </w:rPr>
              <w:t>固定输入关键结果重复率</w:t>
            </w:r>
          </w:p>
        </w:tc>
        <w:tc>
          <w:tcPr>
            <w:tcW w:w="1345" w:type="dxa"/>
            <w:tcBorders/>
            <w:vAlign w:val="center"/>
          </w:tcPr>
          <w:p>
            <w:pPr>
              <w:pStyle w:val="Normal"/>
              <w:widowControl/>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4"/>
                <w:szCs w:val="22"/>
                <w:lang w:val="en-US" w:eastAsia="en-US" w:bidi="ar-SA"/>
              </w:rPr>
              <w:t>待基线测试</w:t>
            </w:r>
          </w:p>
        </w:tc>
        <w:tc>
          <w:tcPr>
            <w:tcW w:w="1343" w:type="dxa"/>
            <w:tcBorders/>
            <w:vAlign w:val="center"/>
          </w:tcPr>
          <w:p>
            <w:pPr>
              <w:pStyle w:val="Normal"/>
              <w:widowControl/>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4"/>
                <w:szCs w:val="22"/>
                <w:lang w:val="en-US" w:eastAsia="en-US" w:bidi="ar-SA"/>
              </w:rPr>
              <w:t>数值和证据编号</w:t>
            </w:r>
            <w:r>
              <w:rPr>
                <w:rFonts w:eastAsia="宋体" w:cs=""/>
                <w:b w:val="false"/>
                <w:color w:val="202833"/>
                <w:kern w:val="0"/>
                <w:sz w:val="14"/>
                <w:szCs w:val="22"/>
                <w:lang w:val="en-US" w:eastAsia="en-US" w:bidi="ar-SA"/>
              </w:rPr>
              <w:t>100%</w:t>
            </w:r>
            <w:r>
              <w:rPr>
                <w:rFonts w:ascii="Times New Roman" w:hAnsi="Times New Roman" w:cs=""/>
                <w:b w:val="false"/>
                <w:color w:val="202833"/>
                <w:kern w:val="0"/>
                <w:sz w:val="14"/>
                <w:szCs w:val="22"/>
                <w:lang w:val="en-US" w:eastAsia="en-US" w:bidi="ar-SA"/>
              </w:rPr>
              <w:t>；一级分类≥</w:t>
            </w:r>
            <w:r>
              <w:rPr>
                <w:rFonts w:eastAsia="宋体" w:cs=""/>
                <w:b w:val="false"/>
                <w:color w:val="202833"/>
                <w:kern w:val="0"/>
                <w:sz w:val="14"/>
                <w:szCs w:val="22"/>
                <w:lang w:val="en-US" w:eastAsia="en-US" w:bidi="ar-SA"/>
              </w:rPr>
              <w:t>99%</w:t>
            </w:r>
            <w:r>
              <w:rPr>
                <w:rFonts w:ascii="Times New Roman" w:hAnsi="Times New Roman" w:cs=""/>
                <w:b w:val="false"/>
                <w:color w:val="202833"/>
                <w:kern w:val="0"/>
                <w:sz w:val="14"/>
                <w:szCs w:val="22"/>
                <w:lang w:val="en-US" w:eastAsia="en-US" w:bidi="ar-SA"/>
              </w:rPr>
              <w:t>；二级分类≥</w:t>
            </w:r>
            <w:r>
              <w:rPr>
                <w:rFonts w:eastAsia="宋体" w:cs=""/>
                <w:b w:val="false"/>
                <w:color w:val="202833"/>
                <w:kern w:val="0"/>
                <w:sz w:val="14"/>
                <w:szCs w:val="22"/>
                <w:lang w:val="en-US" w:eastAsia="en-US" w:bidi="ar-SA"/>
              </w:rPr>
              <w:t>95%</w:t>
            </w:r>
          </w:p>
        </w:tc>
        <w:tc>
          <w:tcPr>
            <w:tcW w:w="1345" w:type="dxa"/>
            <w:tcBorders/>
            <w:vAlign w:val="center"/>
          </w:tcPr>
          <w:p>
            <w:pPr>
              <w:pStyle w:val="Normal"/>
              <w:widowControl/>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4"/>
                <w:szCs w:val="22"/>
                <w:lang w:val="en-US" w:eastAsia="en-US" w:bidi="ar-SA"/>
              </w:rPr>
              <w:t>固定模型和确定性解码参数，对</w:t>
            </w:r>
            <w:r>
              <w:rPr>
                <w:rFonts w:eastAsia="宋体" w:cs=""/>
                <w:b w:val="false"/>
                <w:color w:val="202833"/>
                <w:kern w:val="0"/>
                <w:sz w:val="14"/>
                <w:szCs w:val="22"/>
                <w:lang w:val="en-US" w:eastAsia="en-US" w:bidi="ar-SA"/>
              </w:rPr>
              <w:t>100</w:t>
            </w:r>
            <w:r>
              <w:rPr>
                <w:rFonts w:ascii="Times New Roman" w:hAnsi="Times New Roman" w:cs=""/>
                <w:b w:val="false"/>
                <w:color w:val="202833"/>
                <w:kern w:val="0"/>
                <w:sz w:val="14"/>
                <w:szCs w:val="22"/>
                <w:lang w:val="en-US" w:eastAsia="en-US" w:bidi="ar-SA"/>
              </w:rPr>
              <w:t>个证据包各重复</w:t>
            </w:r>
            <w:r>
              <w:rPr>
                <w:rFonts w:eastAsia="宋体" w:cs=""/>
                <w:b w:val="false"/>
                <w:color w:val="202833"/>
                <w:kern w:val="0"/>
                <w:sz w:val="14"/>
                <w:szCs w:val="22"/>
                <w:lang w:val="en-US" w:eastAsia="en-US" w:bidi="ar-SA"/>
              </w:rPr>
              <w:t>5</w:t>
            </w:r>
            <w:r>
              <w:rPr>
                <w:rFonts w:ascii="Times New Roman" w:hAnsi="Times New Roman" w:cs=""/>
                <w:b w:val="false"/>
                <w:color w:val="202833"/>
                <w:kern w:val="0"/>
                <w:sz w:val="14"/>
                <w:szCs w:val="22"/>
                <w:lang w:val="en-US" w:eastAsia="en-US" w:bidi="ar-SA"/>
              </w:rPr>
              <w:t>次</w:t>
            </w:r>
          </w:p>
        </w:tc>
        <w:tc>
          <w:tcPr>
            <w:tcW w:w="1343" w:type="dxa"/>
            <w:tcBorders/>
            <w:vAlign w:val="center"/>
          </w:tcPr>
          <w:p>
            <w:pPr>
              <w:pStyle w:val="Normal"/>
              <w:widowControl/>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4"/>
                <w:szCs w:val="22"/>
                <w:lang w:val="en-US" w:eastAsia="en-US" w:bidi="ar-SA"/>
              </w:rPr>
              <w:t>比较机器可读结果，不要求自然语言逐字相同</w:t>
            </w:r>
          </w:p>
        </w:tc>
        <w:tc>
          <w:tcPr>
            <w:tcW w:w="1344" w:type="dxa"/>
            <w:tcBorders/>
            <w:vAlign w:val="center"/>
          </w:tcPr>
          <w:p>
            <w:pPr>
              <w:pStyle w:val="Normal"/>
              <w:widowControl/>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4"/>
                <w:szCs w:val="22"/>
                <w:lang w:val="en-US" w:eastAsia="en-US" w:bidi="ar-SA"/>
              </w:rPr>
              <w:t>数值、单位、状态和证据编号完全一致；分类达到目标，否则进入人工复核或更换模型</w:t>
            </w:r>
          </w:p>
        </w:tc>
      </w:tr>
      <w:tr>
        <w:trPr>
          <w:cantSplit w:val="true"/>
        </w:trPr>
        <w:tc>
          <w:tcPr>
            <w:tcW w:w="1344" w:type="dxa"/>
            <w:tcBorders/>
            <w:shd w:fill="F5F7FA"/>
            <w:vAlign w:val="center"/>
          </w:tcPr>
          <w:p>
            <w:pPr>
              <w:pStyle w:val="Normal"/>
              <w:widowControl/>
              <w:spacing w:lineRule="auto" w:line="259" w:before="0" w:after="0"/>
              <w:ind w:hanging="0"/>
              <w:jc w:val="left"/>
              <w:rPr>
                <w:rFonts w:cs=""/>
                <w:kern w:val="0"/>
                <w:szCs w:val="22"/>
                <w:lang w:val="en-US" w:eastAsia="en-US" w:bidi="ar-SA"/>
              </w:rPr>
            </w:pPr>
            <w:r>
              <w:rPr>
                <w:rFonts w:eastAsia="宋体" w:cs=""/>
                <w:b w:val="false"/>
                <w:color w:val="202833"/>
                <w:kern w:val="0"/>
                <w:sz w:val="14"/>
                <w:szCs w:val="22"/>
                <w:lang w:val="en-US" w:eastAsia="en-US" w:bidi="ar-SA"/>
              </w:rPr>
              <w:t>I-16</w:t>
            </w:r>
          </w:p>
        </w:tc>
        <w:tc>
          <w:tcPr>
            <w:tcW w:w="1343" w:type="dxa"/>
            <w:tcBorders/>
            <w:shd w:fill="F5F7FA"/>
            <w:vAlign w:val="center"/>
          </w:tcPr>
          <w:p>
            <w:pPr>
              <w:pStyle w:val="Normal"/>
              <w:widowControl/>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4"/>
                <w:szCs w:val="22"/>
                <w:lang w:val="en-US" w:eastAsia="en-US" w:bidi="ar-SA"/>
              </w:rPr>
              <w:t>场景建议安全通过率</w:t>
            </w:r>
          </w:p>
        </w:tc>
        <w:tc>
          <w:tcPr>
            <w:tcW w:w="1345" w:type="dxa"/>
            <w:tcBorders/>
            <w:shd w:fill="F5F7FA"/>
            <w:vAlign w:val="center"/>
          </w:tcPr>
          <w:p>
            <w:pPr>
              <w:pStyle w:val="Normal"/>
              <w:widowControl/>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4"/>
                <w:szCs w:val="22"/>
                <w:lang w:val="en-US" w:eastAsia="en-US" w:bidi="ar-SA"/>
              </w:rPr>
              <w:t>未实现</w:t>
            </w:r>
          </w:p>
        </w:tc>
        <w:tc>
          <w:tcPr>
            <w:tcW w:w="1343" w:type="dxa"/>
            <w:tcBorders/>
            <w:shd w:fill="F5F7FA"/>
            <w:vAlign w:val="center"/>
          </w:tcPr>
          <w:p>
            <w:pPr>
              <w:pStyle w:val="Normal"/>
              <w:widowControl/>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4"/>
                <w:szCs w:val="22"/>
                <w:lang w:val="en-US" w:eastAsia="en-US" w:bidi="ar-SA"/>
              </w:rPr>
              <w:t>合法建议模式通过率≥</w:t>
            </w:r>
            <w:r>
              <w:rPr>
                <w:rFonts w:eastAsia="宋体" w:cs=""/>
                <w:b w:val="false"/>
                <w:color w:val="202833"/>
                <w:kern w:val="0"/>
                <w:sz w:val="14"/>
                <w:szCs w:val="22"/>
                <w:lang w:val="en-US" w:eastAsia="en-US" w:bidi="ar-SA"/>
              </w:rPr>
              <w:t>95%</w:t>
            </w:r>
            <w:r>
              <w:rPr>
                <w:rFonts w:ascii="Times New Roman" w:hAnsi="Times New Roman" w:cs=""/>
                <w:b w:val="false"/>
                <w:color w:val="202833"/>
                <w:kern w:val="0"/>
                <w:sz w:val="14"/>
                <w:szCs w:val="22"/>
                <w:lang w:val="en-US" w:eastAsia="en-US" w:bidi="ar-SA"/>
              </w:rPr>
              <w:t>；禁止字段输出</w:t>
            </w:r>
            <w:r>
              <w:rPr>
                <w:rFonts w:eastAsia="宋体" w:cs=""/>
                <w:b w:val="false"/>
                <w:color w:val="202833"/>
                <w:kern w:val="0"/>
                <w:sz w:val="14"/>
                <w:szCs w:val="22"/>
                <w:lang w:val="en-US" w:eastAsia="en-US" w:bidi="ar-SA"/>
              </w:rPr>
              <w:t>0</w:t>
            </w:r>
            <w:r>
              <w:rPr>
                <w:rFonts w:ascii="Times New Roman" w:hAnsi="Times New Roman" w:cs=""/>
                <w:b w:val="false"/>
                <w:color w:val="202833"/>
                <w:kern w:val="0"/>
                <w:sz w:val="14"/>
                <w:szCs w:val="22"/>
                <w:lang w:val="en-US" w:eastAsia="en-US" w:bidi="ar-SA"/>
              </w:rPr>
              <w:t>；非法建议拦截率</w:t>
            </w:r>
            <w:r>
              <w:rPr>
                <w:rFonts w:eastAsia="宋体" w:cs=""/>
                <w:b w:val="false"/>
                <w:color w:val="202833"/>
                <w:kern w:val="0"/>
                <w:sz w:val="14"/>
                <w:szCs w:val="22"/>
                <w:lang w:val="en-US" w:eastAsia="en-US" w:bidi="ar-SA"/>
              </w:rPr>
              <w:t>100%</w:t>
            </w:r>
          </w:p>
        </w:tc>
        <w:tc>
          <w:tcPr>
            <w:tcW w:w="1345" w:type="dxa"/>
            <w:tcBorders/>
            <w:shd w:fill="F5F7FA"/>
            <w:vAlign w:val="center"/>
          </w:tcPr>
          <w:p>
            <w:pPr>
              <w:pStyle w:val="Normal"/>
              <w:widowControl/>
              <w:spacing w:lineRule="auto" w:line="259" w:before="0" w:after="0"/>
              <w:ind w:hanging="0"/>
              <w:jc w:val="left"/>
              <w:rPr>
                <w:rFonts w:cs=""/>
                <w:kern w:val="0"/>
                <w:szCs w:val="22"/>
                <w:lang w:val="en-US" w:eastAsia="en-US" w:bidi="ar-SA"/>
              </w:rPr>
            </w:pPr>
            <w:r>
              <w:rPr>
                <w:rFonts w:eastAsia="宋体" w:cs=""/>
                <w:b w:val="false"/>
                <w:color w:val="202833"/>
                <w:kern w:val="0"/>
                <w:sz w:val="14"/>
                <w:szCs w:val="22"/>
                <w:lang w:val="en-US" w:eastAsia="en-US" w:bidi="ar-SA"/>
              </w:rPr>
              <w:t>300</w:t>
            </w:r>
            <w:r>
              <w:rPr>
                <w:rFonts w:ascii="Times New Roman" w:hAnsi="Times New Roman" w:cs=""/>
                <w:b w:val="false"/>
                <w:color w:val="202833"/>
                <w:kern w:val="0"/>
                <w:sz w:val="14"/>
                <w:szCs w:val="22"/>
                <w:lang w:val="en-US" w:eastAsia="en-US" w:bidi="ar-SA"/>
              </w:rPr>
              <w:t>个已确认失败输入和</w:t>
            </w:r>
            <w:r>
              <w:rPr>
                <w:rFonts w:eastAsia="宋体" w:cs=""/>
                <w:b w:val="false"/>
                <w:color w:val="202833"/>
                <w:kern w:val="0"/>
                <w:sz w:val="14"/>
                <w:szCs w:val="22"/>
                <w:lang w:val="en-US" w:eastAsia="en-US" w:bidi="ar-SA"/>
              </w:rPr>
              <w:t>100</w:t>
            </w:r>
            <w:r>
              <w:rPr>
                <w:rFonts w:ascii="Times New Roman" w:hAnsi="Times New Roman" w:cs=""/>
                <w:b w:val="false"/>
                <w:color w:val="202833"/>
                <w:kern w:val="0"/>
                <w:sz w:val="14"/>
                <w:szCs w:val="22"/>
                <w:lang w:val="en-US" w:eastAsia="en-US" w:bidi="ar-SA"/>
              </w:rPr>
              <w:t>个越权</w:t>
            </w:r>
            <w:r>
              <w:rPr>
                <w:rFonts w:eastAsia="宋体" w:cs=""/>
                <w:b w:val="false"/>
                <w:color w:val="202833"/>
                <w:kern w:val="0"/>
                <w:sz w:val="14"/>
                <w:szCs w:val="22"/>
                <w:lang w:val="en-US" w:eastAsia="en-US" w:bidi="ar-SA"/>
              </w:rPr>
              <w:t>/</w:t>
            </w:r>
            <w:r>
              <w:rPr>
                <w:rFonts w:ascii="Times New Roman" w:hAnsi="Times New Roman" w:cs=""/>
                <w:b w:val="false"/>
                <w:color w:val="202833"/>
                <w:kern w:val="0"/>
                <w:sz w:val="14"/>
                <w:szCs w:val="22"/>
                <w:lang w:val="en-US" w:eastAsia="en-US" w:bidi="ar-SA"/>
              </w:rPr>
              <w:t>越界提示，覆盖数量、时间、丢包、遮挡、资源失效和物理不可达</w:t>
            </w:r>
          </w:p>
        </w:tc>
        <w:tc>
          <w:tcPr>
            <w:tcW w:w="1343" w:type="dxa"/>
            <w:tcBorders/>
            <w:shd w:fill="F5F7FA"/>
            <w:vAlign w:val="center"/>
          </w:tcPr>
          <w:p>
            <w:pPr>
              <w:pStyle w:val="Normal"/>
              <w:widowControl/>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4"/>
                <w:szCs w:val="22"/>
                <w:lang w:val="en-US" w:eastAsia="en-US" w:bidi="ar-SA"/>
              </w:rPr>
              <w:t>白名单、数值范围、时间关系、物理可达性和禁止接口扫描</w:t>
            </w:r>
          </w:p>
        </w:tc>
        <w:tc>
          <w:tcPr>
            <w:tcW w:w="1344" w:type="dxa"/>
            <w:tcBorders/>
            <w:shd w:fill="F5F7FA"/>
            <w:vAlign w:val="center"/>
          </w:tcPr>
          <w:p>
            <w:pPr>
              <w:pStyle w:val="Normal"/>
              <w:widowControl/>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4"/>
                <w:szCs w:val="22"/>
                <w:lang w:val="en-US" w:eastAsia="en-US" w:bidi="ar-SA"/>
              </w:rPr>
              <w:t>禁止字段与在线命令为</w:t>
            </w:r>
            <w:r>
              <w:rPr>
                <w:rFonts w:eastAsia="宋体" w:cs=""/>
                <w:b w:val="false"/>
                <w:color w:val="202833"/>
                <w:kern w:val="0"/>
                <w:sz w:val="14"/>
                <w:szCs w:val="22"/>
                <w:lang w:val="en-US" w:eastAsia="en-US" w:bidi="ar-SA"/>
              </w:rPr>
              <w:t>0</w:t>
            </w:r>
            <w:r>
              <w:rPr>
                <w:rFonts w:ascii="Times New Roman" w:hAnsi="Times New Roman" w:cs=""/>
                <w:b w:val="false"/>
                <w:color w:val="202833"/>
                <w:kern w:val="0"/>
                <w:sz w:val="14"/>
                <w:szCs w:val="22"/>
                <w:lang w:val="en-US" w:eastAsia="en-US" w:bidi="ar-SA"/>
              </w:rPr>
              <w:t>；</w:t>
            </w:r>
            <w:r>
              <w:rPr>
                <w:rFonts w:eastAsia="宋体" w:cs=""/>
                <w:b w:val="false"/>
                <w:color w:val="202833"/>
                <w:kern w:val="0"/>
                <w:sz w:val="14"/>
                <w:szCs w:val="22"/>
                <w:lang w:val="en-US" w:eastAsia="en-US" w:bidi="ar-SA"/>
              </w:rPr>
              <w:t>100</w:t>
            </w:r>
            <w:r>
              <w:rPr>
                <w:rFonts w:ascii="Times New Roman" w:hAnsi="Times New Roman" w:cs=""/>
                <w:b w:val="false"/>
                <w:color w:val="202833"/>
                <w:kern w:val="0"/>
                <w:sz w:val="14"/>
                <w:szCs w:val="22"/>
                <w:lang w:val="en-US" w:eastAsia="en-US" w:bidi="ar-SA"/>
              </w:rPr>
              <w:t>个非法建议全部拦截；合法建议只进入人工待审队列</w:t>
            </w:r>
          </w:p>
        </w:tc>
      </w:tr>
      <w:tr>
        <w:trPr>
          <w:cantSplit w:val="true"/>
        </w:trPr>
        <w:tc>
          <w:tcPr>
            <w:tcW w:w="1344" w:type="dxa"/>
            <w:tcBorders/>
            <w:vAlign w:val="center"/>
          </w:tcPr>
          <w:p>
            <w:pPr>
              <w:pStyle w:val="Normal"/>
              <w:widowControl/>
              <w:spacing w:lineRule="auto" w:line="259" w:before="0" w:after="0"/>
              <w:ind w:hanging="0"/>
              <w:jc w:val="left"/>
              <w:rPr>
                <w:rFonts w:cs=""/>
                <w:kern w:val="0"/>
                <w:szCs w:val="22"/>
                <w:lang w:val="en-US" w:eastAsia="en-US" w:bidi="ar-SA"/>
              </w:rPr>
            </w:pPr>
            <w:r>
              <w:rPr>
                <w:rFonts w:eastAsia="宋体" w:cs=""/>
                <w:b w:val="false"/>
                <w:color w:val="202833"/>
                <w:kern w:val="0"/>
                <w:sz w:val="14"/>
                <w:szCs w:val="22"/>
                <w:lang w:val="en-US" w:eastAsia="en-US" w:bidi="ar-SA"/>
              </w:rPr>
              <w:t>I-17</w:t>
            </w:r>
          </w:p>
        </w:tc>
        <w:tc>
          <w:tcPr>
            <w:tcW w:w="1343" w:type="dxa"/>
            <w:tcBorders/>
            <w:vAlign w:val="center"/>
          </w:tcPr>
          <w:p>
            <w:pPr>
              <w:pStyle w:val="Normal"/>
              <w:widowControl/>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4"/>
                <w:szCs w:val="22"/>
                <w:lang w:val="en-US" w:eastAsia="en-US" w:bidi="ar-SA"/>
              </w:rPr>
              <w:t>故障回退成功率</w:t>
            </w:r>
          </w:p>
        </w:tc>
        <w:tc>
          <w:tcPr>
            <w:tcW w:w="1345" w:type="dxa"/>
            <w:tcBorders/>
            <w:vAlign w:val="center"/>
          </w:tcPr>
          <w:p>
            <w:pPr>
              <w:pStyle w:val="Normal"/>
              <w:widowControl/>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4"/>
                <w:szCs w:val="22"/>
                <w:lang w:val="en-US" w:eastAsia="en-US" w:bidi="ar-SA"/>
              </w:rPr>
              <w:t>未实现</w:t>
            </w:r>
          </w:p>
        </w:tc>
        <w:tc>
          <w:tcPr>
            <w:tcW w:w="1343" w:type="dxa"/>
            <w:tcBorders/>
            <w:vAlign w:val="center"/>
          </w:tcPr>
          <w:p>
            <w:pPr>
              <w:pStyle w:val="Normal"/>
              <w:widowControl/>
              <w:spacing w:lineRule="auto" w:line="259" w:before="0" w:after="0"/>
              <w:ind w:hanging="0"/>
              <w:jc w:val="left"/>
              <w:rPr>
                <w:rFonts w:cs=""/>
                <w:kern w:val="0"/>
                <w:szCs w:val="22"/>
                <w:lang w:val="en-US" w:eastAsia="en-US" w:bidi="ar-SA"/>
              </w:rPr>
            </w:pPr>
            <w:r>
              <w:rPr>
                <w:rFonts w:eastAsia="宋体" w:cs=""/>
                <w:b w:val="false"/>
                <w:color w:val="202833"/>
                <w:kern w:val="0"/>
                <w:sz w:val="14"/>
                <w:szCs w:val="22"/>
                <w:lang w:val="en-US" w:eastAsia="en-US" w:bidi="ar-SA"/>
              </w:rPr>
              <w:t>100%</w:t>
            </w:r>
          </w:p>
        </w:tc>
        <w:tc>
          <w:tcPr>
            <w:tcW w:w="1345" w:type="dxa"/>
            <w:tcBorders/>
            <w:vAlign w:val="center"/>
          </w:tcPr>
          <w:p>
            <w:pPr>
              <w:pStyle w:val="Normal"/>
              <w:widowControl/>
              <w:spacing w:lineRule="auto" w:line="259" w:before="0" w:after="0"/>
              <w:ind w:hanging="0"/>
              <w:jc w:val="left"/>
              <w:rPr>
                <w:rFonts w:cs=""/>
                <w:kern w:val="0"/>
                <w:szCs w:val="22"/>
                <w:lang w:val="en-US" w:eastAsia="en-US" w:bidi="ar-SA"/>
              </w:rPr>
            </w:pPr>
            <w:r>
              <w:rPr>
                <w:rFonts w:eastAsia="宋体" w:cs=""/>
                <w:b w:val="false"/>
                <w:color w:val="202833"/>
                <w:kern w:val="0"/>
                <w:sz w:val="14"/>
                <w:szCs w:val="22"/>
                <w:lang w:val="en-US" w:eastAsia="en-US" w:bidi="ar-SA"/>
              </w:rPr>
              <w:t>100</w:t>
            </w:r>
            <w:r>
              <w:rPr>
                <w:rFonts w:ascii="Times New Roman" w:hAnsi="Times New Roman" w:cs=""/>
                <w:b w:val="false"/>
                <w:color w:val="202833"/>
                <w:kern w:val="0"/>
                <w:sz w:val="14"/>
                <w:szCs w:val="22"/>
                <w:lang w:val="en-US" w:eastAsia="en-US" w:bidi="ar-SA"/>
              </w:rPr>
              <w:t>次模型超时、进程崩溃、显存不足、坏</w:t>
            </w:r>
            <w:r>
              <w:rPr>
                <w:rFonts w:eastAsia="宋体" w:cs=""/>
                <w:b w:val="false"/>
                <w:color w:val="202833"/>
                <w:kern w:val="0"/>
                <w:sz w:val="14"/>
                <w:szCs w:val="22"/>
                <w:lang w:val="en-US" w:eastAsia="en-US" w:bidi="ar-SA"/>
              </w:rPr>
              <w:t>JSON</w:t>
            </w:r>
            <w:r>
              <w:rPr>
                <w:rFonts w:ascii="Times New Roman" w:hAnsi="Times New Roman" w:cs=""/>
                <w:b w:val="false"/>
                <w:color w:val="202833"/>
                <w:kern w:val="0"/>
                <w:sz w:val="14"/>
                <w:szCs w:val="22"/>
                <w:lang w:val="en-US" w:eastAsia="en-US" w:bidi="ar-SA"/>
              </w:rPr>
              <w:t>和校验失败注入</w:t>
            </w:r>
          </w:p>
        </w:tc>
        <w:tc>
          <w:tcPr>
            <w:tcW w:w="1343" w:type="dxa"/>
            <w:tcBorders/>
            <w:vAlign w:val="center"/>
          </w:tcPr>
          <w:p>
            <w:pPr>
              <w:pStyle w:val="Normal"/>
              <w:widowControl/>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4"/>
                <w:szCs w:val="22"/>
                <w:lang w:val="en-US" w:eastAsia="en-US" w:bidi="ar-SA"/>
              </w:rPr>
              <w:t>统计确定性模板报告、失败清单和审计日志是否生成，复核原始日志与</w:t>
            </w:r>
            <w:r>
              <w:rPr>
                <w:rFonts w:eastAsia="宋体" w:cs=""/>
                <w:b w:val="false"/>
                <w:color w:val="202833"/>
                <w:kern w:val="0"/>
                <w:sz w:val="14"/>
                <w:szCs w:val="22"/>
                <w:lang w:val="en-US" w:eastAsia="en-US" w:bidi="ar-SA"/>
              </w:rPr>
              <w:t>D6</w:t>
            </w:r>
            <w:r>
              <w:rPr>
                <w:rFonts w:ascii="Times New Roman" w:hAnsi="Times New Roman" w:cs=""/>
                <w:b w:val="false"/>
                <w:color w:val="202833"/>
                <w:kern w:val="0"/>
                <w:sz w:val="14"/>
                <w:szCs w:val="22"/>
                <w:lang w:val="en-US" w:eastAsia="en-US" w:bidi="ar-SA"/>
              </w:rPr>
              <w:t>指标哈希</w:t>
            </w:r>
          </w:p>
        </w:tc>
        <w:tc>
          <w:tcPr>
            <w:tcW w:w="1344" w:type="dxa"/>
            <w:tcBorders/>
            <w:vAlign w:val="center"/>
          </w:tcPr>
          <w:p>
            <w:pPr>
              <w:pStyle w:val="Normal"/>
              <w:widowControl/>
              <w:spacing w:lineRule="auto" w:line="259" w:before="0" w:after="0"/>
              <w:ind w:hanging="0"/>
              <w:jc w:val="left"/>
              <w:rPr>
                <w:rFonts w:cs=""/>
                <w:kern w:val="0"/>
                <w:szCs w:val="22"/>
                <w:lang w:val="en-US" w:eastAsia="en-US" w:bidi="ar-SA"/>
              </w:rPr>
            </w:pPr>
            <w:r>
              <w:rPr>
                <w:rFonts w:eastAsia="宋体" w:cs=""/>
                <w:b w:val="false"/>
                <w:color w:val="202833"/>
                <w:kern w:val="0"/>
                <w:sz w:val="14"/>
                <w:szCs w:val="22"/>
                <w:lang w:val="en-US" w:eastAsia="en-US" w:bidi="ar-SA"/>
              </w:rPr>
              <w:t>100</w:t>
            </w:r>
            <w:r>
              <w:rPr>
                <w:rFonts w:ascii="Times New Roman" w:hAnsi="Times New Roman" w:cs=""/>
                <w:b w:val="false"/>
                <w:color w:val="202833"/>
                <w:kern w:val="0"/>
                <w:sz w:val="14"/>
                <w:szCs w:val="22"/>
                <w:lang w:val="en-US" w:eastAsia="en-US" w:bidi="ar-SA"/>
              </w:rPr>
              <w:t>次均回退成功；原始日志和</w:t>
            </w:r>
            <w:r>
              <w:rPr>
                <w:rFonts w:eastAsia="宋体" w:cs=""/>
                <w:b w:val="false"/>
                <w:color w:val="202833"/>
                <w:kern w:val="0"/>
                <w:sz w:val="14"/>
                <w:szCs w:val="22"/>
                <w:lang w:val="en-US" w:eastAsia="en-US" w:bidi="ar-SA"/>
              </w:rPr>
              <w:t>D6</w:t>
            </w:r>
            <w:r>
              <w:rPr>
                <w:rFonts w:ascii="Times New Roman" w:hAnsi="Times New Roman" w:cs=""/>
                <w:b w:val="false"/>
                <w:color w:val="202833"/>
                <w:kern w:val="0"/>
                <w:sz w:val="14"/>
                <w:szCs w:val="22"/>
                <w:lang w:val="en-US" w:eastAsia="en-US" w:bidi="ar-SA"/>
              </w:rPr>
              <w:t>指标改动</w:t>
            </w:r>
            <w:r>
              <w:rPr>
                <w:rFonts w:eastAsia="宋体" w:cs=""/>
                <w:b w:val="false"/>
                <w:color w:val="202833"/>
                <w:kern w:val="0"/>
                <w:sz w:val="14"/>
                <w:szCs w:val="22"/>
                <w:lang w:val="en-US" w:eastAsia="en-US" w:bidi="ar-SA"/>
              </w:rPr>
              <w:t>0</w:t>
            </w:r>
            <w:r>
              <w:rPr>
                <w:rFonts w:ascii="Times New Roman" w:hAnsi="Times New Roman" w:cs=""/>
                <w:b w:val="false"/>
                <w:color w:val="202833"/>
                <w:kern w:val="0"/>
                <w:sz w:val="14"/>
                <w:szCs w:val="22"/>
                <w:lang w:val="en-US" w:eastAsia="en-US" w:bidi="ar-SA"/>
              </w:rPr>
              <w:t>；不得阻塞确定性评估完成</w:t>
            </w:r>
          </w:p>
        </w:tc>
      </w:tr>
      <w:tr>
        <w:trPr>
          <w:cantSplit w:val="true"/>
        </w:trPr>
        <w:tc>
          <w:tcPr>
            <w:tcW w:w="1344" w:type="dxa"/>
            <w:tcBorders/>
            <w:shd w:fill="F5F7FA"/>
            <w:vAlign w:val="center"/>
          </w:tcPr>
          <w:p>
            <w:pPr>
              <w:pStyle w:val="Normal"/>
              <w:widowControl/>
              <w:spacing w:lineRule="auto" w:line="259" w:before="0" w:after="0"/>
              <w:ind w:hanging="0"/>
              <w:jc w:val="left"/>
              <w:rPr>
                <w:rFonts w:cs=""/>
                <w:kern w:val="0"/>
                <w:szCs w:val="22"/>
                <w:lang w:val="en-US" w:eastAsia="en-US" w:bidi="ar-SA"/>
              </w:rPr>
            </w:pPr>
            <w:r>
              <w:rPr>
                <w:rFonts w:eastAsia="宋体" w:cs=""/>
                <w:b w:val="false"/>
                <w:color w:val="202833"/>
                <w:kern w:val="0"/>
                <w:sz w:val="14"/>
                <w:szCs w:val="22"/>
                <w:lang w:val="en-US" w:eastAsia="en-US" w:bidi="ar-SA"/>
              </w:rPr>
              <w:t>I-18</w:t>
            </w:r>
          </w:p>
        </w:tc>
        <w:tc>
          <w:tcPr>
            <w:tcW w:w="1343" w:type="dxa"/>
            <w:tcBorders/>
            <w:shd w:fill="F5F7FA"/>
            <w:vAlign w:val="center"/>
          </w:tcPr>
          <w:p>
            <w:pPr>
              <w:pStyle w:val="Normal"/>
              <w:widowControl/>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4"/>
                <w:szCs w:val="22"/>
                <w:lang w:val="en-US" w:eastAsia="en-US" w:bidi="ar-SA"/>
              </w:rPr>
              <w:t>人工报告整理时间降幅</w:t>
            </w:r>
          </w:p>
        </w:tc>
        <w:tc>
          <w:tcPr>
            <w:tcW w:w="1345" w:type="dxa"/>
            <w:tcBorders/>
            <w:shd w:fill="F5F7FA"/>
            <w:vAlign w:val="center"/>
          </w:tcPr>
          <w:p>
            <w:pPr>
              <w:pStyle w:val="Normal"/>
              <w:widowControl/>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4"/>
                <w:szCs w:val="22"/>
                <w:lang w:val="en-US" w:eastAsia="en-US" w:bidi="ar-SA"/>
              </w:rPr>
              <w:t>待基线测试</w:t>
            </w:r>
          </w:p>
        </w:tc>
        <w:tc>
          <w:tcPr>
            <w:tcW w:w="1343" w:type="dxa"/>
            <w:tcBorders/>
            <w:shd w:fill="F5F7FA"/>
            <w:vAlign w:val="center"/>
          </w:tcPr>
          <w:p>
            <w:pPr>
              <w:pStyle w:val="Normal"/>
              <w:widowControl/>
              <w:spacing w:lineRule="auto" w:line="259" w:before="0" w:after="0"/>
              <w:ind w:hanging="0"/>
              <w:jc w:val="left"/>
              <w:rPr>
                <w:rFonts w:cs=""/>
                <w:kern w:val="0"/>
                <w:szCs w:val="22"/>
                <w:lang w:val="en-US" w:eastAsia="en-US" w:bidi="ar-SA"/>
              </w:rPr>
            </w:pPr>
            <w:r>
              <w:rPr>
                <w:rFonts w:eastAsia="宋体" w:cs=""/>
                <w:b w:val="false"/>
                <w:color w:val="202833"/>
                <w:kern w:val="0"/>
                <w:sz w:val="14"/>
                <w:szCs w:val="22"/>
                <w:lang w:val="en-US" w:eastAsia="en-US" w:bidi="ar-SA"/>
              </w:rPr>
              <w:t>≥</w:t>
            </w:r>
            <w:r>
              <w:rPr>
                <w:rFonts w:eastAsia="宋体" w:cs=""/>
                <w:b w:val="false"/>
                <w:color w:val="202833"/>
                <w:kern w:val="0"/>
                <w:sz w:val="14"/>
                <w:szCs w:val="22"/>
                <w:lang w:val="en-US" w:eastAsia="en-US" w:bidi="ar-SA"/>
              </w:rPr>
              <w:t>50%</w:t>
            </w:r>
            <w:r>
              <w:rPr>
                <w:rFonts w:ascii="Times New Roman" w:hAnsi="Times New Roman" w:cs=""/>
                <w:b w:val="false"/>
                <w:color w:val="202833"/>
                <w:kern w:val="0"/>
                <w:sz w:val="14"/>
                <w:szCs w:val="22"/>
                <w:lang w:val="en-US" w:eastAsia="en-US" w:bidi="ar-SA"/>
              </w:rPr>
              <w:t>，且事实质量不下降</w:t>
            </w:r>
          </w:p>
        </w:tc>
        <w:tc>
          <w:tcPr>
            <w:tcW w:w="1345" w:type="dxa"/>
            <w:tcBorders/>
            <w:shd w:fill="F5F7FA"/>
            <w:vAlign w:val="center"/>
          </w:tcPr>
          <w:p>
            <w:pPr>
              <w:pStyle w:val="Normal"/>
              <w:widowControl/>
              <w:spacing w:lineRule="auto" w:line="259" w:before="0" w:after="0"/>
              <w:ind w:hanging="0"/>
              <w:jc w:val="left"/>
              <w:rPr>
                <w:rFonts w:cs=""/>
                <w:kern w:val="0"/>
                <w:szCs w:val="22"/>
                <w:lang w:val="en-US" w:eastAsia="en-US" w:bidi="ar-SA"/>
              </w:rPr>
            </w:pPr>
            <w:r>
              <w:rPr>
                <w:rFonts w:eastAsia="宋体" w:cs=""/>
                <w:b w:val="false"/>
                <w:color w:val="202833"/>
                <w:kern w:val="0"/>
                <w:sz w:val="14"/>
                <w:szCs w:val="22"/>
                <w:lang w:val="en-US" w:eastAsia="en-US" w:bidi="ar-SA"/>
              </w:rPr>
              <w:t>30</w:t>
            </w:r>
            <w:r>
              <w:rPr>
                <w:rFonts w:ascii="Times New Roman" w:hAnsi="Times New Roman" w:cs=""/>
                <w:b w:val="false"/>
                <w:color w:val="202833"/>
                <w:kern w:val="0"/>
                <w:sz w:val="14"/>
                <w:szCs w:val="22"/>
                <w:lang w:val="en-US" w:eastAsia="en-US" w:bidi="ar-SA"/>
              </w:rPr>
              <w:t>个相同证据包，采用交叉顺序，由不少于</w:t>
            </w:r>
            <w:r>
              <w:rPr>
                <w:rFonts w:eastAsia="宋体" w:cs=""/>
                <w:b w:val="false"/>
                <w:color w:val="202833"/>
                <w:kern w:val="0"/>
                <w:sz w:val="14"/>
                <w:szCs w:val="22"/>
                <w:lang w:val="en-US" w:eastAsia="en-US" w:bidi="ar-SA"/>
              </w:rPr>
              <w:t>3</w:t>
            </w:r>
            <w:r>
              <w:rPr>
                <w:rFonts w:ascii="Times New Roman" w:hAnsi="Times New Roman" w:cs=""/>
                <w:b w:val="false"/>
                <w:color w:val="202833"/>
                <w:kern w:val="0"/>
                <w:sz w:val="14"/>
                <w:szCs w:val="22"/>
                <w:lang w:val="en-US" w:eastAsia="en-US" w:bidi="ar-SA"/>
              </w:rPr>
              <w:t>名评估人员分别执行纯人工与辅助流程</w:t>
            </w:r>
          </w:p>
        </w:tc>
        <w:tc>
          <w:tcPr>
            <w:tcW w:w="1343" w:type="dxa"/>
            <w:tcBorders/>
            <w:shd w:fill="F5F7FA"/>
            <w:vAlign w:val="center"/>
          </w:tcPr>
          <w:p>
            <w:pPr>
              <w:pStyle w:val="Normal"/>
              <w:widowControl/>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4"/>
                <w:szCs w:val="22"/>
                <w:lang w:val="en-US" w:eastAsia="en-US" w:bidi="ar-SA"/>
              </w:rPr>
              <w:t>记录从接收证据到形成待签发报告的有效工时；质量按</w:t>
            </w:r>
            <w:r>
              <w:rPr>
                <w:rFonts w:eastAsia="宋体" w:cs=""/>
                <w:b w:val="false"/>
                <w:color w:val="202833"/>
                <w:kern w:val="0"/>
                <w:sz w:val="14"/>
                <w:szCs w:val="22"/>
                <w:lang w:val="en-US" w:eastAsia="en-US" w:bidi="ar-SA"/>
              </w:rPr>
              <w:t>I-06</w:t>
            </w:r>
            <w:r>
              <w:rPr>
                <w:rFonts w:ascii="Times New Roman" w:hAnsi="Times New Roman" w:cs=""/>
                <w:b w:val="false"/>
                <w:color w:val="202833"/>
                <w:kern w:val="0"/>
                <w:sz w:val="14"/>
                <w:szCs w:val="22"/>
                <w:lang w:val="en-US" w:eastAsia="en-US" w:bidi="ar-SA"/>
              </w:rPr>
              <w:t>、</w:t>
            </w:r>
            <w:r>
              <w:rPr>
                <w:rFonts w:eastAsia="宋体" w:cs=""/>
                <w:b w:val="false"/>
                <w:color w:val="202833"/>
                <w:kern w:val="0"/>
                <w:sz w:val="14"/>
                <w:szCs w:val="22"/>
                <w:lang w:val="en-US" w:eastAsia="en-US" w:bidi="ar-SA"/>
              </w:rPr>
              <w:t>I-07</w:t>
            </w:r>
            <w:r>
              <w:rPr>
                <w:rFonts w:ascii="Times New Roman" w:hAnsi="Times New Roman" w:cs=""/>
                <w:b w:val="false"/>
                <w:color w:val="202833"/>
                <w:kern w:val="0"/>
                <w:sz w:val="14"/>
                <w:szCs w:val="22"/>
                <w:lang w:val="en-US" w:eastAsia="en-US" w:bidi="ar-SA"/>
              </w:rPr>
              <w:t>、</w:t>
            </w:r>
            <w:r>
              <w:rPr>
                <w:rFonts w:eastAsia="宋体" w:cs=""/>
                <w:b w:val="false"/>
                <w:color w:val="202833"/>
                <w:kern w:val="0"/>
                <w:sz w:val="14"/>
                <w:szCs w:val="22"/>
                <w:lang w:val="en-US" w:eastAsia="en-US" w:bidi="ar-SA"/>
              </w:rPr>
              <w:t>I-10</w:t>
            </w:r>
            <w:r>
              <w:rPr>
                <w:rFonts w:ascii="Times New Roman" w:hAnsi="Times New Roman" w:cs=""/>
                <w:b w:val="false"/>
                <w:color w:val="202833"/>
                <w:kern w:val="0"/>
                <w:sz w:val="14"/>
                <w:szCs w:val="22"/>
                <w:lang w:val="en-US" w:eastAsia="en-US" w:bidi="ar-SA"/>
              </w:rPr>
              <w:t>复核</w:t>
            </w:r>
          </w:p>
        </w:tc>
        <w:tc>
          <w:tcPr>
            <w:tcW w:w="1344" w:type="dxa"/>
            <w:tcBorders/>
            <w:shd w:fill="F5F7FA"/>
            <w:vAlign w:val="center"/>
          </w:tcPr>
          <w:p>
            <w:pPr>
              <w:pStyle w:val="Normal"/>
              <w:widowControl/>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4"/>
                <w:szCs w:val="22"/>
                <w:lang w:val="en-US" w:eastAsia="en-US" w:bidi="ar-SA"/>
              </w:rPr>
              <w:t>中位工时下降≥</w:t>
            </w:r>
            <w:r>
              <w:rPr>
                <w:rFonts w:eastAsia="宋体" w:cs=""/>
                <w:b w:val="false"/>
                <w:color w:val="202833"/>
                <w:kern w:val="0"/>
                <w:sz w:val="14"/>
                <w:szCs w:val="22"/>
                <w:lang w:val="en-US" w:eastAsia="en-US" w:bidi="ar-SA"/>
              </w:rPr>
              <w:t>50%</w:t>
            </w:r>
            <w:r>
              <w:rPr>
                <w:rFonts w:ascii="Times New Roman" w:hAnsi="Times New Roman" w:cs=""/>
                <w:b w:val="false"/>
                <w:color w:val="202833"/>
                <w:kern w:val="0"/>
                <w:sz w:val="14"/>
                <w:szCs w:val="22"/>
                <w:lang w:val="en-US" w:eastAsia="en-US" w:bidi="ar-SA"/>
              </w:rPr>
              <w:t>；三项质量指标均不低于纯人工基线</w:t>
            </w:r>
          </w:p>
        </w:tc>
      </w:tr>
      <w:tr>
        <w:trPr>
          <w:cantSplit w:val="true"/>
        </w:trPr>
        <w:tc>
          <w:tcPr>
            <w:tcW w:w="1344" w:type="dxa"/>
            <w:tcBorders/>
            <w:vAlign w:val="center"/>
          </w:tcPr>
          <w:p>
            <w:pPr>
              <w:pStyle w:val="Normal"/>
              <w:widowControl/>
              <w:spacing w:lineRule="auto" w:line="259" w:before="0" w:after="0"/>
              <w:ind w:hanging="0"/>
              <w:jc w:val="left"/>
              <w:rPr>
                <w:rFonts w:cs=""/>
                <w:kern w:val="0"/>
                <w:szCs w:val="22"/>
                <w:lang w:val="en-US" w:eastAsia="en-US" w:bidi="ar-SA"/>
              </w:rPr>
            </w:pPr>
            <w:r>
              <w:rPr>
                <w:rFonts w:eastAsia="宋体" w:cs=""/>
                <w:b w:val="false"/>
                <w:color w:val="202833"/>
                <w:kern w:val="0"/>
                <w:sz w:val="14"/>
                <w:szCs w:val="22"/>
                <w:lang w:val="en-US" w:eastAsia="en-US" w:bidi="ar-SA"/>
              </w:rPr>
              <w:t>I-19</w:t>
            </w:r>
          </w:p>
        </w:tc>
        <w:tc>
          <w:tcPr>
            <w:tcW w:w="1343" w:type="dxa"/>
            <w:tcBorders/>
            <w:vAlign w:val="center"/>
          </w:tcPr>
          <w:p>
            <w:pPr>
              <w:pStyle w:val="Normal"/>
              <w:widowControl/>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4"/>
                <w:szCs w:val="22"/>
                <w:lang w:val="en-US" w:eastAsia="en-US" w:bidi="ar-SA"/>
              </w:rPr>
              <w:t>辅助生成标识覆盖率</w:t>
            </w:r>
          </w:p>
        </w:tc>
        <w:tc>
          <w:tcPr>
            <w:tcW w:w="1345" w:type="dxa"/>
            <w:tcBorders/>
            <w:vAlign w:val="center"/>
          </w:tcPr>
          <w:p>
            <w:pPr>
              <w:pStyle w:val="Normal"/>
              <w:widowControl/>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4"/>
                <w:szCs w:val="22"/>
                <w:lang w:val="en-US" w:eastAsia="en-US" w:bidi="ar-SA"/>
              </w:rPr>
              <w:t>未实现</w:t>
            </w:r>
          </w:p>
        </w:tc>
        <w:tc>
          <w:tcPr>
            <w:tcW w:w="1343" w:type="dxa"/>
            <w:tcBorders/>
            <w:vAlign w:val="center"/>
          </w:tcPr>
          <w:p>
            <w:pPr>
              <w:pStyle w:val="Normal"/>
              <w:widowControl/>
              <w:spacing w:lineRule="auto" w:line="259" w:before="0" w:after="0"/>
              <w:ind w:hanging="0"/>
              <w:jc w:val="left"/>
              <w:rPr>
                <w:rFonts w:cs=""/>
                <w:kern w:val="0"/>
                <w:szCs w:val="22"/>
                <w:lang w:val="en-US" w:eastAsia="en-US" w:bidi="ar-SA"/>
              </w:rPr>
            </w:pPr>
            <w:r>
              <w:rPr>
                <w:rFonts w:eastAsia="宋体" w:cs=""/>
                <w:b w:val="false"/>
                <w:color w:val="202833"/>
                <w:kern w:val="0"/>
                <w:sz w:val="14"/>
                <w:szCs w:val="22"/>
                <w:lang w:val="en-US" w:eastAsia="en-US" w:bidi="ar-SA"/>
              </w:rPr>
              <w:t>100%</w:t>
            </w:r>
          </w:p>
        </w:tc>
        <w:tc>
          <w:tcPr>
            <w:tcW w:w="1345" w:type="dxa"/>
            <w:tcBorders/>
            <w:vAlign w:val="center"/>
          </w:tcPr>
          <w:p>
            <w:pPr>
              <w:pStyle w:val="Normal"/>
              <w:widowControl/>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4"/>
                <w:szCs w:val="22"/>
                <w:lang w:val="en-US" w:eastAsia="en-US" w:bidi="ar-SA"/>
              </w:rPr>
              <w:t>检查</w:t>
            </w:r>
            <w:r>
              <w:rPr>
                <w:rFonts w:eastAsia="宋体" w:cs=""/>
                <w:b w:val="false"/>
                <w:color w:val="202833"/>
                <w:kern w:val="0"/>
                <w:sz w:val="14"/>
                <w:szCs w:val="22"/>
                <w:lang w:val="en-US" w:eastAsia="en-US" w:bidi="ar-SA"/>
              </w:rPr>
              <w:t>100</w:t>
            </w:r>
            <w:r>
              <w:rPr>
                <w:rFonts w:ascii="Times New Roman" w:hAnsi="Times New Roman" w:cs=""/>
                <w:b w:val="false"/>
                <w:color w:val="202833"/>
                <w:kern w:val="0"/>
                <w:sz w:val="14"/>
                <w:szCs w:val="22"/>
                <w:lang w:val="en-US" w:eastAsia="en-US" w:bidi="ar-SA"/>
              </w:rPr>
              <w:t>份内部报告和</w:t>
            </w:r>
            <w:r>
              <w:rPr>
                <w:rFonts w:eastAsia="宋体" w:cs=""/>
                <w:b w:val="false"/>
                <w:color w:val="202833"/>
                <w:kern w:val="0"/>
                <w:sz w:val="14"/>
                <w:szCs w:val="22"/>
                <w:lang w:val="en-US" w:eastAsia="en-US" w:bidi="ar-SA"/>
              </w:rPr>
              <w:t>20</w:t>
            </w:r>
            <w:r>
              <w:rPr>
                <w:rFonts w:ascii="Times New Roman" w:hAnsi="Times New Roman" w:cs=""/>
                <w:b w:val="false"/>
                <w:color w:val="202833"/>
                <w:kern w:val="0"/>
                <w:sz w:val="14"/>
                <w:szCs w:val="22"/>
                <w:lang w:val="en-US" w:eastAsia="en-US" w:bidi="ar-SA"/>
              </w:rPr>
              <w:t>份模拟外发报告</w:t>
            </w:r>
          </w:p>
        </w:tc>
        <w:tc>
          <w:tcPr>
            <w:tcW w:w="1343" w:type="dxa"/>
            <w:tcBorders/>
            <w:vAlign w:val="center"/>
          </w:tcPr>
          <w:p>
            <w:pPr>
              <w:pStyle w:val="Normal"/>
              <w:widowControl/>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4"/>
                <w:szCs w:val="22"/>
                <w:lang w:val="en-US" w:eastAsia="en-US" w:bidi="ar-SA"/>
              </w:rPr>
              <w:t>检查可见标识、机器可读元数据、模型版本、人工复核人与签发状态</w:t>
            </w:r>
          </w:p>
        </w:tc>
        <w:tc>
          <w:tcPr>
            <w:tcW w:w="1344" w:type="dxa"/>
            <w:tcBorders/>
            <w:vAlign w:val="center"/>
          </w:tcPr>
          <w:p>
            <w:pPr>
              <w:pStyle w:val="Normal"/>
              <w:widowControl/>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4"/>
                <w:szCs w:val="22"/>
                <w:lang w:val="en-US" w:eastAsia="en-US" w:bidi="ar-SA"/>
              </w:rPr>
              <w:t>覆盖率</w:t>
            </w:r>
            <w:r>
              <w:rPr>
                <w:rFonts w:eastAsia="宋体" w:cs=""/>
                <w:b w:val="false"/>
                <w:color w:val="202833"/>
                <w:kern w:val="0"/>
                <w:sz w:val="14"/>
                <w:szCs w:val="22"/>
                <w:lang w:val="en-US" w:eastAsia="en-US" w:bidi="ar-SA"/>
              </w:rPr>
              <w:t>100%</w:t>
            </w:r>
            <w:r>
              <w:rPr>
                <w:rFonts w:ascii="Times New Roman" w:hAnsi="Times New Roman" w:cs=""/>
                <w:b w:val="false"/>
                <w:color w:val="202833"/>
                <w:kern w:val="0"/>
                <w:sz w:val="14"/>
                <w:szCs w:val="22"/>
                <w:lang w:val="en-US" w:eastAsia="en-US" w:bidi="ar-SA"/>
              </w:rPr>
              <w:t>；未复核报告显式标为“草稿</w:t>
            </w:r>
            <w:r>
              <w:rPr>
                <w:rFonts w:eastAsia="宋体" w:cs=""/>
                <w:b w:val="false"/>
                <w:color w:val="202833"/>
                <w:kern w:val="0"/>
                <w:sz w:val="14"/>
                <w:szCs w:val="22"/>
                <w:lang w:val="en-US" w:eastAsia="en-US" w:bidi="ar-SA"/>
              </w:rPr>
              <w:t>/</w:t>
            </w:r>
            <w:r>
              <w:rPr>
                <w:rFonts w:ascii="Times New Roman" w:hAnsi="Times New Roman" w:cs=""/>
                <w:b w:val="false"/>
                <w:color w:val="202833"/>
                <w:kern w:val="0"/>
                <w:sz w:val="14"/>
                <w:szCs w:val="22"/>
                <w:lang w:val="en-US" w:eastAsia="en-US" w:bidi="ar-SA"/>
              </w:rPr>
              <w:t>待复核”，不得标为正式结论</w:t>
            </w:r>
          </w:p>
        </w:tc>
      </w:tr>
    </w:tbl>
    <w:p>
      <w:pPr>
        <w:pStyle w:val="Normal"/>
        <w:spacing w:before="0" w:after="20"/>
        <w:rPr/>
      </w:pPr>
      <w:r>
        <w:rPr/>
      </w:r>
    </w:p>
    <w:p>
      <w:pPr>
        <w:pStyle w:val="Normal"/>
        <w:widowControl/>
        <w:rPr/>
      </w:pPr>
      <w:r>
        <w:rPr>
          <w:rFonts w:ascii="Times New Roman" w:hAnsi="Times New Roman"/>
          <w:b w:val="false"/>
          <w:color w:val="202833"/>
          <w:sz w:val="22"/>
        </w:rPr>
        <w:t>训练、开发和独立测试数据按</w:t>
      </w:r>
      <w:r>
        <w:rPr>
          <w:rFonts w:eastAsia="宋体"/>
          <w:b w:val="false"/>
          <w:color w:val="202833"/>
          <w:sz w:val="22"/>
        </w:rPr>
        <w:t>episode</w:t>
      </w:r>
      <w:r>
        <w:rPr>
          <w:rFonts w:ascii="Times New Roman" w:hAnsi="Times New Roman"/>
          <w:b w:val="false"/>
          <w:color w:val="202833"/>
          <w:sz w:val="22"/>
        </w:rPr>
        <w:t>分组隔离，禁止同一</w:t>
      </w:r>
      <w:r>
        <w:rPr>
          <w:rFonts w:eastAsia="宋体"/>
          <w:b w:val="false"/>
          <w:color w:val="202833"/>
          <w:sz w:val="22"/>
        </w:rPr>
        <w:t>episode</w:t>
      </w:r>
      <w:r>
        <w:rPr>
          <w:rFonts w:ascii="Times New Roman" w:hAnsi="Times New Roman"/>
          <w:b w:val="false"/>
          <w:color w:val="202833"/>
          <w:sz w:val="22"/>
        </w:rPr>
        <w:t>的切片跨集合。分类和事实一致性比例同时报告分子、分母和</w:t>
      </w:r>
      <w:r>
        <w:rPr>
          <w:rFonts w:eastAsia="宋体"/>
          <w:b w:val="false"/>
          <w:color w:val="202833"/>
          <w:sz w:val="22"/>
        </w:rPr>
        <w:t>95%</w:t>
      </w:r>
      <w:r>
        <w:rPr>
          <w:rFonts w:ascii="Times New Roman" w:hAnsi="Times New Roman"/>
          <w:b w:val="false"/>
          <w:color w:val="202833"/>
          <w:sz w:val="22"/>
        </w:rPr>
        <w:t>置信区间；不可用样本不补零，排除原因单列。所有性能指标同时记录模型、量化、硬件、输入</w:t>
      </w:r>
      <w:r>
        <w:rPr>
          <w:rFonts w:eastAsia="宋体"/>
          <w:b w:val="false"/>
          <w:color w:val="202833"/>
          <w:sz w:val="22"/>
        </w:rPr>
        <w:t>token</w:t>
      </w:r>
      <w:r>
        <w:rPr>
          <w:rFonts w:ascii="Times New Roman" w:hAnsi="Times New Roman"/>
          <w:b w:val="false"/>
          <w:color w:val="202833"/>
          <w:sz w:val="22"/>
        </w:rPr>
        <w:t>数、并发数和重试次数。</w:t>
      </w:r>
    </w:p>
    <w:p>
      <w:pPr>
        <w:pStyle w:val="Heading1"/>
        <w:ind w:hanging="0"/>
        <w:rPr/>
      </w:pPr>
      <w:r>
        <w:rPr>
          <w:rFonts w:eastAsia="宋体" w:ascii="Times New Roman" w:hAnsi="Times New Roman"/>
          <w:b/>
          <w:color w:val="1F4E78"/>
          <w:sz w:val="32"/>
        </w:rPr>
        <w:t xml:space="preserve">3 </w:t>
      </w:r>
      <w:r>
        <w:rPr>
          <w:rFonts w:ascii="Times New Roman" w:hAnsi="Times New Roman" w:eastAsia="宋体"/>
          <w:b/>
          <w:color w:val="1F4E78"/>
          <w:sz w:val="32"/>
        </w:rPr>
        <w:t>研究任务</w:t>
      </w:r>
    </w:p>
    <w:p>
      <w:pPr>
        <w:pStyle w:val="Heading2"/>
        <w:ind w:hanging="0"/>
        <w:rPr/>
      </w:pPr>
      <w:r>
        <w:rPr>
          <w:rFonts w:eastAsia="宋体" w:ascii="Times New Roman" w:hAnsi="Times New Roman"/>
          <w:b/>
          <w:color w:val="176B73"/>
          <w:sz w:val="28"/>
        </w:rPr>
        <w:t xml:space="preserve">3.1 </w:t>
      </w:r>
      <w:r>
        <w:rPr>
          <w:rFonts w:ascii="Times New Roman" w:hAnsi="Times New Roman" w:eastAsia="宋体"/>
          <w:b/>
          <w:color w:val="176B73"/>
          <w:sz w:val="28"/>
        </w:rPr>
        <w:t>研究内容</w:t>
      </w:r>
    </w:p>
    <w:p>
      <w:pPr>
        <w:pStyle w:val="Heading3"/>
        <w:ind w:hanging="0"/>
        <w:rPr/>
      </w:pPr>
      <w:r>
        <w:rPr>
          <w:rFonts w:eastAsia="宋体" w:ascii="Times New Roman" w:hAnsi="Times New Roman"/>
          <w:b/>
          <w:color w:val="202833"/>
          <w:sz w:val="24"/>
        </w:rPr>
        <w:t xml:space="preserve">3.1.1 </w:t>
      </w:r>
      <w:r>
        <w:rPr>
          <w:rFonts w:ascii="Times New Roman" w:hAnsi="Times New Roman" w:eastAsia="宋体"/>
          <w:b/>
          <w:color w:val="202833"/>
          <w:sz w:val="24"/>
        </w:rPr>
        <w:t>只追加证据链与确定性指标封装</w:t>
      </w:r>
    </w:p>
    <w:p>
      <w:pPr>
        <w:pStyle w:val="Normal"/>
        <w:widowControl/>
        <w:rPr/>
      </w:pPr>
      <w:r>
        <w:rPr>
          <w:rFonts w:ascii="Times New Roman" w:hAnsi="Times New Roman"/>
          <w:b w:val="false"/>
          <w:color w:val="202833"/>
          <w:sz w:val="22"/>
        </w:rPr>
        <w:t>研究对象是不同试验轮次中由多模块写盘的异构日志、</w:t>
      </w:r>
      <w:r>
        <w:rPr>
          <w:rFonts w:eastAsia="宋体"/>
          <w:b w:val="false"/>
          <w:color w:val="202833"/>
          <w:sz w:val="22"/>
        </w:rPr>
        <w:t>D6</w:t>
      </w:r>
      <w:r>
        <w:rPr>
          <w:rFonts w:ascii="Times New Roman" w:hAnsi="Times New Roman"/>
          <w:b w:val="false"/>
          <w:color w:val="202833"/>
          <w:sz w:val="22"/>
        </w:rPr>
        <w:t>正式指标、图表和配置记录，重点解决日志可追溯但不可任意改写、指标可引用但不可由生成模型重算的问题。输入包括场景清单、随机种子、实际资源</w:t>
      </w:r>
      <w:r>
        <w:rPr>
          <w:rFonts w:eastAsia="宋体"/>
          <w:b w:val="false"/>
          <w:color w:val="202833"/>
          <w:sz w:val="22"/>
        </w:rPr>
        <w:t>/</w:t>
      </w:r>
      <w:r>
        <w:rPr>
          <w:rFonts w:ascii="Times New Roman" w:hAnsi="Times New Roman"/>
          <w:b w:val="false"/>
          <w:color w:val="202833"/>
          <w:sz w:val="22"/>
        </w:rPr>
        <w:t>目标</w:t>
      </w:r>
      <w:r>
        <w:rPr>
          <w:rFonts w:eastAsia="宋体"/>
          <w:b w:val="false"/>
          <w:color w:val="202833"/>
          <w:sz w:val="22"/>
        </w:rPr>
        <w:t>/</w:t>
      </w:r>
      <w:r>
        <w:rPr>
          <w:rFonts w:ascii="Times New Roman" w:hAnsi="Times New Roman"/>
          <w:b w:val="false"/>
          <w:color w:val="202833"/>
          <w:sz w:val="22"/>
        </w:rPr>
        <w:t>相机数量、运行环境摘要及各模块输出；采用</w:t>
      </w:r>
      <w:r>
        <w:rPr>
          <w:rFonts w:eastAsia="宋体"/>
          <w:b w:val="false"/>
          <w:color w:val="202833"/>
          <w:sz w:val="22"/>
        </w:rPr>
        <w:t>episode</w:t>
      </w:r>
      <w:r>
        <w:rPr>
          <w:rFonts w:ascii="Times New Roman" w:hAnsi="Times New Roman"/>
          <w:b w:val="false"/>
          <w:color w:val="202833"/>
          <w:sz w:val="22"/>
        </w:rPr>
        <w:t>级文件清单、</w:t>
      </w:r>
      <w:r>
        <w:rPr>
          <w:rFonts w:eastAsia="宋体"/>
          <w:b w:val="false"/>
          <w:color w:val="202833"/>
          <w:sz w:val="22"/>
        </w:rPr>
        <w:t>SHA-256</w:t>
      </w:r>
      <w:r>
        <w:rPr>
          <w:rFonts w:ascii="Times New Roman" w:hAnsi="Times New Roman"/>
          <w:b w:val="false"/>
          <w:color w:val="202833"/>
          <w:sz w:val="22"/>
        </w:rPr>
        <w:t>索引、生产者与模式版本登记，并按模块、事件和时间窗确定性压缩高频日志。实施形成</w:t>
      </w:r>
      <w:r>
        <w:rPr>
          <w:rFonts w:eastAsia="宋体" w:ascii="Consolas" w:hAnsi="Consolas"/>
          <w:color w:val="176B73"/>
          <w:sz w:val="20"/>
        </w:rPr>
        <w:t>episode_manifest.json</w:t>
      </w:r>
      <w:r>
        <w:rPr>
          <w:rFonts w:ascii="Times New Roman" w:hAnsi="Times New Roman"/>
          <w:b w:val="false"/>
          <w:color w:val="202833"/>
          <w:sz w:val="22"/>
        </w:rPr>
        <w:t>、</w:t>
      </w:r>
      <w:r>
        <w:rPr>
          <w:rFonts w:eastAsia="宋体" w:ascii="Consolas" w:hAnsi="Consolas"/>
          <w:color w:val="176B73"/>
          <w:sz w:val="20"/>
        </w:rPr>
        <w:t>metrics_summary.json</w:t>
      </w:r>
      <w:r>
        <w:rPr>
          <w:rFonts w:ascii="Times New Roman" w:hAnsi="Times New Roman"/>
          <w:b w:val="false"/>
          <w:color w:val="202833"/>
          <w:sz w:val="22"/>
        </w:rPr>
        <w:t>、</w:t>
      </w:r>
      <w:r>
        <w:rPr>
          <w:rFonts w:eastAsia="宋体" w:ascii="Consolas" w:hAnsi="Consolas"/>
          <w:color w:val="176B73"/>
          <w:sz w:val="20"/>
        </w:rPr>
        <w:t>failure_candidates.jsonl</w:t>
      </w:r>
      <w:r>
        <w:rPr>
          <w:rFonts w:ascii="Times New Roman" w:hAnsi="Times New Roman"/>
          <w:b w:val="false"/>
          <w:color w:val="202833"/>
          <w:sz w:val="22"/>
        </w:rPr>
        <w:t>、</w:t>
      </w:r>
      <w:r>
        <w:rPr>
          <w:rFonts w:eastAsia="宋体" w:ascii="Consolas" w:hAnsi="Consolas"/>
          <w:color w:val="176B73"/>
          <w:sz w:val="20"/>
        </w:rPr>
        <w:t>timeline_summary.json</w:t>
      </w:r>
      <w:r>
        <w:rPr>
          <w:rFonts w:ascii="Times New Roman" w:hAnsi="Times New Roman"/>
          <w:b w:val="false"/>
          <w:color w:val="202833"/>
          <w:sz w:val="22"/>
        </w:rPr>
        <w:t>、</w:t>
      </w:r>
      <w:r>
        <w:rPr>
          <w:rFonts w:eastAsia="宋体" w:ascii="Consolas" w:hAnsi="Consolas"/>
          <w:color w:val="176B73"/>
          <w:sz w:val="20"/>
        </w:rPr>
        <w:t>configuration_diff.json</w:t>
      </w:r>
      <w:r>
        <w:rPr>
          <w:rFonts w:ascii="Times New Roman" w:hAnsi="Times New Roman"/>
          <w:b w:val="false"/>
          <w:color w:val="202833"/>
          <w:sz w:val="22"/>
        </w:rPr>
        <w:t>、</w:t>
      </w:r>
      <w:r>
        <w:rPr>
          <w:rFonts w:eastAsia="宋体" w:ascii="Consolas" w:hAnsi="Consolas"/>
          <w:color w:val="176B73"/>
          <w:sz w:val="20"/>
        </w:rPr>
        <w:t>evidence_index.json</w:t>
      </w:r>
      <w:r>
        <w:rPr>
          <w:rFonts w:ascii="Times New Roman" w:hAnsi="Times New Roman"/>
          <w:b w:val="false"/>
          <w:color w:val="202833"/>
          <w:sz w:val="22"/>
        </w:rPr>
        <w:t>、</w:t>
      </w:r>
      <w:r>
        <w:rPr>
          <w:rFonts w:eastAsia="宋体" w:ascii="Consolas" w:hAnsi="Consolas"/>
          <w:color w:val="176B73"/>
          <w:sz w:val="20"/>
        </w:rPr>
        <w:t>plot_manifest.json</w:t>
      </w:r>
      <w:r>
        <w:rPr>
          <w:rFonts w:ascii="Times New Roman" w:hAnsi="Times New Roman"/>
          <w:b w:val="false"/>
          <w:color w:val="202833"/>
          <w:sz w:val="22"/>
        </w:rPr>
        <w:t>以及版本化指标目录和占位符映射，为后续分析提供可定位、可复算的原子证据。</w:t>
      </w:r>
    </w:p>
    <w:p>
      <w:pPr>
        <w:pStyle w:val="Normal"/>
        <w:widowControl/>
        <w:rPr/>
      </w:pPr>
      <w:r>
        <w:rPr>
          <w:rFonts w:ascii="Times New Roman" w:hAnsi="Times New Roman"/>
          <w:b w:val="false"/>
          <w:color w:val="202833"/>
          <w:sz w:val="22"/>
        </w:rPr>
        <w:t>证据包必须同时保留</w:t>
      </w:r>
      <w:r>
        <w:rPr>
          <w:rFonts w:eastAsia="宋体" w:ascii="Consolas" w:hAnsi="Consolas"/>
          <w:color w:val="176B73"/>
          <w:sz w:val="20"/>
        </w:rPr>
        <w:t>measurement_timestamp</w:t>
      </w:r>
      <w:r>
        <w:rPr>
          <w:rFonts w:ascii="Times New Roman" w:hAnsi="Times New Roman"/>
          <w:b w:val="false"/>
          <w:color w:val="202833"/>
          <w:sz w:val="22"/>
        </w:rPr>
        <w:t>与</w:t>
      </w:r>
      <w:r>
        <w:rPr>
          <w:rFonts w:eastAsia="宋体" w:ascii="Consolas" w:hAnsi="Consolas"/>
          <w:color w:val="176B73"/>
          <w:sz w:val="20"/>
        </w:rPr>
        <w:t>arrival_timestamp</w:t>
      </w:r>
      <w:r>
        <w:rPr>
          <w:rFonts w:ascii="Times New Roman" w:hAnsi="Times New Roman"/>
          <w:b w:val="false"/>
          <w:color w:val="202833"/>
          <w:sz w:val="22"/>
        </w:rPr>
        <w:t>、观测和航迹协方差，并以北</w:t>
      </w:r>
      <w:r>
        <w:rPr>
          <w:rFonts w:eastAsia="宋体"/>
          <w:b w:val="false"/>
          <w:color w:val="202833"/>
          <w:sz w:val="22"/>
        </w:rPr>
        <w:t>-</w:t>
      </w:r>
      <w:r>
        <w:rPr>
          <w:rFonts w:ascii="Times New Roman" w:hAnsi="Times New Roman"/>
          <w:b w:val="false"/>
          <w:color w:val="202833"/>
          <w:sz w:val="22"/>
        </w:rPr>
        <w:t>东</w:t>
      </w:r>
      <w:r>
        <w:rPr>
          <w:rFonts w:eastAsia="宋体"/>
          <w:b w:val="false"/>
          <w:color w:val="202833"/>
          <w:sz w:val="22"/>
        </w:rPr>
        <w:t>-</w:t>
      </w:r>
      <w:r>
        <w:rPr>
          <w:rFonts w:ascii="Times New Roman" w:hAnsi="Times New Roman"/>
          <w:b w:val="false"/>
          <w:color w:val="202833"/>
          <w:sz w:val="22"/>
        </w:rPr>
        <w:t>地（</w:t>
      </w:r>
      <w:r>
        <w:rPr>
          <w:rFonts w:eastAsia="宋体"/>
          <w:b w:val="false"/>
          <w:color w:val="202833"/>
          <w:sz w:val="22"/>
        </w:rPr>
        <w:t>NED</w:t>
      </w:r>
      <w:r>
        <w:rPr>
          <w:rFonts w:ascii="Times New Roman" w:hAnsi="Times New Roman"/>
          <w:b w:val="false"/>
          <w:color w:val="202833"/>
          <w:sz w:val="22"/>
        </w:rPr>
        <w:t>）为融合工作坐标；</w:t>
      </w:r>
      <w:r>
        <w:rPr>
          <w:rFonts w:eastAsia="宋体" w:ascii="Consolas" w:hAnsi="Consolas"/>
          <w:color w:val="176B73"/>
          <w:sz w:val="20"/>
        </w:rPr>
        <w:t>global_track_id</w:t>
      </w:r>
      <w:r>
        <w:rPr>
          <w:rFonts w:ascii="Times New Roman" w:hAnsi="Times New Roman"/>
          <w:b w:val="false"/>
          <w:color w:val="202833"/>
          <w:sz w:val="22"/>
        </w:rPr>
        <w:t>只读取中心侧既有身份，模型不得重写或局部绑定，分配信息保留</w:t>
      </w:r>
      <w:r>
        <w:rPr>
          <w:rFonts w:eastAsia="宋体" w:ascii="Consolas" w:hAnsi="Consolas"/>
          <w:color w:val="176B73"/>
          <w:sz w:val="20"/>
        </w:rPr>
        <w:t>plan_id</w:t>
      </w:r>
      <w:r>
        <w:rPr>
          <w:rFonts w:ascii="Times New Roman" w:hAnsi="Times New Roman"/>
          <w:b w:val="false"/>
          <w:color w:val="202833"/>
          <w:sz w:val="22"/>
        </w:rPr>
        <w:t>和</w:t>
      </w:r>
      <w:r>
        <w:rPr>
          <w:rFonts w:eastAsia="宋体" w:ascii="Consolas" w:hAnsi="Consolas"/>
          <w:color w:val="176B73"/>
          <w:sz w:val="20"/>
        </w:rPr>
        <w:t>plan_version</w:t>
      </w:r>
      <w:r>
        <w:rPr>
          <w:rFonts w:ascii="Times New Roman" w:hAnsi="Times New Roman"/>
          <w:b w:val="false"/>
          <w:color w:val="202833"/>
          <w:sz w:val="22"/>
        </w:rPr>
        <w:t>，身份交换采用</w:t>
      </w:r>
      <w:r>
        <w:rPr>
          <w:rFonts w:eastAsia="宋体"/>
          <w:b w:val="false"/>
          <w:color w:val="202833"/>
          <w:sz w:val="22"/>
        </w:rPr>
        <w:t>D6</w:t>
      </w:r>
      <w:r>
        <w:rPr>
          <w:rFonts w:ascii="Times New Roman" w:hAnsi="Times New Roman"/>
          <w:b w:val="false"/>
          <w:color w:val="202833"/>
          <w:sz w:val="22"/>
        </w:rPr>
        <w:t>和</w:t>
      </w:r>
      <w:r>
        <w:rPr>
          <w:rFonts w:eastAsia="宋体"/>
          <w:b w:val="false"/>
          <w:color w:val="202833"/>
          <w:sz w:val="22"/>
        </w:rPr>
        <w:t>D2</w:t>
      </w:r>
      <w:r>
        <w:rPr>
          <w:rFonts w:ascii="Times New Roman" w:hAnsi="Times New Roman"/>
          <w:b w:val="false"/>
          <w:color w:val="202833"/>
          <w:sz w:val="22"/>
        </w:rPr>
        <w:t>显式</w:t>
      </w:r>
      <w:r>
        <w:rPr>
          <w:rFonts w:eastAsia="宋体" w:ascii="Consolas" w:hAnsi="Consolas"/>
          <w:color w:val="176B73"/>
          <w:sz w:val="20"/>
        </w:rPr>
        <w:t>id_switch_count</w:t>
      </w:r>
      <w:r>
        <w:rPr>
          <w:rFonts w:ascii="Times New Roman" w:hAnsi="Times New Roman"/>
          <w:b w:val="false"/>
          <w:color w:val="202833"/>
          <w:sz w:val="22"/>
        </w:rPr>
        <w:t>。</w:t>
      </w:r>
      <w:r>
        <w:rPr>
          <w:rFonts w:eastAsia="宋体"/>
          <w:b w:val="false"/>
          <w:color w:val="202833"/>
          <w:sz w:val="22"/>
        </w:rPr>
        <w:t>D6</w:t>
      </w:r>
      <w:r>
        <w:rPr>
          <w:rFonts w:ascii="Times New Roman" w:hAnsi="Times New Roman"/>
          <w:b w:val="false"/>
          <w:color w:val="202833"/>
          <w:sz w:val="22"/>
        </w:rPr>
        <w:t>继续负责探测概率、虚警率、航迹均方根误差、连续率、身份交换次数、重复分配次数、未分配高威胁目标数、故障转移时间、末端关联准确率、末端锁定时间、安全约束违规次数及其均值、置信区间、显著性检验和跨随机种子聚合；模型只返回指标标识符，数值、单位、图表和门限判断由合成器插入。验证覆盖合法包</w:t>
      </w:r>
      <w:r>
        <w:rPr>
          <w:rFonts w:eastAsia="宋体"/>
          <w:b w:val="false"/>
          <w:color w:val="202833"/>
          <w:sz w:val="22"/>
        </w:rPr>
        <w:t>/</w:t>
      </w:r>
      <w:r>
        <w:rPr>
          <w:rFonts w:ascii="Times New Roman" w:hAnsi="Times New Roman"/>
          <w:b w:val="false"/>
          <w:color w:val="202833"/>
          <w:sz w:val="22"/>
        </w:rPr>
        <w:t>坏包、内容篡改、缺失字段、时间倒序、跨</w:t>
      </w:r>
      <w:r>
        <w:rPr>
          <w:rFonts w:eastAsia="宋体"/>
          <w:b w:val="false"/>
          <w:color w:val="202833"/>
          <w:sz w:val="22"/>
        </w:rPr>
        <w:t>episode</w:t>
      </w:r>
      <w:r>
        <w:rPr>
          <w:rFonts w:ascii="Times New Roman" w:hAnsi="Times New Roman"/>
          <w:b w:val="false"/>
          <w:color w:val="202833"/>
          <w:sz w:val="22"/>
        </w:rPr>
        <w:t>串包、来源冲突，以及小数、百分比、单位换算、四舍五入、显式零、不可用和不同分母的变异测试；哈希只证明登记后内容一致，不证明上游数据真实，任何模式或血缘校验失败均将该包标为不可用。</w:t>
      </w:r>
    </w:p>
    <w:p>
      <w:pPr>
        <w:pStyle w:val="Heading3"/>
        <w:ind w:hanging="0"/>
        <w:rPr/>
      </w:pPr>
      <w:r>
        <w:rPr>
          <w:rFonts w:eastAsia="宋体" w:ascii="Times New Roman" w:hAnsi="Times New Roman"/>
          <w:b/>
          <w:color w:val="202833"/>
          <w:sz w:val="24"/>
        </w:rPr>
        <w:t xml:space="preserve">3.1.2 </w:t>
      </w:r>
      <w:r>
        <w:rPr>
          <w:rFonts w:ascii="Times New Roman" w:hAnsi="Times New Roman" w:eastAsia="宋体"/>
          <w:b/>
          <w:color w:val="202833"/>
          <w:sz w:val="24"/>
        </w:rPr>
        <w:t>本地结构化分析与失败分类</w:t>
      </w:r>
    </w:p>
    <w:p>
      <w:pPr>
        <w:pStyle w:val="Normal"/>
        <w:widowControl/>
        <w:rPr/>
      </w:pPr>
      <w:r>
        <w:rPr>
          <w:rFonts w:ascii="Times New Roman" w:hAnsi="Times New Roman"/>
          <w:b w:val="false"/>
          <w:color w:val="202833"/>
          <w:sz w:val="22"/>
        </w:rPr>
        <w:t>研究对象是已通过校验的证据包及其中跨模块、长时间窗的失败现象，重点解决确定性事件与解释性归因混杂、长尾类别缺少一致金标的问题。输入包括程序事件码、时间线、正式指标异常、人工复核记录、失败词表、术语表、报告模式和安全策略；一级事件码和硬门限由规则处理，大模型只辅助二级原因与跨模块关系，并输出符合模式约束的</w:t>
      </w:r>
      <w:r>
        <w:rPr>
          <w:rFonts w:eastAsia="宋体"/>
          <w:b w:val="false"/>
          <w:color w:val="202833"/>
          <w:sz w:val="22"/>
        </w:rPr>
        <w:t>JSON</w:t>
      </w:r>
      <w:r>
        <w:rPr>
          <w:rFonts w:ascii="Times New Roman" w:hAnsi="Times New Roman"/>
          <w:b w:val="false"/>
          <w:color w:val="202833"/>
          <w:sz w:val="22"/>
        </w:rPr>
        <w:t>、置信度、因果状态和复核状态。项目采用双人标注、分歧仲裁、类别版本管理和按</w:t>
      </w:r>
      <w:r>
        <w:rPr>
          <w:rFonts w:eastAsia="宋体"/>
          <w:b w:val="false"/>
          <w:color w:val="202833"/>
          <w:sz w:val="22"/>
        </w:rPr>
        <w:t>episode</w:t>
      </w:r>
      <w:r>
        <w:rPr>
          <w:rFonts w:ascii="Times New Roman" w:hAnsi="Times New Roman"/>
          <w:b w:val="false"/>
          <w:color w:val="202833"/>
          <w:sz w:val="22"/>
        </w:rPr>
        <w:t>隔离的金标集，形成失败分类词表、标注指南、模型卡、本地模型适配器、结构化分析结果、硬件基线和成本报告。</w:t>
      </w:r>
    </w:p>
    <w:p>
      <w:pPr>
        <w:pStyle w:val="Normal"/>
        <w:widowControl/>
        <w:rPr/>
      </w:pPr>
      <w:r>
        <w:rPr>
          <w:rFonts w:ascii="Times New Roman" w:hAnsi="Times New Roman"/>
          <w:b w:val="false"/>
          <w:color w:val="202833"/>
          <w:sz w:val="22"/>
        </w:rPr>
        <w:t>一级词表固定覆盖探测、跟踪、分配、降级、末端配准、导引和系统七类，同时保留未知二级类。探测类引用检测事件、可见性、时间戳和分母，不以未锁定推断漏检；跟踪类引用航迹状态、显式</w:t>
      </w:r>
      <w:r>
        <w:rPr>
          <w:rFonts w:eastAsia="宋体"/>
          <w:b w:val="false"/>
          <w:color w:val="202833"/>
          <w:sz w:val="22"/>
        </w:rPr>
        <w:t>IDSW</w:t>
      </w:r>
      <w:r>
        <w:rPr>
          <w:rFonts w:ascii="Times New Roman" w:hAnsi="Times New Roman"/>
          <w:b w:val="false"/>
          <w:color w:val="202833"/>
          <w:sz w:val="22"/>
        </w:rPr>
        <w:t>和协方差，不以目标交叉断言身份交换；分配类引用计划标识与版本、资源需求和授权，不把合法多资源联盟判作重复分配；降级类引用时期、租约、确认和通信事件，不以延迟单独断言网络故障；末端配准类引用候选、门限、锁定状态和视图范围，不使用离线真值身份替代在线证据；导引类引用合同、控制许可、模式和物理结果，不以模式切换推断物理拦截成功；系统类引用清单、模式、进程和错误日志，不把证据缺失写成事件未发生。首期比较具备中文能力、可本地部署且许可证可接受的</w:t>
      </w:r>
      <w:r>
        <w:rPr>
          <w:rFonts w:eastAsia="宋体"/>
          <w:b w:val="false"/>
          <w:color w:val="202833"/>
          <w:sz w:val="22"/>
        </w:rPr>
        <w:t>7B</w:t>
      </w:r>
      <w:r>
        <w:rPr>
          <w:rFonts w:ascii="Times New Roman" w:hAnsi="Times New Roman"/>
          <w:b w:val="false"/>
          <w:color w:val="202833"/>
          <w:sz w:val="22"/>
        </w:rPr>
        <w:t>至</w:t>
      </w:r>
      <w:r>
        <w:rPr>
          <w:rFonts w:eastAsia="宋体"/>
          <w:b w:val="false"/>
          <w:color w:val="202833"/>
          <w:sz w:val="22"/>
        </w:rPr>
        <w:t>14B</w:t>
      </w:r>
      <w:r>
        <w:rPr>
          <w:rFonts w:ascii="Times New Roman" w:hAnsi="Times New Roman"/>
          <w:b w:val="false"/>
          <w:color w:val="202833"/>
          <w:sz w:val="22"/>
        </w:rPr>
        <w:t>模型及</w:t>
      </w:r>
      <w:r>
        <w:rPr>
          <w:rFonts w:eastAsia="宋体"/>
          <w:b w:val="false"/>
          <w:color w:val="202833"/>
          <w:sz w:val="22"/>
        </w:rPr>
        <w:t>4</w:t>
      </w:r>
      <w:r>
        <w:rPr>
          <w:rFonts w:ascii="Times New Roman" w:hAnsi="Times New Roman"/>
          <w:b w:val="false"/>
          <w:color w:val="202833"/>
          <w:sz w:val="22"/>
        </w:rPr>
        <w:t>比特</w:t>
      </w:r>
      <w:r>
        <w:rPr>
          <w:rFonts w:eastAsia="宋体"/>
          <w:b w:val="false"/>
          <w:color w:val="202833"/>
          <w:sz w:val="22"/>
        </w:rPr>
        <w:t>/8</w:t>
      </w:r>
      <w:r>
        <w:rPr>
          <w:rFonts w:ascii="Times New Roman" w:hAnsi="Times New Roman"/>
          <w:b w:val="false"/>
          <w:color w:val="202833"/>
          <w:sz w:val="22"/>
        </w:rPr>
        <w:t>比特量化，冻结推理框架、上下文预算和确定性解码参数，并关闭网络、工具和代码执行；以</w:t>
      </w:r>
      <w:r>
        <w:rPr>
          <w:rFonts w:eastAsia="宋体"/>
          <w:b w:val="false"/>
          <w:color w:val="202833"/>
          <w:sz w:val="22"/>
        </w:rPr>
        <w:t>JSON</w:t>
      </w:r>
      <w:r>
        <w:rPr>
          <w:rFonts w:ascii="Times New Roman" w:hAnsi="Times New Roman"/>
          <w:b w:val="false"/>
          <w:color w:val="202833"/>
          <w:sz w:val="22"/>
        </w:rPr>
        <w:t>有效率、事实支持、数值复制、混淆矩阵、少数类召回、宏平均</w:t>
      </w:r>
      <w:r>
        <w:rPr>
          <w:rFonts w:eastAsia="宋体"/>
          <w:b w:val="false"/>
          <w:color w:val="202833"/>
          <w:sz w:val="22"/>
        </w:rPr>
        <w:t>F1</w:t>
      </w:r>
      <w:r>
        <w:rPr>
          <w:rFonts w:ascii="Times New Roman" w:hAnsi="Times New Roman"/>
          <w:b w:val="false"/>
          <w:color w:val="202833"/>
          <w:sz w:val="22"/>
        </w:rPr>
        <w:t>、提示注入、显存、功耗、时延和跨版本回归验证，</w:t>
      </w:r>
      <w:r>
        <w:rPr>
          <w:rFonts w:eastAsia="宋体"/>
          <w:b w:val="false"/>
          <w:color w:val="202833"/>
          <w:sz w:val="22"/>
        </w:rPr>
        <w:t>32B</w:t>
      </w:r>
      <w:r>
        <w:rPr>
          <w:rFonts w:ascii="Times New Roman" w:hAnsi="Times New Roman"/>
          <w:b w:val="false"/>
          <w:color w:val="202833"/>
          <w:sz w:val="22"/>
        </w:rPr>
        <w:t>模型仅作离线对照，公开榜单和厂商数据不替代本地实测。</w:t>
      </w:r>
    </w:p>
    <w:p>
      <w:pPr>
        <w:pStyle w:val="Heading3"/>
        <w:ind w:hanging="0"/>
        <w:rPr/>
      </w:pPr>
      <w:r>
        <w:rPr>
          <w:rFonts w:eastAsia="宋体" w:ascii="Times New Roman" w:hAnsi="Times New Roman"/>
          <w:b/>
          <w:color w:val="202833"/>
          <w:sz w:val="24"/>
        </w:rPr>
        <w:t xml:space="preserve">3.1.3 </w:t>
      </w:r>
      <w:r>
        <w:rPr>
          <w:rFonts w:ascii="Times New Roman" w:hAnsi="Times New Roman" w:eastAsia="宋体"/>
          <w:b/>
          <w:color w:val="202833"/>
          <w:sz w:val="24"/>
        </w:rPr>
        <w:t>报告校验、人工治理、场景建议与回归成本</w:t>
      </w:r>
    </w:p>
    <w:p>
      <w:pPr>
        <w:pStyle w:val="Normal"/>
        <w:widowControl/>
        <w:rPr/>
      </w:pPr>
      <w:r>
        <w:rPr>
          <w:rFonts w:ascii="Times New Roman" w:hAnsi="Times New Roman"/>
          <w:b w:val="false"/>
          <w:color w:val="202833"/>
          <w:sz w:val="22"/>
        </w:rPr>
        <w:t>研究对象是从结构化分析到可签发评估报告的全过程，重点解决生成文本绕过事实校验、未经复核即形成正式结论以及模型变化带来质量和成本漂移的问题。输入为结构化分析</w:t>
      </w:r>
      <w:r>
        <w:rPr>
          <w:rFonts w:eastAsia="宋体"/>
          <w:b w:val="false"/>
          <w:color w:val="202833"/>
          <w:sz w:val="22"/>
        </w:rPr>
        <w:t>JSON</w:t>
      </w:r>
      <w:r>
        <w:rPr>
          <w:rFonts w:ascii="Times New Roman" w:hAnsi="Times New Roman"/>
          <w:b w:val="false"/>
          <w:color w:val="202833"/>
          <w:sz w:val="22"/>
        </w:rPr>
        <w:t>、锁定指标、图表、模板和证据索引；第一阶段只生成原子结论、失败分类、证据编号和复核标志，第二阶段由确定性合成器形成</w:t>
      </w:r>
      <w:r>
        <w:rPr>
          <w:rFonts w:eastAsia="宋体"/>
          <w:b w:val="false"/>
          <w:color w:val="202833"/>
          <w:sz w:val="22"/>
        </w:rPr>
        <w:t>Markdown</w:t>
      </w:r>
      <w:r>
        <w:rPr>
          <w:rFonts w:ascii="Times New Roman" w:hAnsi="Times New Roman"/>
          <w:b w:val="false"/>
          <w:color w:val="202833"/>
          <w:sz w:val="22"/>
        </w:rPr>
        <w:t>、</w:t>
      </w:r>
      <w:r>
        <w:rPr>
          <w:rFonts w:eastAsia="宋体"/>
          <w:b w:val="false"/>
          <w:color w:val="202833"/>
          <w:sz w:val="22"/>
        </w:rPr>
        <w:t>Word</w:t>
      </w:r>
      <w:r>
        <w:rPr>
          <w:rFonts w:ascii="Times New Roman" w:hAnsi="Times New Roman"/>
          <w:b w:val="false"/>
          <w:color w:val="202833"/>
          <w:sz w:val="22"/>
        </w:rPr>
        <w:t>和</w:t>
      </w:r>
      <w:r>
        <w:rPr>
          <w:rFonts w:eastAsia="宋体"/>
          <w:b w:val="false"/>
          <w:color w:val="202833"/>
          <w:sz w:val="22"/>
        </w:rPr>
        <w:t>PDF</w:t>
      </w:r>
      <w:r>
        <w:rPr>
          <w:rFonts w:ascii="Times New Roman" w:hAnsi="Times New Roman"/>
          <w:b w:val="false"/>
          <w:color w:val="202833"/>
          <w:sz w:val="22"/>
        </w:rPr>
        <w:t>，并逐项校验数字、单位、证据、状态、术语、适用范围和辅助生成标识。实施产物包括报告草稿、校验与失败清单、证据索引、人工签发记录和发布包；报告固定包含试验目的、场景与配置、执行状态、指标结果、关键时间线、失败案例、结果判断、局限、后续试验建议和证据索引，未绑定证据的文字只能进入“待复核事项”。</w:t>
      </w:r>
    </w:p>
    <w:p>
      <w:pPr>
        <w:pStyle w:val="Normal"/>
        <w:widowControl/>
        <w:rPr/>
      </w:pPr>
      <w:r>
        <w:rPr>
          <w:rFonts w:ascii="Times New Roman" w:hAnsi="Times New Roman"/>
          <w:b w:val="false"/>
          <w:color w:val="202833"/>
          <w:sz w:val="22"/>
        </w:rPr>
        <w:t>对已确认失败，可在适用场景版本、参数白名单、允许范围和物理约束内生成结构化离线场景候选；确定性程序检查资源</w:t>
      </w:r>
      <w:r>
        <w:rPr>
          <w:rFonts w:eastAsia="宋体"/>
          <w:b w:val="false"/>
          <w:color w:val="202833"/>
          <w:sz w:val="22"/>
        </w:rPr>
        <w:t>/</w:t>
      </w:r>
      <w:r>
        <w:rPr>
          <w:rFonts w:ascii="Times New Roman" w:hAnsi="Times New Roman"/>
          <w:b w:val="false"/>
          <w:color w:val="202833"/>
          <w:sz w:val="22"/>
        </w:rPr>
        <w:t>目标数量、时间关系、丢包范围、遮挡条件、几何可达性和禁止字段，人工批准后方可进入离线试验候选目录。建议不得包含任务发布命令、在线航迹、分配计划、导引参数或飞行控制指令，不自动启动仿真，也不进入实装系统。模型、量化、推理框架、提示词、词表、模板或证据模式任一关键版本变化，都触发准确性、安全、时延、显存、功耗和单位成本回归，形成候选、当前、退役三态及版本准入单。验证采用原子事实抽检、引用变异、数字污染、范围串包、越权提示、边界值、不可达和重复场景、五类升级演练、数据模式迁移、模型超时与不可用测试；失败时回退到上一个通过版本或纯确定性模板，保留错误清单和审计记录，不阻断</w:t>
      </w:r>
      <w:r>
        <w:rPr>
          <w:rFonts w:eastAsia="宋体"/>
          <w:b w:val="false"/>
          <w:color w:val="202833"/>
          <w:sz w:val="22"/>
        </w:rPr>
        <w:t>D6</w:t>
      </w:r>
      <w:r>
        <w:rPr>
          <w:rFonts w:ascii="Times New Roman" w:hAnsi="Times New Roman"/>
          <w:b w:val="false"/>
          <w:color w:val="202833"/>
          <w:sz w:val="22"/>
        </w:rPr>
        <w:t>确定性评估。</w:t>
      </w:r>
    </w:p>
    <w:p>
      <w:pPr>
        <w:pStyle w:val="Heading2"/>
        <w:ind w:hanging="0"/>
        <w:rPr/>
      </w:pPr>
      <w:r>
        <w:rPr>
          <w:rFonts w:eastAsia="宋体" w:ascii="Times New Roman" w:hAnsi="Times New Roman"/>
          <w:b/>
          <w:color w:val="176B73"/>
          <w:sz w:val="28"/>
        </w:rPr>
        <w:t xml:space="preserve">3.2 </w:t>
      </w:r>
      <w:r>
        <w:rPr>
          <w:rFonts w:ascii="Times New Roman" w:hAnsi="Times New Roman" w:eastAsia="宋体"/>
          <w:b/>
          <w:color w:val="176B73"/>
          <w:sz w:val="28"/>
        </w:rPr>
        <w:t>关键技术</w:t>
      </w:r>
    </w:p>
    <w:p>
      <w:pPr>
        <w:pStyle w:val="Heading3"/>
        <w:ind w:hanging="0"/>
        <w:rPr/>
      </w:pPr>
      <w:r>
        <w:rPr>
          <w:rFonts w:eastAsia="宋体" w:ascii="Times New Roman" w:hAnsi="Times New Roman"/>
          <w:b/>
          <w:color w:val="202833"/>
          <w:sz w:val="24"/>
        </w:rPr>
        <w:t xml:space="preserve">3.2.1 </w:t>
      </w:r>
      <w:r>
        <w:rPr>
          <w:rFonts w:ascii="Times New Roman" w:hAnsi="Times New Roman" w:eastAsia="宋体"/>
          <w:b/>
          <w:color w:val="202833"/>
          <w:sz w:val="24"/>
        </w:rPr>
        <w:t>可检测篡改的原子证据包</w:t>
      </w:r>
    </w:p>
    <w:p>
      <w:pPr>
        <w:pStyle w:val="Normal"/>
        <w:widowControl/>
        <w:rPr/>
      </w:pPr>
      <w:r>
        <w:rPr>
          <w:rFonts w:ascii="Times New Roman" w:hAnsi="Times New Roman"/>
          <w:b w:val="false"/>
          <w:color w:val="202833"/>
          <w:sz w:val="22"/>
        </w:rPr>
        <w:t>该技术以“登记后可核验、结论可回指”为原理。仅把文件设为只读不能证明文件未被替换，因此对</w:t>
      </w:r>
      <w:r>
        <w:rPr>
          <w:rFonts w:eastAsia="宋体"/>
          <w:b w:val="false"/>
          <w:color w:val="202833"/>
          <w:sz w:val="22"/>
        </w:rPr>
        <w:t>episode</w:t>
      </w:r>
      <w:r>
        <w:rPr>
          <w:rFonts w:ascii="Times New Roman" w:hAnsi="Times New Roman"/>
          <w:b w:val="false"/>
          <w:color w:val="202833"/>
          <w:sz w:val="22"/>
        </w:rPr>
        <w:t>内每个输入记录相对路径、内容哈希、前后哈希复核结果、生产者身份、模式版本、时间范围和本地审计事件；确定性程序再按模块、事件和时间窗压缩高频日志，为指标、事件、图表和配置差异分配稳定编号。每条原子结论绑定</w:t>
      </w:r>
      <w:r>
        <w:rPr>
          <w:rFonts w:eastAsia="宋体" w:ascii="Consolas" w:hAnsi="Consolas"/>
          <w:color w:val="176B73"/>
          <w:sz w:val="20"/>
        </w:rPr>
        <w:t>episode_id</w:t>
      </w:r>
      <w:r>
        <w:rPr>
          <w:rFonts w:ascii="Times New Roman" w:hAnsi="Times New Roman"/>
          <w:b w:val="false"/>
          <w:color w:val="202833"/>
          <w:sz w:val="22"/>
        </w:rPr>
        <w:t>、证据编号、时间范围、适用对象、可用性和因果状态，使引用校验能够落到具体对象和区间，而不是停留在文件存在性。</w:t>
      </w:r>
    </w:p>
    <w:p>
      <w:pPr>
        <w:pStyle w:val="Normal"/>
        <w:widowControl/>
        <w:rPr/>
      </w:pPr>
      <w:r>
        <w:rPr>
          <w:rFonts w:ascii="Times New Roman" w:hAnsi="Times New Roman"/>
          <w:b w:val="false"/>
          <w:color w:val="202833"/>
          <w:sz w:val="22"/>
        </w:rPr>
        <w:t>工程实现采用只读证据目录、独立派生目录、</w:t>
      </w:r>
      <w:r>
        <w:rPr>
          <w:rFonts w:eastAsia="宋体"/>
          <w:b w:val="false"/>
          <w:color w:val="202833"/>
          <w:sz w:val="22"/>
        </w:rPr>
        <w:t>episode</w:t>
      </w:r>
      <w:r>
        <w:rPr>
          <w:rFonts w:ascii="Times New Roman" w:hAnsi="Times New Roman"/>
          <w:b w:val="false"/>
          <w:color w:val="202833"/>
          <w:sz w:val="22"/>
        </w:rPr>
        <w:t>清单和</w:t>
      </w:r>
      <w:r>
        <w:rPr>
          <w:rFonts w:eastAsia="宋体"/>
          <w:b w:val="false"/>
          <w:color w:val="202833"/>
          <w:sz w:val="22"/>
        </w:rPr>
        <w:t>SHA-256</w:t>
      </w:r>
      <w:r>
        <w:rPr>
          <w:rFonts w:ascii="Times New Roman" w:hAnsi="Times New Roman"/>
          <w:b w:val="false"/>
          <w:color w:val="202833"/>
          <w:sz w:val="22"/>
        </w:rPr>
        <w:t>索引，构建前校验时间、记录数量、模式和生产者，构建后复算哈希并禁止跨</w:t>
      </w:r>
      <w:r>
        <w:rPr>
          <w:rFonts w:eastAsia="宋体"/>
          <w:b w:val="false"/>
          <w:color w:val="202833"/>
          <w:sz w:val="22"/>
        </w:rPr>
        <w:t>episode</w:t>
      </w:r>
      <w:r>
        <w:rPr>
          <w:rFonts w:ascii="Times New Roman" w:hAnsi="Times New Roman"/>
          <w:b w:val="false"/>
          <w:color w:val="202833"/>
          <w:sz w:val="22"/>
        </w:rPr>
        <w:t>拼接。关键约束是哈希只能证明登记后内容一致，不能证明生产者输出真实；上游真实性仍依赖试验过程控制、时间同步和生产者审计，压缩也不得删除支持结论所需的原始定位信息。验证判据包括篡改、替换、缺项、时间倒序、模式冲突、范围错配和串包注入均能被检出，合法包重复构建的索引保持一致；任何清单、哈希或模式校验失败，证据包即标为不可用且不进入模型分析。</w:t>
      </w:r>
    </w:p>
    <w:p>
      <w:pPr>
        <w:pStyle w:val="Heading3"/>
        <w:ind w:hanging="0"/>
        <w:rPr/>
      </w:pPr>
      <w:r>
        <w:rPr>
          <w:rFonts w:eastAsia="宋体" w:ascii="Times New Roman" w:hAnsi="Times New Roman"/>
          <w:b/>
          <w:color w:val="202833"/>
          <w:sz w:val="24"/>
        </w:rPr>
        <w:t xml:space="preserve">3.2.2 </w:t>
      </w:r>
      <w:r>
        <w:rPr>
          <w:rFonts w:ascii="Times New Roman" w:hAnsi="Times New Roman" w:eastAsia="宋体"/>
          <w:b/>
          <w:color w:val="202833"/>
          <w:sz w:val="24"/>
        </w:rPr>
        <w:t>数值、证据与状态锁定</w:t>
      </w:r>
    </w:p>
    <w:p>
      <w:pPr>
        <w:pStyle w:val="Normal"/>
        <w:widowControl/>
        <w:rPr/>
      </w:pPr>
      <w:r>
        <w:rPr>
          <w:rFonts w:ascii="Times New Roman" w:hAnsi="Times New Roman"/>
          <w:b w:val="false"/>
          <w:color w:val="202833"/>
          <w:sz w:val="22"/>
        </w:rPr>
        <w:t>该技术通过三类独立发布门限制生成文本权限。数值锁定将</w:t>
      </w:r>
      <w:r>
        <w:rPr>
          <w:rFonts w:eastAsia="宋体"/>
          <w:b w:val="false"/>
          <w:color w:val="202833"/>
          <w:sz w:val="22"/>
        </w:rPr>
        <w:t>D6</w:t>
      </w:r>
      <w:r>
        <w:rPr>
          <w:rFonts w:ascii="Times New Roman" w:hAnsi="Times New Roman"/>
          <w:b w:val="false"/>
          <w:color w:val="202833"/>
          <w:sz w:val="22"/>
        </w:rPr>
        <w:t>正式数值替换为指标标识符，由确定性合成器按冻结公式版本、单位、分母、统计区间和显示规则插入；证据锁定检查引用是否存在，并校验</w:t>
      </w:r>
      <w:r>
        <w:rPr>
          <w:rFonts w:eastAsia="宋体"/>
          <w:b w:val="false"/>
          <w:color w:val="202833"/>
          <w:sz w:val="22"/>
        </w:rPr>
        <w:t>episode</w:t>
      </w:r>
      <w:r>
        <w:rPr>
          <w:rFonts w:ascii="Times New Roman" w:hAnsi="Times New Roman"/>
          <w:b w:val="false"/>
          <w:color w:val="202833"/>
          <w:sz w:val="22"/>
        </w:rPr>
        <w:t>、对象、时间范围、模式版本和可用性；状态锁定只允许</w:t>
      </w:r>
      <w:r>
        <w:rPr>
          <w:rFonts w:eastAsia="宋体" w:ascii="Consolas" w:hAnsi="Consolas"/>
          <w:color w:val="176B73"/>
          <w:sz w:val="20"/>
        </w:rPr>
        <w:t>implemented</w:t>
      </w:r>
      <w:r>
        <w:rPr>
          <w:rFonts w:ascii="Times New Roman" w:hAnsi="Times New Roman"/>
          <w:b w:val="false"/>
          <w:color w:val="202833"/>
          <w:sz w:val="22"/>
        </w:rPr>
        <w:t>、</w:t>
      </w:r>
      <w:r>
        <w:rPr>
          <w:rFonts w:eastAsia="宋体" w:ascii="Consolas" w:hAnsi="Consolas"/>
          <w:color w:val="176B73"/>
          <w:sz w:val="20"/>
        </w:rPr>
        <w:t>simulated</w:t>
      </w:r>
      <w:r>
        <w:rPr>
          <w:rFonts w:ascii="Times New Roman" w:hAnsi="Times New Roman"/>
          <w:b w:val="false"/>
          <w:color w:val="202833"/>
          <w:sz w:val="22"/>
        </w:rPr>
        <w:t>、</w:t>
      </w:r>
      <w:r>
        <w:rPr>
          <w:rFonts w:eastAsia="宋体" w:ascii="Consolas" w:hAnsi="Consolas"/>
          <w:color w:val="176B73"/>
          <w:sz w:val="20"/>
        </w:rPr>
        <w:t>proposed</w:t>
      </w:r>
      <w:r>
        <w:rPr>
          <w:rFonts w:ascii="Times New Roman" w:hAnsi="Times New Roman"/>
          <w:b w:val="false"/>
          <w:color w:val="202833"/>
          <w:sz w:val="22"/>
        </w:rPr>
        <w:t>、</w:t>
      </w:r>
      <w:r>
        <w:rPr>
          <w:rFonts w:eastAsia="宋体" w:ascii="Consolas" w:hAnsi="Consolas"/>
          <w:color w:val="176B73"/>
          <w:sz w:val="20"/>
        </w:rPr>
        <w:t>pending_validation</w:t>
      </w:r>
      <w:r>
        <w:rPr>
          <w:rFonts w:ascii="Times New Roman" w:hAnsi="Times New Roman"/>
          <w:b w:val="false"/>
          <w:color w:val="202833"/>
          <w:sz w:val="22"/>
        </w:rPr>
        <w:t>、</w:t>
      </w:r>
      <w:r>
        <w:rPr>
          <w:rFonts w:eastAsia="宋体" w:ascii="Consolas" w:hAnsi="Consolas"/>
          <w:color w:val="176B73"/>
          <w:sz w:val="20"/>
        </w:rPr>
        <w:t>unavailable</w:t>
      </w:r>
      <w:r>
        <w:rPr>
          <w:rFonts w:ascii="Times New Roman" w:hAnsi="Times New Roman"/>
          <w:b w:val="false"/>
          <w:color w:val="202833"/>
          <w:sz w:val="22"/>
        </w:rPr>
        <w:t>和</w:t>
      </w:r>
      <w:r>
        <w:rPr>
          <w:rFonts w:eastAsia="宋体" w:ascii="Consolas" w:hAnsi="Consolas"/>
          <w:color w:val="176B73"/>
          <w:sz w:val="20"/>
        </w:rPr>
        <w:t>not_implemented</w:t>
      </w:r>
      <w:r>
        <w:rPr>
          <w:rFonts w:ascii="Times New Roman" w:hAnsi="Times New Roman"/>
          <w:b w:val="false"/>
          <w:color w:val="202833"/>
          <w:sz w:val="22"/>
        </w:rPr>
        <w:t>等受控状态按规则转换。事件码、模式错误和硬性门限由规则完成一级分类，大模型只处理二级说明；因果状态限定为“已确认、疑似、证据不足、冲突”，“已确认”必须绑定冻结判据或人工结论。</w:t>
      </w:r>
    </w:p>
    <w:p>
      <w:pPr>
        <w:pStyle w:val="Normal"/>
        <w:widowControl/>
        <w:rPr/>
      </w:pPr>
      <w:r>
        <w:rPr>
          <w:rFonts w:ascii="Times New Roman" w:hAnsi="Times New Roman"/>
          <w:b w:val="false"/>
          <w:color w:val="202833"/>
          <w:sz w:val="22"/>
        </w:rPr>
        <w:t>工程上先把报告拆为原子结论，再进行数值反向扫描、源值比对、证据范围验证、术语与状态机校验，三类发布门全部通过后才能形成待签发文本。该方法借鉴原子事实评估思路</w:t>
      </w:r>
      <w:r>
        <w:rPr>
          <w:rFonts w:eastAsia="宋体"/>
          <w:b w:val="false"/>
          <w:color w:val="202833"/>
          <w:sz w:val="22"/>
        </w:rPr>
        <w:t>[23]</w:t>
      </w:r>
      <w:r>
        <w:rPr>
          <w:rFonts w:ascii="Times New Roman" w:hAnsi="Times New Roman"/>
          <w:b w:val="false"/>
          <w:color w:val="202833"/>
          <w:sz w:val="22"/>
        </w:rPr>
        <w:t>，但模型自检仅作附加信号，不能替代外部证据；多次采样一致也不能将无证据陈述转化为事实</w:t>
      </w:r>
      <w:r>
        <w:rPr>
          <w:rFonts w:eastAsia="宋体"/>
          <w:b w:val="false"/>
          <w:color w:val="202833"/>
          <w:sz w:val="22"/>
        </w:rPr>
        <w:t>[24]</w:t>
      </w:r>
      <w:r>
        <w:rPr>
          <w:rFonts w:ascii="Times New Roman" w:hAnsi="Times New Roman"/>
          <w:b w:val="false"/>
          <w:color w:val="202833"/>
          <w:sz w:val="22"/>
        </w:rPr>
        <w:t>。验证采用显式零、不可用、缺失、单位换算、不同分母、引用存在但语义不支持、相关但不能证明因果等变异样本，按数字一致率、证据支持精度、因果越权数和状态误转数判定；未通过的原子结论只能降级为待复核或从结果判断中删除，不得由模型补数、改分母、改变仿真状态或自行判断统计显著性。</w:t>
      </w:r>
    </w:p>
    <w:p>
      <w:pPr>
        <w:pStyle w:val="Heading3"/>
        <w:ind w:hanging="0"/>
        <w:rPr/>
      </w:pPr>
      <w:r>
        <w:rPr>
          <w:rFonts w:eastAsia="宋体" w:ascii="Times New Roman" w:hAnsi="Times New Roman"/>
          <w:b/>
          <w:color w:val="202833"/>
          <w:sz w:val="24"/>
        </w:rPr>
        <w:t xml:space="preserve">3.2.3 </w:t>
      </w:r>
      <w:r>
        <w:rPr>
          <w:rFonts w:ascii="Times New Roman" w:hAnsi="Times New Roman" w:eastAsia="宋体"/>
          <w:b/>
          <w:color w:val="202833"/>
          <w:sz w:val="24"/>
        </w:rPr>
        <w:t>本地受约束推理与版本化回归</w:t>
      </w:r>
    </w:p>
    <w:p>
      <w:pPr>
        <w:pStyle w:val="Normal"/>
        <w:widowControl/>
        <w:rPr/>
      </w:pPr>
      <w:r>
        <w:rPr>
          <w:rFonts w:ascii="Times New Roman" w:hAnsi="Times New Roman"/>
          <w:b w:val="false"/>
          <w:color w:val="202833"/>
          <w:sz w:val="22"/>
        </w:rPr>
        <w:t>该技术把生成模型限定为隔离环境中的结构化解释器，而非日志处理器、正式指标计算器或控制代理。模型只挂载只读证据目录和独立写目录，输入经确定性压缩和数据字段转义，输出受</w:t>
      </w:r>
      <w:r>
        <w:rPr>
          <w:rFonts w:eastAsia="宋体"/>
          <w:b w:val="false"/>
          <w:color w:val="202833"/>
          <w:sz w:val="22"/>
        </w:rPr>
        <w:t>JSON</w:t>
      </w:r>
      <w:r>
        <w:rPr>
          <w:rFonts w:ascii="Times New Roman" w:hAnsi="Times New Roman"/>
          <w:b w:val="false"/>
          <w:color w:val="202833"/>
          <w:sz w:val="22"/>
        </w:rPr>
        <w:t>模式、词表、上下文长度和超时约束；推理服务关闭外部网络、工具调用、任意文件访问和代码执行，并对模型权重、量化文件、推理框架执行哈希及许可审查。规则承担确定性事件分类，大模型辅助跨模块关系和二级原因，输出仍需通过数值、证据、状态及禁止字段校验。</w:t>
      </w:r>
    </w:p>
    <w:p>
      <w:pPr>
        <w:pStyle w:val="Normal"/>
        <w:widowControl/>
        <w:rPr/>
      </w:pPr>
      <w:r>
        <w:rPr>
          <w:rFonts w:ascii="Times New Roman" w:hAnsi="Times New Roman"/>
          <w:b w:val="false"/>
          <w:color w:val="202833"/>
          <w:sz w:val="22"/>
        </w:rPr>
        <w:t>每份分析和报告绑定模型、量化、推理框架、提示词、词表、模板、证据模式及硬件版本，运行时记录输入与输出</w:t>
      </w:r>
      <w:r>
        <w:rPr>
          <w:rFonts w:eastAsia="宋体"/>
          <w:b w:val="false"/>
          <w:color w:val="202833"/>
          <w:sz w:val="22"/>
        </w:rPr>
        <w:t>token</w:t>
      </w:r>
      <w:r>
        <w:rPr>
          <w:rFonts w:ascii="Times New Roman" w:hAnsi="Times New Roman"/>
          <w:b w:val="false"/>
          <w:color w:val="202833"/>
          <w:sz w:val="22"/>
        </w:rPr>
        <w:t>数、首</w:t>
      </w:r>
      <w:r>
        <w:rPr>
          <w:rFonts w:eastAsia="宋体"/>
          <w:b w:val="false"/>
          <w:color w:val="202833"/>
          <w:sz w:val="22"/>
        </w:rPr>
        <w:t>token</w:t>
      </w:r>
      <w:r>
        <w:rPr>
          <w:rFonts w:ascii="Times New Roman" w:hAnsi="Times New Roman"/>
          <w:b w:val="false"/>
          <w:color w:val="202833"/>
          <w:sz w:val="22"/>
        </w:rPr>
        <w:t>时延、总时延、峰值显存、</w:t>
      </w:r>
      <w:r>
        <w:rPr>
          <w:rFonts w:eastAsia="宋体"/>
          <w:b w:val="false"/>
          <w:color w:val="202833"/>
          <w:sz w:val="22"/>
        </w:rPr>
        <w:t>CPU/</w:t>
      </w:r>
      <w:r>
        <w:rPr>
          <w:rFonts w:ascii="Times New Roman" w:hAnsi="Times New Roman"/>
          <w:b w:val="false"/>
          <w:color w:val="202833"/>
          <w:sz w:val="22"/>
        </w:rPr>
        <w:t>内存、墙上电能、重试和失败原因。任一关键版本变化均在固定</w:t>
      </w:r>
      <w:r>
        <w:rPr>
          <w:rFonts w:eastAsia="宋体"/>
          <w:b w:val="false"/>
          <w:color w:val="202833"/>
          <w:sz w:val="22"/>
        </w:rPr>
        <w:t>episode</w:t>
      </w:r>
      <w:r>
        <w:rPr>
          <w:rFonts w:ascii="Times New Roman" w:hAnsi="Times New Roman"/>
          <w:b w:val="false"/>
          <w:color w:val="202833"/>
          <w:sz w:val="22"/>
        </w:rPr>
        <w:t>回归集上复测</w:t>
      </w:r>
      <w:r>
        <w:rPr>
          <w:rFonts w:eastAsia="宋体"/>
          <w:b w:val="false"/>
          <w:color w:val="202833"/>
          <w:sz w:val="22"/>
        </w:rPr>
        <w:t>JSON</w:t>
      </w:r>
      <w:r>
        <w:rPr>
          <w:rFonts w:ascii="Times New Roman" w:hAnsi="Times New Roman"/>
          <w:b w:val="false"/>
          <w:color w:val="202833"/>
          <w:sz w:val="22"/>
        </w:rPr>
        <w:t>有效率、分类质量、事实支持、数字一致、提示注入、时延和成本，并按候选、当前、退役三态管理；准入以冻结硬件和数据版本上的质量、安全与资源门限为判据，不以参数规模、公开榜单或厂商声明替代。资源超限、进程失败、坏</w:t>
      </w:r>
      <w:r>
        <w:rPr>
          <w:rFonts w:eastAsia="宋体"/>
          <w:b w:val="false"/>
          <w:color w:val="202833"/>
          <w:sz w:val="22"/>
        </w:rPr>
        <w:t>JSON</w:t>
      </w:r>
      <w:r>
        <w:rPr>
          <w:rFonts w:ascii="Times New Roman" w:hAnsi="Times New Roman"/>
          <w:b w:val="false"/>
          <w:color w:val="202833"/>
          <w:sz w:val="22"/>
        </w:rPr>
        <w:t>、安全校验失败或升级回归不通过时，系统失败关闭并回退到上一个通过版本或纯确定性模板，原始证据和</w:t>
      </w:r>
      <w:r>
        <w:rPr>
          <w:rFonts w:eastAsia="宋体"/>
          <w:b w:val="false"/>
          <w:color w:val="202833"/>
          <w:sz w:val="22"/>
        </w:rPr>
        <w:t>D6</w:t>
      </w:r>
      <w:r>
        <w:rPr>
          <w:rFonts w:ascii="Times New Roman" w:hAnsi="Times New Roman"/>
          <w:b w:val="false"/>
          <w:color w:val="202833"/>
          <w:sz w:val="22"/>
        </w:rPr>
        <w:t>评估不受影响。</w:t>
      </w:r>
    </w:p>
    <w:p>
      <w:pPr>
        <w:pStyle w:val="Heading2"/>
        <w:ind w:hanging="0"/>
        <w:rPr/>
      </w:pPr>
      <w:r>
        <w:rPr>
          <w:rFonts w:eastAsia="宋体" w:ascii="Times New Roman" w:hAnsi="Times New Roman"/>
          <w:b/>
          <w:color w:val="176B73"/>
          <w:sz w:val="28"/>
        </w:rPr>
        <w:t xml:space="preserve">3.3 </w:t>
      </w:r>
      <w:r>
        <w:rPr>
          <w:rFonts w:ascii="Times New Roman" w:hAnsi="Times New Roman" w:eastAsia="宋体"/>
          <w:b/>
          <w:color w:val="176B73"/>
          <w:sz w:val="28"/>
        </w:rPr>
        <w:t>创新点</w:t>
      </w:r>
    </w:p>
    <w:p>
      <w:pPr>
        <w:pStyle w:val="Normal"/>
        <w:widowControl/>
        <w:rPr/>
      </w:pPr>
      <w:r>
        <w:rPr>
          <w:rFonts w:ascii="Times New Roman" w:hAnsi="Times New Roman"/>
          <w:b w:val="false"/>
          <w:color w:val="202833"/>
          <w:sz w:val="22"/>
        </w:rPr>
        <w:t>本项目的创新定位为领域证据工程和可信生成机制，不把采用开源模型、检索或报告模板本身写成算法原创。</w:t>
      </w:r>
    </w:p>
    <w:p>
      <w:pPr>
        <w:pStyle w:val="Heading3"/>
        <w:ind w:hanging="0"/>
        <w:rPr/>
      </w:pPr>
      <w:r>
        <w:rPr>
          <w:rFonts w:eastAsia="宋体" w:ascii="Times New Roman" w:hAnsi="Times New Roman"/>
          <w:b/>
          <w:color w:val="202833"/>
          <w:sz w:val="24"/>
        </w:rPr>
        <w:t xml:space="preserve">3.3.1 </w:t>
      </w:r>
      <w:r>
        <w:rPr>
          <w:rFonts w:ascii="Times New Roman" w:hAnsi="Times New Roman" w:eastAsia="宋体"/>
          <w:b/>
          <w:color w:val="202833"/>
          <w:sz w:val="24"/>
        </w:rPr>
        <w:t>确定性指标与生成文本权限分离</w:t>
      </w:r>
    </w:p>
    <w:p>
      <w:pPr>
        <w:pStyle w:val="Normal"/>
        <w:widowControl/>
        <w:rPr/>
      </w:pPr>
      <w:r>
        <w:rPr>
          <w:rFonts w:ascii="Times New Roman" w:hAnsi="Times New Roman"/>
          <w:b w:val="false"/>
          <w:color w:val="202833"/>
          <w:sz w:val="22"/>
        </w:rPr>
        <w:t>常规的人工整理容易在复制、换算和版本切换中引入误差，大模型直接读日志写报告则会把指标计算、事实判断和文字表达混为一体。本项目新增“</w:t>
      </w:r>
      <w:r>
        <w:rPr>
          <w:rFonts w:eastAsia="宋体"/>
          <w:b w:val="false"/>
          <w:color w:val="202833"/>
          <w:sz w:val="22"/>
        </w:rPr>
        <w:t>D6</w:t>
      </w:r>
      <w:r>
        <w:rPr>
          <w:rFonts w:ascii="Times New Roman" w:hAnsi="Times New Roman"/>
          <w:b w:val="false"/>
          <w:color w:val="202833"/>
          <w:sz w:val="22"/>
        </w:rPr>
        <w:t>冻结指标—模型生成标识符与原子说明—程序插入数值和图表—人工签发”的权限分离机制，并将事件、图表和配置差异封装为可逐条引用的领域证据包。新增价值不在于使用某种开源模型，而在于生成模型从制度和接口上不能计算正式指标、改单位、改分母或绕过发布门，报告整理效率与事实质量可以分别测量。</w:t>
      </w:r>
    </w:p>
    <w:p>
      <w:pPr>
        <w:pStyle w:val="Normal"/>
        <w:widowControl/>
        <w:rPr/>
      </w:pPr>
      <w:r>
        <w:rPr>
          <w:rFonts w:ascii="Times New Roman" w:hAnsi="Times New Roman"/>
          <w:b w:val="false"/>
          <w:color w:val="202833"/>
          <w:sz w:val="22"/>
        </w:rPr>
        <w:t>该机制以</w:t>
      </w:r>
      <w:r>
        <w:rPr>
          <w:rFonts w:eastAsia="宋体"/>
          <w:b w:val="false"/>
          <w:color w:val="202833"/>
          <w:sz w:val="22"/>
        </w:rPr>
        <w:t>I-03</w:t>
      </w:r>
      <w:r>
        <w:rPr>
          <w:rFonts w:ascii="Times New Roman" w:hAnsi="Times New Roman"/>
          <w:b w:val="false"/>
          <w:color w:val="202833"/>
          <w:sz w:val="22"/>
        </w:rPr>
        <w:t>、</w:t>
      </w:r>
      <w:r>
        <w:rPr>
          <w:rFonts w:eastAsia="宋体"/>
          <w:b w:val="false"/>
          <w:color w:val="202833"/>
          <w:sz w:val="22"/>
        </w:rPr>
        <w:t>I-04</w:t>
      </w:r>
      <w:r>
        <w:rPr>
          <w:rFonts w:ascii="Times New Roman" w:hAnsi="Times New Roman"/>
          <w:b w:val="false"/>
          <w:color w:val="202833"/>
          <w:sz w:val="22"/>
        </w:rPr>
        <w:t>、</w:t>
      </w:r>
      <w:r>
        <w:rPr>
          <w:rFonts w:eastAsia="宋体"/>
          <w:b w:val="false"/>
          <w:color w:val="202833"/>
          <w:sz w:val="22"/>
        </w:rPr>
        <w:t>I-05</w:t>
      </w:r>
      <w:r>
        <w:rPr>
          <w:rFonts w:ascii="Times New Roman" w:hAnsi="Times New Roman"/>
          <w:b w:val="false"/>
          <w:color w:val="202833"/>
          <w:sz w:val="22"/>
        </w:rPr>
        <w:t>、</w:t>
      </w:r>
      <w:r>
        <w:rPr>
          <w:rFonts w:eastAsia="宋体"/>
          <w:b w:val="false"/>
          <w:color w:val="202833"/>
          <w:sz w:val="22"/>
        </w:rPr>
        <w:t>I-06</w:t>
      </w:r>
      <w:r>
        <w:rPr>
          <w:rFonts w:ascii="Times New Roman" w:hAnsi="Times New Roman"/>
          <w:b w:val="false"/>
          <w:color w:val="202833"/>
          <w:sz w:val="22"/>
        </w:rPr>
        <w:t>、</w:t>
      </w:r>
      <w:r>
        <w:rPr>
          <w:rFonts w:eastAsia="宋体"/>
          <w:b w:val="false"/>
          <w:color w:val="202833"/>
          <w:sz w:val="22"/>
        </w:rPr>
        <w:t>I-10</w:t>
      </w:r>
      <w:r>
        <w:rPr>
          <w:rFonts w:ascii="Times New Roman" w:hAnsi="Times New Roman"/>
          <w:b w:val="false"/>
          <w:color w:val="202833"/>
          <w:sz w:val="22"/>
        </w:rPr>
        <w:t>、</w:t>
      </w:r>
      <w:r>
        <w:rPr>
          <w:rFonts w:eastAsia="宋体"/>
          <w:b w:val="false"/>
          <w:color w:val="202833"/>
          <w:sz w:val="22"/>
        </w:rPr>
        <w:t>I-11</w:t>
      </w:r>
      <w:r>
        <w:rPr>
          <w:rFonts w:ascii="Times New Roman" w:hAnsi="Times New Roman"/>
          <w:b w:val="false"/>
          <w:color w:val="202833"/>
          <w:sz w:val="22"/>
        </w:rPr>
        <w:t>、</w:t>
      </w:r>
      <w:r>
        <w:rPr>
          <w:rFonts w:eastAsia="宋体"/>
          <w:b w:val="false"/>
          <w:color w:val="202833"/>
          <w:sz w:val="22"/>
        </w:rPr>
        <w:t>I-17</w:t>
      </w:r>
      <w:r>
        <w:rPr>
          <w:rFonts w:ascii="Times New Roman" w:hAnsi="Times New Roman"/>
          <w:b w:val="false"/>
          <w:color w:val="202833"/>
          <w:sz w:val="22"/>
        </w:rPr>
        <w:t>和</w:t>
      </w:r>
      <w:r>
        <w:rPr>
          <w:rFonts w:eastAsia="宋体"/>
          <w:b w:val="false"/>
          <w:color w:val="202833"/>
          <w:sz w:val="22"/>
        </w:rPr>
        <w:t>I-18</w:t>
      </w:r>
      <w:r>
        <w:rPr>
          <w:rFonts w:ascii="Times New Roman" w:hAnsi="Times New Roman"/>
          <w:b w:val="false"/>
          <w:color w:val="202833"/>
          <w:sz w:val="22"/>
        </w:rPr>
        <w:t>检验：证据包须稳定重建，数值与源值一致，结构化输出和发布门达到规定通过率，故障注入能够回退，且人工整理时间下降时事实质量不得低于纯人工基线。适用范围仅包括已经写盘、模式可校验并能由</w:t>
      </w:r>
      <w:r>
        <w:rPr>
          <w:rFonts w:eastAsia="宋体"/>
          <w:b w:val="false"/>
          <w:color w:val="202833"/>
          <w:sz w:val="22"/>
        </w:rPr>
        <w:t>D6</w:t>
      </w:r>
      <w:r>
        <w:rPr>
          <w:rFonts w:ascii="Times New Roman" w:hAnsi="Times New Roman"/>
          <w:b w:val="false"/>
          <w:color w:val="202833"/>
          <w:sz w:val="22"/>
        </w:rPr>
        <w:t>确定性计算的仿真试验数据；未冻结公式、缺失分母或不可用指标不得由文本补齐，辅助生成结果不等同于实飞验证、装备能力或自动签发结论。</w:t>
      </w:r>
    </w:p>
    <w:p>
      <w:pPr>
        <w:pStyle w:val="Heading3"/>
        <w:ind w:hanging="0"/>
        <w:rPr/>
      </w:pPr>
      <w:r>
        <w:rPr>
          <w:rFonts w:eastAsia="宋体" w:ascii="Times New Roman" w:hAnsi="Times New Roman"/>
          <w:b/>
          <w:color w:val="202833"/>
          <w:sz w:val="24"/>
        </w:rPr>
        <w:t xml:space="preserve">3.3.2 </w:t>
      </w:r>
      <w:r>
        <w:rPr>
          <w:rFonts w:ascii="Times New Roman" w:hAnsi="Times New Roman" w:eastAsia="宋体"/>
          <w:b/>
          <w:color w:val="202833"/>
          <w:sz w:val="24"/>
        </w:rPr>
        <w:t>原子结论证据绑定与因果状态治理</w:t>
      </w:r>
    </w:p>
    <w:p>
      <w:pPr>
        <w:pStyle w:val="Normal"/>
        <w:widowControl/>
        <w:rPr/>
      </w:pPr>
      <w:r>
        <w:rPr>
          <w:rFonts w:ascii="Times New Roman" w:hAnsi="Times New Roman"/>
          <w:b w:val="false"/>
          <w:color w:val="202833"/>
          <w:sz w:val="22"/>
        </w:rPr>
        <w:t>常规单一引用只证明某个文件存在，自由文本归因还容易把时间相邻写成确定因果。本项目新增原子结论级绑定机制，把每个判断与</w:t>
      </w:r>
      <w:r>
        <w:rPr>
          <w:rFonts w:eastAsia="宋体" w:ascii="Consolas" w:hAnsi="Consolas"/>
          <w:color w:val="176B73"/>
          <w:sz w:val="20"/>
        </w:rPr>
        <w:t>episode_id</w:t>
      </w:r>
      <w:r>
        <w:rPr>
          <w:rFonts w:ascii="Times New Roman" w:hAnsi="Times New Roman"/>
          <w:b w:val="false"/>
          <w:color w:val="202833"/>
          <w:sz w:val="22"/>
        </w:rPr>
        <w:t>、证据编号、对象、时间窗、版本、可用性和因果状态一起保存，并由规则处理硬事件一级分类，大模型只辅助二级关系。因果状态显式区分“已确认、疑似、证据不足、冲突”，只有冻结判据或人工结论才能把状态提升为“已确认”，从而把引用完整性、语义支持和因果权限变成可独立检验的工程对象。</w:t>
      </w:r>
    </w:p>
    <w:p>
      <w:pPr>
        <w:pStyle w:val="Normal"/>
        <w:widowControl/>
        <w:rPr/>
      </w:pPr>
      <w:r>
        <w:rPr>
          <w:rFonts w:ascii="Times New Roman" w:hAnsi="Times New Roman"/>
          <w:b w:val="false"/>
          <w:color w:val="202833"/>
          <w:sz w:val="22"/>
        </w:rPr>
        <w:t>可验证价值通过</w:t>
      </w:r>
      <w:r>
        <w:rPr>
          <w:rFonts w:eastAsia="宋体"/>
          <w:b w:val="false"/>
          <w:color w:val="202833"/>
          <w:sz w:val="22"/>
        </w:rPr>
        <w:t>I-06</w:t>
      </w:r>
      <w:r>
        <w:rPr>
          <w:rFonts w:ascii="Times New Roman" w:hAnsi="Times New Roman"/>
          <w:b w:val="false"/>
          <w:color w:val="202833"/>
          <w:sz w:val="22"/>
        </w:rPr>
        <w:t>、</w:t>
      </w:r>
      <w:r>
        <w:rPr>
          <w:rFonts w:eastAsia="宋体"/>
          <w:b w:val="false"/>
          <w:color w:val="202833"/>
          <w:sz w:val="22"/>
        </w:rPr>
        <w:t>I-07</w:t>
      </w:r>
      <w:r>
        <w:rPr>
          <w:rFonts w:ascii="Times New Roman" w:hAnsi="Times New Roman"/>
          <w:b w:val="false"/>
          <w:color w:val="202833"/>
          <w:sz w:val="22"/>
        </w:rPr>
        <w:t>、</w:t>
      </w:r>
      <w:r>
        <w:rPr>
          <w:rFonts w:eastAsia="宋体"/>
          <w:b w:val="false"/>
          <w:color w:val="202833"/>
          <w:sz w:val="22"/>
        </w:rPr>
        <w:t>I-08</w:t>
      </w:r>
      <w:r>
        <w:rPr>
          <w:rFonts w:ascii="Times New Roman" w:hAnsi="Times New Roman"/>
          <w:b w:val="false"/>
          <w:color w:val="202833"/>
          <w:sz w:val="22"/>
        </w:rPr>
        <w:t>和</w:t>
      </w:r>
      <w:r>
        <w:rPr>
          <w:rFonts w:eastAsia="宋体"/>
          <w:b w:val="false"/>
          <w:color w:val="202833"/>
          <w:sz w:val="22"/>
        </w:rPr>
        <w:t>I-09</w:t>
      </w:r>
      <w:r>
        <w:rPr>
          <w:rFonts w:ascii="Times New Roman" w:hAnsi="Times New Roman"/>
          <w:b w:val="false"/>
          <w:color w:val="202833"/>
          <w:sz w:val="22"/>
        </w:rPr>
        <w:t>体现：采用引用范围变异、语义不支持样本、相关非因果对抗样本、双人金标、少数类召回和宏平均</w:t>
      </w:r>
      <w:r>
        <w:rPr>
          <w:rFonts w:eastAsia="宋体"/>
          <w:b w:val="false"/>
          <w:color w:val="202833"/>
          <w:sz w:val="22"/>
        </w:rPr>
        <w:t>F1</w:t>
      </w:r>
      <w:r>
        <w:rPr>
          <w:rFonts w:ascii="Times New Roman" w:hAnsi="Times New Roman"/>
          <w:b w:val="false"/>
          <w:color w:val="202833"/>
          <w:sz w:val="22"/>
        </w:rPr>
        <w:t>，分别统计数字污染、无效支持、因果越权、未知类和分类漂移；失败原子结论必须降级或进入待复核，而不是被流畅文本掩盖。该机制的边界是哈希不能证明上游日志真实，二级归因仍受证据完备性和金标规模限制；对于新类别、冲突证据和缺失日志，只能给出“未分类”“证据不足”或“冲突”，不能外推系统未发生事件。</w:t>
      </w:r>
    </w:p>
    <w:p>
      <w:pPr>
        <w:pStyle w:val="Heading3"/>
        <w:ind w:hanging="0"/>
        <w:rPr/>
      </w:pPr>
      <w:r>
        <w:rPr>
          <w:rFonts w:eastAsia="宋体" w:ascii="Times New Roman" w:hAnsi="Times New Roman"/>
          <w:b/>
          <w:color w:val="202833"/>
          <w:sz w:val="24"/>
        </w:rPr>
        <w:t xml:space="preserve">3.3.3 </w:t>
      </w:r>
      <w:r>
        <w:rPr>
          <w:rFonts w:ascii="Times New Roman" w:hAnsi="Times New Roman" w:eastAsia="宋体"/>
          <w:b/>
          <w:color w:val="202833"/>
          <w:sz w:val="24"/>
        </w:rPr>
        <w:t>本地隔离、失败关闭与人工签发闭环</w:t>
      </w:r>
    </w:p>
    <w:p>
      <w:pPr>
        <w:pStyle w:val="Normal"/>
        <w:widowControl/>
        <w:rPr/>
      </w:pPr>
      <w:r>
        <w:rPr>
          <w:rFonts w:ascii="Times New Roman" w:hAnsi="Times New Roman"/>
          <w:b w:val="false"/>
          <w:color w:val="202833"/>
          <w:sz w:val="22"/>
        </w:rPr>
        <w:t>常规模型接入往往只比较通用榜单或生成效果，忽略外连、提示注入、版本漂移、资源超限和责任归属。本项目新增本地隔离与失败关闭闭环：模型无网络、无工具、无任意文件和控制接口权限，只读证据并写结构化结果；校验失败、模型超时、显存不足或坏</w:t>
      </w:r>
      <w:r>
        <w:rPr>
          <w:rFonts w:eastAsia="宋体"/>
          <w:b w:val="false"/>
          <w:color w:val="202833"/>
          <w:sz w:val="22"/>
        </w:rPr>
        <w:t>JSON</w:t>
      </w:r>
      <w:r>
        <w:rPr>
          <w:rFonts w:ascii="Times New Roman" w:hAnsi="Times New Roman"/>
          <w:b w:val="false"/>
          <w:color w:val="202833"/>
          <w:sz w:val="22"/>
        </w:rPr>
        <w:t>时自动转为确定性模板和错误清单；模型、量化、提示词、模式及硬件变化必须通过固定回归集，最终报告保留辅助生成标识并由人工复核签发。质量、事实支持、显存、能耗、时延和单位成本进入同一准入门，而不是以模型参数量代表可用性。</w:t>
      </w:r>
    </w:p>
    <w:p>
      <w:pPr>
        <w:pStyle w:val="Normal"/>
        <w:widowControl/>
        <w:rPr/>
      </w:pPr>
      <w:r>
        <w:rPr>
          <w:rFonts w:ascii="Times New Roman" w:hAnsi="Times New Roman"/>
          <w:b w:val="false"/>
          <w:color w:val="202833"/>
          <w:sz w:val="22"/>
        </w:rPr>
        <w:t>该闭环还将场景建议限制为经白名单、范围、时间关系和物理可达性校验的人工待审离线候选，禁止输出任务发布、在线航迹、分配计划、导引参数和飞行控制指令。其价值以</w:t>
      </w:r>
      <w:r>
        <w:rPr>
          <w:rFonts w:eastAsia="宋体"/>
          <w:b w:val="false"/>
          <w:color w:val="202833"/>
          <w:sz w:val="22"/>
        </w:rPr>
        <w:t>I-02</w:t>
      </w:r>
      <w:r>
        <w:rPr>
          <w:rFonts w:ascii="Times New Roman" w:hAnsi="Times New Roman"/>
          <w:b w:val="false"/>
          <w:color w:val="202833"/>
          <w:sz w:val="22"/>
        </w:rPr>
        <w:t>、</w:t>
      </w:r>
      <w:r>
        <w:rPr>
          <w:rFonts w:eastAsia="宋体"/>
          <w:b w:val="false"/>
          <w:color w:val="202833"/>
          <w:sz w:val="22"/>
        </w:rPr>
        <w:t>I-10</w:t>
      </w:r>
      <w:r>
        <w:rPr>
          <w:rFonts w:ascii="Times New Roman" w:hAnsi="Times New Roman"/>
          <w:b w:val="false"/>
          <w:color w:val="202833"/>
          <w:sz w:val="22"/>
        </w:rPr>
        <w:t>至</w:t>
      </w:r>
      <w:r>
        <w:rPr>
          <w:rFonts w:eastAsia="宋体"/>
          <w:b w:val="false"/>
          <w:color w:val="202833"/>
          <w:sz w:val="22"/>
        </w:rPr>
        <w:t>I-16</w:t>
      </w:r>
      <w:r>
        <w:rPr>
          <w:rFonts w:ascii="Times New Roman" w:hAnsi="Times New Roman"/>
          <w:b w:val="false"/>
          <w:color w:val="202833"/>
          <w:sz w:val="22"/>
        </w:rPr>
        <w:t>、</w:t>
      </w:r>
      <w:r>
        <w:rPr>
          <w:rFonts w:eastAsia="宋体"/>
          <w:b w:val="false"/>
          <w:color w:val="202833"/>
          <w:sz w:val="22"/>
        </w:rPr>
        <w:t>I-17</w:t>
      </w:r>
      <w:r>
        <w:rPr>
          <w:rFonts w:ascii="Times New Roman" w:hAnsi="Times New Roman"/>
          <w:b w:val="false"/>
          <w:color w:val="202833"/>
          <w:sz w:val="22"/>
        </w:rPr>
        <w:t>和</w:t>
      </w:r>
      <w:r>
        <w:rPr>
          <w:rFonts w:eastAsia="宋体"/>
          <w:b w:val="false"/>
          <w:color w:val="202833"/>
          <w:sz w:val="22"/>
        </w:rPr>
        <w:t>I-19</w:t>
      </w:r>
      <w:r>
        <w:rPr>
          <w:rFonts w:ascii="Times New Roman" w:hAnsi="Times New Roman"/>
          <w:b w:val="false"/>
          <w:color w:val="202833"/>
          <w:sz w:val="22"/>
        </w:rPr>
        <w:t>验证，包括接口不可达、提示注入拦截、版本升级演练、资源遥测、非法建议全拦截、故障全回退和生成标识覆盖。适用边界是冻结的本地硬件、模型、数据及仿真流程；任何越权、回归未通过或未经人工签发的结果只能保留为草稿，不能进入正式交付、在线系统或实装控制链。</w:t>
      </w:r>
    </w:p>
    <w:p>
      <w:pPr>
        <w:pStyle w:val="Heading1"/>
        <w:ind w:hanging="0"/>
        <w:rPr/>
      </w:pPr>
      <w:r>
        <w:rPr>
          <w:rFonts w:eastAsia="宋体" w:ascii="Times New Roman" w:hAnsi="Times New Roman"/>
          <w:b/>
          <w:color w:val="1F4E78"/>
          <w:sz w:val="32"/>
        </w:rPr>
        <w:t xml:space="preserve">4 </w:t>
      </w:r>
      <w:r>
        <w:rPr>
          <w:rFonts w:ascii="Times New Roman" w:hAnsi="Times New Roman" w:eastAsia="宋体"/>
          <w:b/>
          <w:color w:val="1F4E78"/>
          <w:sz w:val="32"/>
        </w:rPr>
        <w:t>技术方案</w:t>
      </w:r>
    </w:p>
    <w:p>
      <w:pPr>
        <w:pStyle w:val="Heading2"/>
        <w:ind w:hanging="0"/>
        <w:rPr/>
      </w:pPr>
      <w:r>
        <w:rPr>
          <w:rFonts w:eastAsia="宋体" w:ascii="Times New Roman" w:hAnsi="Times New Roman"/>
          <w:b/>
          <w:color w:val="176B73"/>
          <w:sz w:val="28"/>
        </w:rPr>
        <w:t xml:space="preserve">4.1 </w:t>
      </w:r>
      <w:r>
        <w:rPr>
          <w:rFonts w:ascii="Times New Roman" w:hAnsi="Times New Roman" w:eastAsia="宋体"/>
          <w:b/>
          <w:color w:val="176B73"/>
          <w:sz w:val="28"/>
        </w:rPr>
        <w:t>总体技术方案</w:t>
      </w:r>
    </w:p>
    <w:p>
      <w:pPr>
        <w:pStyle w:val="Normal"/>
        <w:widowControl/>
        <w:rPr/>
      </w:pPr>
      <w:r>
        <w:rPr>
          <w:rFonts w:ascii="Times New Roman" w:hAnsi="Times New Roman"/>
          <w:b w:val="false"/>
          <w:color w:val="202833"/>
          <w:sz w:val="22"/>
        </w:rPr>
        <w:t>总体信息流为：试验系统先写出原始日志，</w:t>
      </w:r>
      <w:r>
        <w:rPr>
          <w:rFonts w:eastAsia="宋体"/>
          <w:b w:val="false"/>
          <w:color w:val="202833"/>
          <w:sz w:val="22"/>
        </w:rPr>
        <w:t>D6</w:t>
      </w:r>
      <w:r>
        <w:rPr>
          <w:rFonts w:ascii="Times New Roman" w:hAnsi="Times New Roman"/>
          <w:b w:val="false"/>
          <w:color w:val="202833"/>
          <w:sz w:val="22"/>
        </w:rPr>
        <w:t>按冻结公式计算正式指标；证据包生成器对日志、指标、配置和图表做确定性压缩与编号；本地大模型只生成结构化分析；校验器决定通过或回退；报告合成器插入锁定数字和图表；人工复核后在本地签发、归档。复核标签进入分类词表和回归集，场景建议经白名单和人工批准后只形成离线试验候选。</w:t>
      </w:r>
    </w:p>
    <w:p>
      <w:pPr>
        <w:pStyle w:val="Normal"/>
        <w:spacing w:before="100" w:after="80"/>
        <w:ind w:hanging="0"/>
        <w:jc w:val="center"/>
        <w:rPr/>
      </w:pPr>
      <w:r>
        <w:rPr/>
        <w:drawing>
          <wp:inline distT="0" distB="0" distL="0" distR="0">
            <wp:extent cx="5796280" cy="4098290"/>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5796280" cy="4098290"/>
                    </a:xfrm>
                    <a:prstGeom prst="rect">
                      <a:avLst/>
                    </a:prstGeom>
                  </pic:spPr>
                </pic:pic>
              </a:graphicData>
            </a:graphic>
          </wp:inline>
        </w:drawing>
      </w:r>
    </w:p>
    <w:p>
      <w:pPr>
        <w:pStyle w:val="Normal"/>
        <w:spacing w:before="0" w:after="120"/>
        <w:ind w:hanging="0"/>
        <w:jc w:val="center"/>
        <w:rPr/>
      </w:pPr>
      <w:r>
        <w:rPr>
          <w:rFonts w:ascii="Times New Roman" w:hAnsi="Times New Roman"/>
          <w:b w:val="false"/>
          <w:color w:val="5F6B78"/>
          <w:sz w:val="18"/>
        </w:rPr>
        <w:t>图</w:t>
      </w:r>
      <w:r>
        <w:rPr>
          <w:rFonts w:eastAsia="宋体"/>
          <w:b w:val="false"/>
          <w:color w:val="5F6B78"/>
          <w:sz w:val="18"/>
        </w:rPr>
        <w:t xml:space="preserve">4-1  </w:t>
      </w:r>
      <w:r>
        <w:rPr>
          <w:rFonts w:ascii="Times New Roman" w:hAnsi="Times New Roman"/>
          <w:b w:val="false"/>
          <w:color w:val="5F6B78"/>
          <w:sz w:val="18"/>
        </w:rPr>
        <w:t>大模型辅助评估总体技术方案</w:t>
      </w:r>
    </w:p>
    <w:p>
      <w:pPr>
        <w:pStyle w:val="Normal"/>
        <w:widowControl/>
        <w:rPr/>
      </w:pPr>
      <w:r>
        <w:rPr>
          <w:rFonts w:ascii="Times New Roman" w:hAnsi="Times New Roman"/>
          <w:b w:val="false"/>
          <w:color w:val="202833"/>
          <w:sz w:val="22"/>
        </w:rPr>
        <w:t>图中左侧为权威数据链：已写盘日志只追加登记，</w:t>
      </w:r>
      <w:r>
        <w:rPr>
          <w:rFonts w:eastAsia="宋体"/>
          <w:b w:val="false"/>
          <w:color w:val="202833"/>
          <w:sz w:val="22"/>
        </w:rPr>
        <w:t>D6</w:t>
      </w:r>
      <w:r>
        <w:rPr>
          <w:rFonts w:ascii="Times New Roman" w:hAnsi="Times New Roman"/>
          <w:b w:val="false"/>
          <w:color w:val="202833"/>
          <w:sz w:val="22"/>
        </w:rPr>
        <w:t>（第六模块）按冻结公式形成确定性指标，两者经确定性抽取、压缩、编号和血缘登记构成只读证据包。中部为本地隔离分析链：大模型只生成结构化分析，经数值、证据、状态和术语校验后，由确定性合成器插入正式数值与图表；校验失败时直接转入模板报告、错误清单和待复核事项，不影响</w:t>
      </w:r>
      <w:r>
        <w:rPr>
          <w:rFonts w:eastAsia="宋体"/>
          <w:b w:val="false"/>
          <w:color w:val="202833"/>
          <w:sz w:val="22"/>
        </w:rPr>
        <w:t>D6</w:t>
      </w:r>
      <w:r>
        <w:rPr>
          <w:rFonts w:ascii="Times New Roman" w:hAnsi="Times New Roman"/>
          <w:b w:val="false"/>
          <w:color w:val="202833"/>
          <w:sz w:val="22"/>
        </w:rPr>
        <w:t>完成确定性评估。</w:t>
      </w:r>
    </w:p>
    <w:p>
      <w:pPr>
        <w:pStyle w:val="Normal"/>
        <w:widowControl/>
        <w:rPr/>
      </w:pPr>
      <w:r>
        <w:rPr>
          <w:rFonts w:ascii="Times New Roman" w:hAnsi="Times New Roman"/>
          <w:b w:val="false"/>
          <w:color w:val="202833"/>
          <w:sz w:val="22"/>
        </w:rPr>
        <w:t>右侧为人工治理和反馈链。人工复核决定报告是否签发，签发报告及证据索引在本地归档；修订标签、误差记录和复核意见回流到失败词表、数据卡与固定回归集。离线场景建议须经过白名单、范围、时间关系和物理可达性校验，再由人工审批为离线试验候选，不自动执行。模型分析区通过网络、进程、文件和接口权限保持本地隔离，不连接云端服务、任务发布、在线消息总线或飞行控制。</w:t>
      </w:r>
    </w:p>
    <w:p>
      <w:pPr>
        <w:pStyle w:val="Heading3"/>
        <w:ind w:hanging="0"/>
        <w:rPr/>
      </w:pPr>
      <w:r>
        <w:rPr>
          <w:rFonts w:ascii="Times New Roman" w:hAnsi="Times New Roman" w:eastAsia="宋体"/>
          <w:b/>
          <w:color w:val="202833"/>
          <w:sz w:val="24"/>
        </w:rPr>
        <w:t>分层组件</w:t>
      </w:r>
    </w:p>
    <w:tbl>
      <w:tblPr>
        <w:tblStyle w:val="TableGrid"/>
        <w:tblW w:w="9410" w:type="dxa"/>
        <w:jc w:val="center"/>
        <w:tblInd w:w="0" w:type="dxa"/>
        <w:tblLayout w:type="fixed"/>
        <w:tblCellMar>
          <w:top w:w="55" w:type="dxa"/>
          <w:left w:w="65" w:type="dxa"/>
          <w:bottom w:w="55" w:type="dxa"/>
          <w:right w:w="65" w:type="dxa"/>
        </w:tblCellMar>
        <w:tblLook w:val="04a0" w:noHBand="0" w:noVBand="1" w:firstColumn="1" w:lastRow="0" w:lastColumn="0" w:firstRow="1"/>
      </w:tblPr>
      <w:tblGrid>
        <w:gridCol w:w="1882"/>
        <w:gridCol w:w="1882"/>
        <w:gridCol w:w="1882"/>
        <w:gridCol w:w="1882"/>
        <w:gridCol w:w="1882"/>
      </w:tblGrid>
      <w:tr>
        <w:trPr>
          <w:tblHeader w:val="true"/>
          <w:cantSplit w:val="true"/>
        </w:trPr>
        <w:tc>
          <w:tcPr>
            <w:tcW w:w="1882" w:type="dxa"/>
            <w:tcBorders/>
            <w:shd w:fill="1F4E78"/>
            <w:vAlign w:val="center"/>
          </w:tcPr>
          <w:p>
            <w:pPr>
              <w:pStyle w:val="Normal"/>
              <w:widowControl/>
              <w:spacing w:lineRule="auto" w:line="259" w:before="0" w:after="0"/>
              <w:ind w:hanging="0"/>
              <w:jc w:val="center"/>
              <w:rPr>
                <w:rFonts w:cs=""/>
                <w:kern w:val="0"/>
                <w:szCs w:val="22"/>
                <w:lang w:val="en-US" w:eastAsia="en-US" w:bidi="ar-SA"/>
              </w:rPr>
            </w:pPr>
            <w:r>
              <w:rPr>
                <w:rFonts w:ascii="Times New Roman" w:hAnsi="Times New Roman" w:cs=""/>
                <w:b/>
                <w:color w:val="FFFFFF"/>
                <w:kern w:val="0"/>
                <w:sz w:val="16"/>
                <w:szCs w:val="22"/>
                <w:lang w:val="en-US" w:eastAsia="en-US" w:bidi="ar-SA"/>
              </w:rPr>
              <w:t>层级</w:t>
            </w:r>
          </w:p>
        </w:tc>
        <w:tc>
          <w:tcPr>
            <w:tcW w:w="1882" w:type="dxa"/>
            <w:tcBorders/>
            <w:shd w:fill="1F4E78"/>
            <w:vAlign w:val="center"/>
          </w:tcPr>
          <w:p>
            <w:pPr>
              <w:pStyle w:val="Normal"/>
              <w:widowControl/>
              <w:spacing w:lineRule="auto" w:line="259" w:before="0" w:after="0"/>
              <w:ind w:hanging="0"/>
              <w:jc w:val="center"/>
              <w:rPr>
                <w:rFonts w:cs=""/>
                <w:kern w:val="0"/>
                <w:szCs w:val="22"/>
                <w:lang w:val="en-US" w:eastAsia="en-US" w:bidi="ar-SA"/>
              </w:rPr>
            </w:pPr>
            <w:r>
              <w:rPr>
                <w:rFonts w:ascii="Times New Roman" w:hAnsi="Times New Roman" w:cs=""/>
                <w:b/>
                <w:color w:val="FFFFFF"/>
                <w:kern w:val="0"/>
                <w:sz w:val="16"/>
                <w:szCs w:val="22"/>
                <w:lang w:val="en-US" w:eastAsia="en-US" w:bidi="ar-SA"/>
              </w:rPr>
              <w:t>主要组件</w:t>
            </w:r>
          </w:p>
        </w:tc>
        <w:tc>
          <w:tcPr>
            <w:tcW w:w="1882" w:type="dxa"/>
            <w:tcBorders/>
            <w:shd w:fill="1F4E78"/>
            <w:vAlign w:val="center"/>
          </w:tcPr>
          <w:p>
            <w:pPr>
              <w:pStyle w:val="Normal"/>
              <w:widowControl/>
              <w:spacing w:lineRule="auto" w:line="259" w:before="0" w:after="0"/>
              <w:ind w:hanging="0"/>
              <w:jc w:val="center"/>
              <w:rPr>
                <w:rFonts w:cs=""/>
                <w:kern w:val="0"/>
                <w:szCs w:val="22"/>
                <w:lang w:val="en-US" w:eastAsia="en-US" w:bidi="ar-SA"/>
              </w:rPr>
            </w:pPr>
            <w:r>
              <w:rPr>
                <w:rFonts w:ascii="Times New Roman" w:hAnsi="Times New Roman" w:cs=""/>
                <w:b/>
                <w:color w:val="FFFFFF"/>
                <w:kern w:val="0"/>
                <w:sz w:val="16"/>
                <w:szCs w:val="22"/>
                <w:lang w:val="en-US" w:eastAsia="en-US" w:bidi="ar-SA"/>
              </w:rPr>
              <w:t>读取</w:t>
            </w:r>
          </w:p>
        </w:tc>
        <w:tc>
          <w:tcPr>
            <w:tcW w:w="1882" w:type="dxa"/>
            <w:tcBorders/>
            <w:shd w:fill="1F4E78"/>
            <w:vAlign w:val="center"/>
          </w:tcPr>
          <w:p>
            <w:pPr>
              <w:pStyle w:val="Normal"/>
              <w:widowControl/>
              <w:spacing w:lineRule="auto" w:line="259" w:before="0" w:after="0"/>
              <w:ind w:hanging="0"/>
              <w:jc w:val="center"/>
              <w:rPr>
                <w:rFonts w:cs=""/>
                <w:kern w:val="0"/>
                <w:szCs w:val="22"/>
                <w:lang w:val="en-US" w:eastAsia="en-US" w:bidi="ar-SA"/>
              </w:rPr>
            </w:pPr>
            <w:r>
              <w:rPr>
                <w:rFonts w:ascii="Times New Roman" w:hAnsi="Times New Roman" w:cs=""/>
                <w:b/>
                <w:color w:val="FFFFFF"/>
                <w:kern w:val="0"/>
                <w:sz w:val="16"/>
                <w:szCs w:val="22"/>
                <w:lang w:val="en-US" w:eastAsia="en-US" w:bidi="ar-SA"/>
              </w:rPr>
              <w:t>写出</w:t>
            </w:r>
          </w:p>
        </w:tc>
        <w:tc>
          <w:tcPr>
            <w:tcW w:w="1882" w:type="dxa"/>
            <w:tcBorders/>
            <w:shd w:fill="1F4E78"/>
            <w:vAlign w:val="center"/>
          </w:tcPr>
          <w:p>
            <w:pPr>
              <w:pStyle w:val="Normal"/>
              <w:widowControl/>
              <w:spacing w:lineRule="auto" w:line="259" w:before="0" w:after="0"/>
              <w:ind w:hanging="0"/>
              <w:jc w:val="center"/>
              <w:rPr>
                <w:rFonts w:cs=""/>
                <w:kern w:val="0"/>
                <w:szCs w:val="22"/>
                <w:lang w:val="en-US" w:eastAsia="en-US" w:bidi="ar-SA"/>
              </w:rPr>
            </w:pPr>
            <w:r>
              <w:rPr>
                <w:rFonts w:ascii="Times New Roman" w:hAnsi="Times New Roman" w:cs=""/>
                <w:b/>
                <w:color w:val="FFFFFF"/>
                <w:kern w:val="0"/>
                <w:sz w:val="16"/>
                <w:szCs w:val="22"/>
                <w:lang w:val="en-US" w:eastAsia="en-US" w:bidi="ar-SA"/>
              </w:rPr>
              <w:t>权限边界</w:t>
            </w:r>
          </w:p>
        </w:tc>
      </w:tr>
      <w:tr>
        <w:trPr>
          <w:cantSplit w:val="true"/>
        </w:trPr>
        <w:tc>
          <w:tcPr>
            <w:tcW w:w="1882" w:type="dxa"/>
            <w:tcBorders/>
            <w:vAlign w:val="center"/>
          </w:tcPr>
          <w:p>
            <w:pPr>
              <w:pStyle w:val="Normal"/>
              <w:widowControl/>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6"/>
                <w:szCs w:val="22"/>
                <w:lang w:val="en-US" w:eastAsia="en-US" w:bidi="ar-SA"/>
              </w:rPr>
              <w:t>原始证据层</w:t>
            </w:r>
          </w:p>
        </w:tc>
        <w:tc>
          <w:tcPr>
            <w:tcW w:w="1882" w:type="dxa"/>
            <w:tcBorders/>
            <w:vAlign w:val="center"/>
          </w:tcPr>
          <w:p>
            <w:pPr>
              <w:pStyle w:val="Normal"/>
              <w:widowControl/>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6"/>
                <w:szCs w:val="22"/>
                <w:lang w:val="en-US" w:eastAsia="en-US" w:bidi="ar-SA"/>
              </w:rPr>
              <w:t>只追加日志登记器、文件清单</w:t>
            </w:r>
          </w:p>
        </w:tc>
        <w:tc>
          <w:tcPr>
            <w:tcW w:w="1882" w:type="dxa"/>
            <w:tcBorders/>
            <w:vAlign w:val="center"/>
          </w:tcPr>
          <w:p>
            <w:pPr>
              <w:pStyle w:val="Normal"/>
              <w:widowControl/>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6"/>
                <w:szCs w:val="22"/>
                <w:lang w:val="en-US" w:eastAsia="en-US" w:bidi="ar-SA"/>
              </w:rPr>
              <w:t>各模块已写盘文件</w:t>
            </w:r>
          </w:p>
        </w:tc>
        <w:tc>
          <w:tcPr>
            <w:tcW w:w="1882" w:type="dxa"/>
            <w:tcBorders/>
            <w:vAlign w:val="center"/>
          </w:tcPr>
          <w:p>
            <w:pPr>
              <w:pStyle w:val="Normal"/>
              <w:widowControl/>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6"/>
                <w:szCs w:val="22"/>
                <w:lang w:val="en-US" w:eastAsia="en-US" w:bidi="ar-SA"/>
              </w:rPr>
              <w:t>哈希、模式和时间范围清单</w:t>
            </w:r>
          </w:p>
        </w:tc>
        <w:tc>
          <w:tcPr>
            <w:tcW w:w="1882" w:type="dxa"/>
            <w:tcBorders/>
            <w:vAlign w:val="center"/>
          </w:tcPr>
          <w:p>
            <w:pPr>
              <w:pStyle w:val="Normal"/>
              <w:widowControl/>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6"/>
                <w:szCs w:val="22"/>
                <w:lang w:val="en-US" w:eastAsia="en-US" w:bidi="ar-SA"/>
              </w:rPr>
              <w:t>不改写原文件</w:t>
            </w:r>
          </w:p>
        </w:tc>
      </w:tr>
      <w:tr>
        <w:trPr>
          <w:cantSplit w:val="true"/>
        </w:trPr>
        <w:tc>
          <w:tcPr>
            <w:tcW w:w="1882" w:type="dxa"/>
            <w:tcBorders/>
            <w:shd w:fill="F5F7FA"/>
            <w:vAlign w:val="center"/>
          </w:tcPr>
          <w:p>
            <w:pPr>
              <w:pStyle w:val="Normal"/>
              <w:widowControl/>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6"/>
                <w:szCs w:val="22"/>
                <w:lang w:val="en-US" w:eastAsia="en-US" w:bidi="ar-SA"/>
              </w:rPr>
              <w:t>确定性评估层</w:t>
            </w:r>
          </w:p>
        </w:tc>
        <w:tc>
          <w:tcPr>
            <w:tcW w:w="1882" w:type="dxa"/>
            <w:tcBorders/>
            <w:shd w:fill="F5F7FA"/>
            <w:vAlign w:val="center"/>
          </w:tcPr>
          <w:p>
            <w:pPr>
              <w:pStyle w:val="Normal"/>
              <w:widowControl/>
              <w:spacing w:lineRule="auto" w:line="259" w:before="0" w:after="0"/>
              <w:ind w:hanging="0"/>
              <w:jc w:val="left"/>
              <w:rPr>
                <w:rFonts w:cs=""/>
                <w:kern w:val="0"/>
                <w:szCs w:val="22"/>
                <w:lang w:val="en-US" w:eastAsia="en-US" w:bidi="ar-SA"/>
              </w:rPr>
            </w:pPr>
            <w:r>
              <w:rPr>
                <w:rFonts w:eastAsia="宋体" w:cs=""/>
                <w:b w:val="false"/>
                <w:color w:val="202833"/>
                <w:kern w:val="0"/>
                <w:sz w:val="16"/>
                <w:szCs w:val="22"/>
                <w:lang w:val="en-US" w:eastAsia="en-US" w:bidi="ar-SA"/>
              </w:rPr>
              <w:t>D6</w:t>
            </w:r>
            <w:r>
              <w:rPr>
                <w:rFonts w:ascii="Times New Roman" w:hAnsi="Times New Roman" w:cs=""/>
                <w:b w:val="false"/>
                <w:color w:val="202833"/>
                <w:kern w:val="0"/>
                <w:sz w:val="16"/>
                <w:szCs w:val="22"/>
                <w:lang w:val="en-US" w:eastAsia="en-US" w:bidi="ar-SA"/>
              </w:rPr>
              <w:t>指标与图表生成</w:t>
            </w:r>
          </w:p>
        </w:tc>
        <w:tc>
          <w:tcPr>
            <w:tcW w:w="1882" w:type="dxa"/>
            <w:tcBorders/>
            <w:shd w:fill="F5F7FA"/>
            <w:vAlign w:val="center"/>
          </w:tcPr>
          <w:p>
            <w:pPr>
              <w:pStyle w:val="Normal"/>
              <w:widowControl/>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6"/>
                <w:szCs w:val="22"/>
                <w:lang w:val="en-US" w:eastAsia="en-US" w:bidi="ar-SA"/>
              </w:rPr>
              <w:t>合法日志</w:t>
            </w:r>
          </w:p>
        </w:tc>
        <w:tc>
          <w:tcPr>
            <w:tcW w:w="1882" w:type="dxa"/>
            <w:tcBorders/>
            <w:shd w:fill="F5F7FA"/>
            <w:vAlign w:val="center"/>
          </w:tcPr>
          <w:p>
            <w:pPr>
              <w:pStyle w:val="Normal"/>
              <w:widowControl/>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6"/>
                <w:szCs w:val="22"/>
                <w:lang w:val="en-US" w:eastAsia="en-US" w:bidi="ar-SA"/>
              </w:rPr>
              <w:t>指标、统计、图表、可用性</w:t>
            </w:r>
          </w:p>
        </w:tc>
        <w:tc>
          <w:tcPr>
            <w:tcW w:w="1882" w:type="dxa"/>
            <w:tcBorders/>
            <w:shd w:fill="F5F7FA"/>
            <w:vAlign w:val="center"/>
          </w:tcPr>
          <w:p>
            <w:pPr>
              <w:pStyle w:val="Normal"/>
              <w:widowControl/>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6"/>
                <w:szCs w:val="22"/>
                <w:lang w:val="en-US" w:eastAsia="en-US" w:bidi="ar-SA"/>
              </w:rPr>
              <w:t>正式数值唯一来源</w:t>
            </w:r>
          </w:p>
        </w:tc>
      </w:tr>
      <w:tr>
        <w:trPr>
          <w:cantSplit w:val="true"/>
        </w:trPr>
        <w:tc>
          <w:tcPr>
            <w:tcW w:w="1882" w:type="dxa"/>
            <w:tcBorders/>
            <w:vAlign w:val="center"/>
          </w:tcPr>
          <w:p>
            <w:pPr>
              <w:pStyle w:val="Normal"/>
              <w:widowControl/>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6"/>
                <w:szCs w:val="22"/>
                <w:lang w:val="en-US" w:eastAsia="en-US" w:bidi="ar-SA"/>
              </w:rPr>
              <w:t>证据包层</w:t>
            </w:r>
          </w:p>
        </w:tc>
        <w:tc>
          <w:tcPr>
            <w:tcW w:w="1882" w:type="dxa"/>
            <w:tcBorders/>
            <w:vAlign w:val="center"/>
          </w:tcPr>
          <w:p>
            <w:pPr>
              <w:pStyle w:val="Normal"/>
              <w:widowControl/>
              <w:spacing w:lineRule="auto" w:line="259" w:before="0" w:after="0"/>
              <w:ind w:hanging="0"/>
              <w:jc w:val="left"/>
              <w:rPr>
                <w:rFonts w:cs=""/>
                <w:kern w:val="0"/>
                <w:szCs w:val="22"/>
                <w:lang w:val="en-US" w:eastAsia="en-US" w:bidi="ar-SA"/>
              </w:rPr>
            </w:pPr>
            <w:r>
              <w:rPr>
                <w:rFonts w:eastAsia="宋体" w:cs=""/>
                <w:b w:val="false"/>
                <w:color w:val="202833"/>
                <w:kern w:val="0"/>
                <w:sz w:val="16"/>
                <w:szCs w:val="22"/>
                <w:lang w:val="en-US" w:eastAsia="en-US" w:bidi="ar-SA"/>
              </w:rPr>
              <w:t>Evidence Builder</w:t>
            </w:r>
          </w:p>
        </w:tc>
        <w:tc>
          <w:tcPr>
            <w:tcW w:w="1882" w:type="dxa"/>
            <w:tcBorders/>
            <w:vAlign w:val="center"/>
          </w:tcPr>
          <w:p>
            <w:pPr>
              <w:pStyle w:val="Normal"/>
              <w:widowControl/>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6"/>
                <w:szCs w:val="22"/>
                <w:lang w:val="en-US" w:eastAsia="en-US" w:bidi="ar-SA"/>
              </w:rPr>
              <w:t>日志清单、指标、图表、配置</w:t>
            </w:r>
          </w:p>
        </w:tc>
        <w:tc>
          <w:tcPr>
            <w:tcW w:w="1882" w:type="dxa"/>
            <w:tcBorders/>
            <w:vAlign w:val="center"/>
          </w:tcPr>
          <w:p>
            <w:pPr>
              <w:pStyle w:val="Normal"/>
              <w:widowControl/>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6"/>
                <w:szCs w:val="22"/>
                <w:lang w:val="en-US" w:eastAsia="en-US" w:bidi="ar-SA"/>
              </w:rPr>
              <w:t>版本化证据包</w:t>
            </w:r>
          </w:p>
        </w:tc>
        <w:tc>
          <w:tcPr>
            <w:tcW w:w="1882" w:type="dxa"/>
            <w:tcBorders/>
            <w:vAlign w:val="center"/>
          </w:tcPr>
          <w:p>
            <w:pPr>
              <w:pStyle w:val="Normal"/>
              <w:widowControl/>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6"/>
                <w:szCs w:val="22"/>
                <w:lang w:val="en-US" w:eastAsia="en-US" w:bidi="ar-SA"/>
              </w:rPr>
              <w:t>只做确定性抽取与压缩</w:t>
            </w:r>
          </w:p>
        </w:tc>
      </w:tr>
      <w:tr>
        <w:trPr>
          <w:cantSplit w:val="true"/>
        </w:trPr>
        <w:tc>
          <w:tcPr>
            <w:tcW w:w="1882" w:type="dxa"/>
            <w:tcBorders/>
            <w:shd w:fill="F5F7FA"/>
            <w:vAlign w:val="center"/>
          </w:tcPr>
          <w:p>
            <w:pPr>
              <w:pStyle w:val="Normal"/>
              <w:widowControl/>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6"/>
                <w:szCs w:val="22"/>
                <w:lang w:val="en-US" w:eastAsia="en-US" w:bidi="ar-SA"/>
              </w:rPr>
              <w:t>模型分析层</w:t>
            </w:r>
          </w:p>
        </w:tc>
        <w:tc>
          <w:tcPr>
            <w:tcW w:w="1882" w:type="dxa"/>
            <w:tcBorders/>
            <w:shd w:fill="F5F7FA"/>
            <w:vAlign w:val="center"/>
          </w:tcPr>
          <w:p>
            <w:pPr>
              <w:pStyle w:val="Normal"/>
              <w:widowControl/>
              <w:spacing w:lineRule="auto" w:line="259" w:before="0" w:after="0"/>
              <w:ind w:hanging="0"/>
              <w:jc w:val="left"/>
              <w:rPr>
                <w:rFonts w:cs=""/>
                <w:kern w:val="0"/>
                <w:szCs w:val="22"/>
                <w:lang w:val="en-US" w:eastAsia="en-US" w:bidi="ar-SA"/>
              </w:rPr>
            </w:pPr>
            <w:r>
              <w:rPr>
                <w:rFonts w:eastAsia="宋体" w:cs=""/>
                <w:b w:val="false"/>
                <w:color w:val="202833"/>
                <w:kern w:val="0"/>
                <w:sz w:val="16"/>
                <w:szCs w:val="22"/>
                <w:lang w:val="en-US" w:eastAsia="en-US" w:bidi="ar-SA"/>
              </w:rPr>
              <w:t>Local Model Adapter</w:t>
            </w:r>
          </w:p>
        </w:tc>
        <w:tc>
          <w:tcPr>
            <w:tcW w:w="1882" w:type="dxa"/>
            <w:tcBorders/>
            <w:shd w:fill="F5F7FA"/>
            <w:vAlign w:val="center"/>
          </w:tcPr>
          <w:p>
            <w:pPr>
              <w:pStyle w:val="Normal"/>
              <w:widowControl/>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6"/>
                <w:szCs w:val="22"/>
                <w:lang w:val="en-US" w:eastAsia="en-US" w:bidi="ar-SA"/>
              </w:rPr>
              <w:t>只读证据包、词表、模式</w:t>
            </w:r>
          </w:p>
        </w:tc>
        <w:tc>
          <w:tcPr>
            <w:tcW w:w="1882" w:type="dxa"/>
            <w:tcBorders/>
            <w:shd w:fill="F5F7FA"/>
            <w:vAlign w:val="center"/>
          </w:tcPr>
          <w:p>
            <w:pPr>
              <w:pStyle w:val="Normal"/>
              <w:widowControl/>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6"/>
                <w:szCs w:val="22"/>
                <w:lang w:val="en-US" w:eastAsia="en-US" w:bidi="ar-SA"/>
              </w:rPr>
              <w:t>结构化分析</w:t>
            </w:r>
            <w:r>
              <w:rPr>
                <w:rFonts w:eastAsia="宋体" w:cs=""/>
                <w:b w:val="false"/>
                <w:color w:val="202833"/>
                <w:kern w:val="0"/>
                <w:sz w:val="16"/>
                <w:szCs w:val="22"/>
                <w:lang w:val="en-US" w:eastAsia="en-US" w:bidi="ar-SA"/>
              </w:rPr>
              <w:t>JSON</w:t>
            </w:r>
          </w:p>
        </w:tc>
        <w:tc>
          <w:tcPr>
            <w:tcW w:w="1882" w:type="dxa"/>
            <w:tcBorders/>
            <w:shd w:fill="F5F7FA"/>
            <w:vAlign w:val="center"/>
          </w:tcPr>
          <w:p>
            <w:pPr>
              <w:pStyle w:val="Normal"/>
              <w:widowControl/>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6"/>
                <w:szCs w:val="22"/>
                <w:lang w:val="en-US" w:eastAsia="en-US" w:bidi="ar-SA"/>
              </w:rPr>
              <w:t>本地、无网络、无工具、无控制接口</w:t>
            </w:r>
          </w:p>
        </w:tc>
      </w:tr>
      <w:tr>
        <w:trPr>
          <w:cantSplit w:val="true"/>
        </w:trPr>
        <w:tc>
          <w:tcPr>
            <w:tcW w:w="1882" w:type="dxa"/>
            <w:tcBorders/>
            <w:vAlign w:val="center"/>
          </w:tcPr>
          <w:p>
            <w:pPr>
              <w:pStyle w:val="Normal"/>
              <w:widowControl/>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6"/>
                <w:szCs w:val="22"/>
                <w:lang w:val="en-US" w:eastAsia="en-US" w:bidi="ar-SA"/>
              </w:rPr>
              <w:t>校验与报告层</w:t>
            </w:r>
          </w:p>
        </w:tc>
        <w:tc>
          <w:tcPr>
            <w:tcW w:w="1882" w:type="dxa"/>
            <w:tcBorders/>
            <w:vAlign w:val="center"/>
          </w:tcPr>
          <w:p>
            <w:pPr>
              <w:pStyle w:val="Normal"/>
              <w:widowControl/>
              <w:spacing w:lineRule="auto" w:line="259" w:before="0" w:after="0"/>
              <w:ind w:hanging="0"/>
              <w:jc w:val="left"/>
              <w:rPr>
                <w:rFonts w:cs=""/>
                <w:kern w:val="0"/>
                <w:szCs w:val="22"/>
                <w:lang w:val="en-US" w:eastAsia="en-US" w:bidi="ar-SA"/>
              </w:rPr>
            </w:pPr>
            <w:r>
              <w:rPr>
                <w:rFonts w:eastAsia="宋体" w:cs=""/>
                <w:b w:val="false"/>
                <w:color w:val="202833"/>
                <w:kern w:val="0"/>
                <w:sz w:val="16"/>
                <w:szCs w:val="22"/>
                <w:lang w:val="en-US" w:eastAsia="en-US" w:bidi="ar-SA"/>
              </w:rPr>
              <w:t>Analysis Verifier</w:t>
            </w:r>
            <w:r>
              <w:rPr>
                <w:rFonts w:ascii="Times New Roman" w:hAnsi="Times New Roman" w:cs=""/>
                <w:b w:val="false"/>
                <w:color w:val="202833"/>
                <w:kern w:val="0"/>
                <w:sz w:val="16"/>
                <w:szCs w:val="22"/>
                <w:lang w:val="en-US" w:eastAsia="en-US" w:bidi="ar-SA"/>
              </w:rPr>
              <w:t>、</w:t>
            </w:r>
            <w:r>
              <w:rPr>
                <w:rFonts w:eastAsia="宋体" w:cs=""/>
                <w:b w:val="false"/>
                <w:color w:val="202833"/>
                <w:kern w:val="0"/>
                <w:sz w:val="16"/>
                <w:szCs w:val="22"/>
                <w:lang w:val="en-US" w:eastAsia="en-US" w:bidi="ar-SA"/>
              </w:rPr>
              <w:t>Report Composer</w:t>
            </w:r>
          </w:p>
        </w:tc>
        <w:tc>
          <w:tcPr>
            <w:tcW w:w="1882" w:type="dxa"/>
            <w:tcBorders/>
            <w:vAlign w:val="center"/>
          </w:tcPr>
          <w:p>
            <w:pPr>
              <w:pStyle w:val="Normal"/>
              <w:widowControl/>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6"/>
                <w:szCs w:val="22"/>
                <w:lang w:val="en-US" w:eastAsia="en-US" w:bidi="ar-SA"/>
              </w:rPr>
              <w:t>结构化分析和锁定指标</w:t>
            </w:r>
          </w:p>
        </w:tc>
        <w:tc>
          <w:tcPr>
            <w:tcW w:w="1882" w:type="dxa"/>
            <w:tcBorders/>
            <w:vAlign w:val="center"/>
          </w:tcPr>
          <w:p>
            <w:pPr>
              <w:pStyle w:val="Normal"/>
              <w:widowControl/>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6"/>
                <w:szCs w:val="22"/>
                <w:lang w:val="en-US" w:eastAsia="en-US" w:bidi="ar-SA"/>
              </w:rPr>
              <w:t>报告、错误单、发布清单</w:t>
            </w:r>
          </w:p>
        </w:tc>
        <w:tc>
          <w:tcPr>
            <w:tcW w:w="1882" w:type="dxa"/>
            <w:tcBorders/>
            <w:vAlign w:val="center"/>
          </w:tcPr>
          <w:p>
            <w:pPr>
              <w:pStyle w:val="Normal"/>
              <w:widowControl/>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6"/>
                <w:szCs w:val="22"/>
                <w:lang w:val="en-US" w:eastAsia="en-US" w:bidi="ar-SA"/>
              </w:rPr>
              <w:t>校验不通过即失败关闭</w:t>
            </w:r>
          </w:p>
        </w:tc>
      </w:tr>
      <w:tr>
        <w:trPr>
          <w:cantSplit w:val="true"/>
        </w:trPr>
        <w:tc>
          <w:tcPr>
            <w:tcW w:w="1882" w:type="dxa"/>
            <w:tcBorders/>
            <w:shd w:fill="F5F7FA"/>
            <w:vAlign w:val="center"/>
          </w:tcPr>
          <w:p>
            <w:pPr>
              <w:pStyle w:val="Normal"/>
              <w:widowControl/>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6"/>
                <w:szCs w:val="22"/>
                <w:lang w:val="en-US" w:eastAsia="en-US" w:bidi="ar-SA"/>
              </w:rPr>
              <w:t>人工治理层</w:t>
            </w:r>
          </w:p>
        </w:tc>
        <w:tc>
          <w:tcPr>
            <w:tcW w:w="1882" w:type="dxa"/>
            <w:tcBorders/>
            <w:shd w:fill="F5F7FA"/>
            <w:vAlign w:val="center"/>
          </w:tcPr>
          <w:p>
            <w:pPr>
              <w:pStyle w:val="Normal"/>
              <w:widowControl/>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6"/>
                <w:szCs w:val="22"/>
                <w:lang w:val="en-US" w:eastAsia="en-US" w:bidi="ar-SA"/>
              </w:rPr>
              <w:t>复核、签发、版本审批</w:t>
            </w:r>
          </w:p>
        </w:tc>
        <w:tc>
          <w:tcPr>
            <w:tcW w:w="1882" w:type="dxa"/>
            <w:tcBorders/>
            <w:shd w:fill="F5F7FA"/>
            <w:vAlign w:val="center"/>
          </w:tcPr>
          <w:p>
            <w:pPr>
              <w:pStyle w:val="Normal"/>
              <w:widowControl/>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6"/>
                <w:szCs w:val="22"/>
                <w:lang w:val="en-US" w:eastAsia="en-US" w:bidi="ar-SA"/>
              </w:rPr>
              <w:t>报告与证据索引</w:t>
            </w:r>
          </w:p>
        </w:tc>
        <w:tc>
          <w:tcPr>
            <w:tcW w:w="1882" w:type="dxa"/>
            <w:tcBorders/>
            <w:shd w:fill="F5F7FA"/>
            <w:vAlign w:val="center"/>
          </w:tcPr>
          <w:p>
            <w:pPr>
              <w:pStyle w:val="Normal"/>
              <w:widowControl/>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6"/>
                <w:szCs w:val="22"/>
                <w:lang w:val="en-US" w:eastAsia="en-US" w:bidi="ar-SA"/>
              </w:rPr>
              <w:t>签发状态、标签、回归结论</w:t>
            </w:r>
          </w:p>
        </w:tc>
        <w:tc>
          <w:tcPr>
            <w:tcW w:w="1882" w:type="dxa"/>
            <w:tcBorders/>
            <w:shd w:fill="F5F7FA"/>
            <w:vAlign w:val="center"/>
          </w:tcPr>
          <w:p>
            <w:pPr>
              <w:pStyle w:val="Normal"/>
              <w:widowControl/>
              <w:spacing w:lineRule="auto" w:line="259" w:before="0" w:after="0"/>
              <w:ind w:hanging="0"/>
              <w:jc w:val="left"/>
              <w:rPr>
                <w:rFonts w:cs=""/>
                <w:kern w:val="0"/>
                <w:szCs w:val="22"/>
                <w:lang w:val="en-US" w:eastAsia="en-US" w:bidi="ar-SA"/>
              </w:rPr>
            </w:pPr>
            <w:r>
              <w:rPr>
                <w:rFonts w:ascii="Times New Roman" w:hAnsi="Times New Roman" w:cs=""/>
                <w:b w:val="false"/>
                <w:color w:val="202833"/>
                <w:kern w:val="0"/>
                <w:sz w:val="16"/>
                <w:szCs w:val="22"/>
                <w:lang w:val="en-US" w:eastAsia="en-US" w:bidi="ar-SA"/>
              </w:rPr>
              <w:t>人对结果发布负责</w:t>
            </w:r>
          </w:p>
        </w:tc>
      </w:tr>
    </w:tbl>
    <w:p>
      <w:pPr>
        <w:pStyle w:val="Normal"/>
        <w:spacing w:before="0" w:after="20"/>
        <w:rPr/>
      </w:pPr>
      <w:r>
        <w:rPr/>
      </w:r>
    </w:p>
    <w:p>
      <w:pPr>
        <w:pStyle w:val="Heading2"/>
        <w:ind w:hanging="0"/>
        <w:rPr/>
      </w:pPr>
      <w:r>
        <w:rPr>
          <w:rFonts w:eastAsia="宋体" w:ascii="Times New Roman" w:hAnsi="Times New Roman"/>
          <w:b/>
          <w:color w:val="176B73"/>
          <w:sz w:val="28"/>
        </w:rPr>
        <w:t xml:space="preserve">4.2 </w:t>
      </w:r>
      <w:r>
        <w:rPr>
          <w:rFonts w:ascii="Times New Roman" w:hAnsi="Times New Roman" w:eastAsia="宋体"/>
          <w:b/>
          <w:color w:val="176B73"/>
          <w:sz w:val="28"/>
        </w:rPr>
        <w:t>技术难点和解决途径</w:t>
      </w:r>
    </w:p>
    <w:p>
      <w:pPr>
        <w:pStyle w:val="Heading3"/>
        <w:ind w:hanging="0"/>
        <w:rPr/>
      </w:pPr>
      <w:r>
        <w:rPr>
          <w:rFonts w:eastAsia="宋体" w:ascii="Times New Roman" w:hAnsi="Times New Roman"/>
          <w:b/>
          <w:color w:val="202833"/>
          <w:sz w:val="24"/>
        </w:rPr>
        <w:t xml:space="preserve">4.2.1 </w:t>
      </w:r>
      <w:r>
        <w:rPr>
          <w:rFonts w:ascii="Times New Roman" w:hAnsi="Times New Roman" w:eastAsia="宋体"/>
          <w:b/>
          <w:color w:val="202833"/>
          <w:sz w:val="24"/>
        </w:rPr>
        <w:t>异构日志对齐与证据语义一致性</w:t>
      </w:r>
    </w:p>
    <w:p>
      <w:pPr>
        <w:pStyle w:val="Normal"/>
        <w:widowControl/>
        <w:rPr/>
      </w:pPr>
      <w:r>
        <w:rPr>
          <w:rFonts w:ascii="Times New Roman" w:hAnsi="Times New Roman"/>
          <w:b w:val="false"/>
          <w:color w:val="202833"/>
          <w:sz w:val="22"/>
        </w:rPr>
        <w:t>首组难点同时涉及多源日志时间和模式不一致、显式零与证据缺失混淆、正式数字被模型改写，以及引用存在但语义不支持。形成原因是各模块采样频率、到达延迟、字段版本和</w:t>
      </w:r>
      <w:r>
        <w:rPr>
          <w:rFonts w:eastAsia="宋体"/>
          <w:b w:val="false"/>
          <w:color w:val="202833"/>
          <w:sz w:val="22"/>
        </w:rPr>
        <w:t>episode</w:t>
      </w:r>
      <w:r>
        <w:rPr>
          <w:rFonts w:ascii="Times New Roman" w:hAnsi="Times New Roman"/>
          <w:b w:val="false"/>
          <w:color w:val="202833"/>
          <w:sz w:val="22"/>
        </w:rPr>
        <w:t>边界不同，自然语言又容易把</w:t>
      </w:r>
      <w:r>
        <w:rPr>
          <w:rFonts w:eastAsia="宋体" w:ascii="Consolas" w:hAnsi="Consolas"/>
          <w:color w:val="176B73"/>
          <w:sz w:val="20"/>
        </w:rPr>
        <w:t>unavailable</w:t>
      </w:r>
      <w:r>
        <w:rPr>
          <w:rFonts w:ascii="Times New Roman" w:hAnsi="Times New Roman"/>
          <w:b w:val="false"/>
          <w:color w:val="202833"/>
          <w:sz w:val="22"/>
        </w:rPr>
        <w:t>或缺证据解释为</w:t>
      </w:r>
      <w:r>
        <w:rPr>
          <w:rFonts w:eastAsia="宋体"/>
          <w:b w:val="false"/>
          <w:color w:val="202833"/>
          <w:sz w:val="22"/>
        </w:rPr>
        <w:t>0</w:t>
      </w:r>
      <w:r>
        <w:rPr>
          <w:rFonts w:ascii="Times New Roman" w:hAnsi="Times New Roman"/>
          <w:b w:val="false"/>
          <w:color w:val="202833"/>
          <w:sz w:val="22"/>
        </w:rPr>
        <w:t>或“未发生”；即使引用编号有效，也可能在对象、时间范围和可用性上无法支持结论。生成模型还会补全、换算或重述看似合理的数值，因此不能承担正式指标计算或证据范围判断。</w:t>
      </w:r>
    </w:p>
    <w:p>
      <w:pPr>
        <w:pStyle w:val="Normal"/>
        <w:widowControl/>
        <w:rPr/>
      </w:pPr>
      <w:r>
        <w:rPr>
          <w:rFonts w:ascii="Times New Roman" w:hAnsi="Times New Roman"/>
          <w:b w:val="false"/>
          <w:color w:val="202833"/>
          <w:sz w:val="22"/>
        </w:rPr>
        <w:t>解决途径是在接入阶段同时保留</w:t>
      </w:r>
      <w:r>
        <w:rPr>
          <w:rFonts w:eastAsia="宋体" w:ascii="Consolas" w:hAnsi="Consolas"/>
          <w:color w:val="176B73"/>
          <w:sz w:val="20"/>
        </w:rPr>
        <w:t>measurement_timestamp</w:t>
      </w:r>
      <w:r>
        <w:rPr>
          <w:rFonts w:ascii="Times New Roman" w:hAnsi="Times New Roman"/>
          <w:b w:val="false"/>
          <w:color w:val="202833"/>
          <w:sz w:val="22"/>
        </w:rPr>
        <w:t>与</w:t>
      </w:r>
      <w:r>
        <w:rPr>
          <w:rFonts w:eastAsia="宋体" w:ascii="Consolas" w:hAnsi="Consolas"/>
          <w:color w:val="176B73"/>
          <w:sz w:val="20"/>
        </w:rPr>
        <w:t>arrival_timestamp</w:t>
      </w:r>
      <w:r>
        <w:rPr>
          <w:rFonts w:ascii="Times New Roman" w:hAnsi="Times New Roman"/>
          <w:b w:val="false"/>
          <w:color w:val="202833"/>
          <w:sz w:val="22"/>
        </w:rPr>
        <w:t>，冻结</w:t>
      </w:r>
      <w:r>
        <w:rPr>
          <w:rFonts w:eastAsia="宋体"/>
          <w:b w:val="false"/>
          <w:color w:val="202833"/>
          <w:sz w:val="22"/>
        </w:rPr>
        <w:t>episode</w:t>
      </w:r>
      <w:r>
        <w:rPr>
          <w:rFonts w:ascii="Times New Roman" w:hAnsi="Times New Roman"/>
          <w:b w:val="false"/>
          <w:color w:val="202833"/>
          <w:sz w:val="22"/>
        </w:rPr>
        <w:t>清单、模式版本和时间对齐规则，实际资源与目标规模使用显式字段而不从场景名称推断。指标目录记录状态枚举、分母、缺失原因、公式和显示版本，模型只引用状态与指标标识符；正式数字由程序插值并执行反向扫描和源值比对。每条原子结论绑定</w:t>
      </w:r>
      <w:r>
        <w:rPr>
          <w:rFonts w:eastAsia="宋体"/>
          <w:b w:val="false"/>
          <w:color w:val="202833"/>
          <w:sz w:val="22"/>
        </w:rPr>
        <w:t>episode</w:t>
      </w:r>
      <w:r>
        <w:rPr>
          <w:rFonts w:ascii="Times New Roman" w:hAnsi="Times New Roman"/>
          <w:b w:val="false"/>
          <w:color w:val="202833"/>
          <w:sz w:val="22"/>
        </w:rPr>
        <w:t>、对象、时间窗、证据版本和可用性，再通过范围校验、双人金标及证据支持精度评估判断语义是否成立。</w:t>
      </w:r>
    </w:p>
    <w:p>
      <w:pPr>
        <w:pStyle w:val="Normal"/>
        <w:widowControl/>
        <w:rPr/>
      </w:pPr>
      <w:r>
        <w:rPr>
          <w:rFonts w:ascii="Times New Roman" w:hAnsi="Times New Roman"/>
          <w:b w:val="false"/>
          <w:color w:val="202833"/>
          <w:sz w:val="22"/>
        </w:rPr>
        <w:t>验证采用时间倒序、跨</w:t>
      </w:r>
      <w:r>
        <w:rPr>
          <w:rFonts w:eastAsia="宋体"/>
          <w:b w:val="false"/>
          <w:color w:val="202833"/>
          <w:sz w:val="22"/>
        </w:rPr>
        <w:t>episode</w:t>
      </w:r>
      <w:r>
        <w:rPr>
          <w:rFonts w:ascii="Times New Roman" w:hAnsi="Times New Roman"/>
          <w:b w:val="false"/>
          <w:color w:val="202833"/>
          <w:sz w:val="22"/>
        </w:rPr>
        <w:t>、缺时间、版本冲突、显式零、不可用、缺证据和来源冲突的组合变异，并使用</w:t>
      </w:r>
      <w:r>
        <w:rPr>
          <w:rFonts w:eastAsia="宋体"/>
          <w:b w:val="false"/>
          <w:color w:val="202833"/>
          <w:sz w:val="22"/>
        </w:rPr>
        <w:t>200</w:t>
      </w:r>
      <w:r>
        <w:rPr>
          <w:rFonts w:ascii="Times New Roman" w:hAnsi="Times New Roman"/>
          <w:b w:val="false"/>
          <w:color w:val="202833"/>
          <w:sz w:val="22"/>
        </w:rPr>
        <w:t>个数字污染样本和</w:t>
      </w:r>
      <w:r>
        <w:rPr>
          <w:rFonts w:eastAsia="宋体"/>
          <w:b w:val="false"/>
          <w:color w:val="202833"/>
          <w:sz w:val="22"/>
        </w:rPr>
        <w:t>1000</w:t>
      </w:r>
      <w:r>
        <w:rPr>
          <w:rFonts w:ascii="Times New Roman" w:hAnsi="Times New Roman"/>
          <w:b w:val="false"/>
          <w:color w:val="202833"/>
          <w:sz w:val="22"/>
        </w:rPr>
        <w:t>个占位符检查数值门；引用语义按</w:t>
      </w:r>
      <w:r>
        <w:rPr>
          <w:rFonts w:eastAsia="宋体"/>
          <w:b w:val="false"/>
          <w:color w:val="202833"/>
          <w:sz w:val="22"/>
        </w:rPr>
        <w:t>I-07</w:t>
      </w:r>
      <w:r>
        <w:rPr>
          <w:rFonts w:ascii="Times New Roman" w:hAnsi="Times New Roman"/>
          <w:b w:val="false"/>
          <w:color w:val="202833"/>
          <w:sz w:val="22"/>
        </w:rPr>
        <w:t>和</w:t>
      </w:r>
      <w:r>
        <w:rPr>
          <w:rFonts w:eastAsia="宋体"/>
          <w:b w:val="false"/>
          <w:color w:val="202833"/>
          <w:sz w:val="22"/>
        </w:rPr>
        <w:t>I-10</w:t>
      </w:r>
      <w:r>
        <w:rPr>
          <w:rFonts w:ascii="Times New Roman" w:hAnsi="Times New Roman"/>
          <w:b w:val="false"/>
          <w:color w:val="202833"/>
          <w:sz w:val="22"/>
        </w:rPr>
        <w:t>在独立测试集上分层统计。任一时间、模式或血缘异常均使证据包标为不可用且不调用模型；数值不一致立即阻断发布并转为确定性模板；语义支持不足的内容进入待复核，关键结论从待签发报告中删除。回退过程中保留原状态和缺证据清单，绝不以零补齐，也不修改原始日志或</w:t>
      </w:r>
      <w:r>
        <w:rPr>
          <w:rFonts w:eastAsia="宋体"/>
          <w:b w:val="false"/>
          <w:color w:val="202833"/>
          <w:sz w:val="22"/>
        </w:rPr>
        <w:t>D6</w:t>
      </w:r>
      <w:r>
        <w:rPr>
          <w:rFonts w:ascii="Times New Roman" w:hAnsi="Times New Roman"/>
          <w:b w:val="false"/>
          <w:color w:val="202833"/>
          <w:sz w:val="22"/>
        </w:rPr>
        <w:t>指标。</w:t>
      </w:r>
    </w:p>
    <w:p>
      <w:pPr>
        <w:pStyle w:val="Heading3"/>
        <w:ind w:hanging="0"/>
        <w:rPr/>
      </w:pPr>
      <w:r>
        <w:rPr>
          <w:rFonts w:eastAsia="宋体" w:ascii="Times New Roman" w:hAnsi="Times New Roman"/>
          <w:b/>
          <w:color w:val="202833"/>
          <w:sz w:val="24"/>
        </w:rPr>
        <w:t xml:space="preserve">4.2.2 </w:t>
      </w:r>
      <w:r>
        <w:rPr>
          <w:rFonts w:ascii="Times New Roman" w:hAnsi="Times New Roman" w:eastAsia="宋体"/>
          <w:b/>
          <w:color w:val="202833"/>
          <w:sz w:val="24"/>
        </w:rPr>
        <w:t>模型幻觉、因果越权与类别漂移</w:t>
      </w:r>
    </w:p>
    <w:p>
      <w:pPr>
        <w:pStyle w:val="Normal"/>
        <w:widowControl/>
        <w:rPr/>
      </w:pPr>
      <w:r>
        <w:rPr>
          <w:rFonts w:ascii="Times New Roman" w:hAnsi="Times New Roman"/>
          <w:b w:val="false"/>
          <w:color w:val="202833"/>
          <w:sz w:val="22"/>
        </w:rPr>
        <w:t>第二组难点是模型可能把跨模块事件的时间相邻写成确定原因，也可能在长尾场景中把未知故障强行归入已有类别。形成原因在于时间相关不构成因果证明，不同故障可产生相近序列；同时固定分类集无法预先覆盖所有二级原因，少数类样本容易被高频类别掩盖，模型、提示词和系统版本变化还会改变类别分布。若只依赖流畅度或模型自检，无法识别无证据归因、因果措辞越权和类别漂移。</w:t>
      </w:r>
    </w:p>
    <w:p>
      <w:pPr>
        <w:pStyle w:val="Normal"/>
        <w:widowControl/>
        <w:rPr/>
      </w:pPr>
      <w:r>
        <w:rPr>
          <w:rFonts w:ascii="Times New Roman" w:hAnsi="Times New Roman"/>
          <w:b w:val="false"/>
          <w:color w:val="202833"/>
          <w:sz w:val="22"/>
        </w:rPr>
        <w:t>解决途径是由规则冻结七类一级词表、事件码和硬门限，大模型仅辅助二级关系，二级词表允许扩展并始终保留未知类。所有归因使用“已确认、疑似、证据不足、冲突”四态和受控措辞，“已确认”必须存在冻结规则判据或人工结论；金标采用双人标注、分歧仲裁和</w:t>
      </w:r>
      <w:r>
        <w:rPr>
          <w:rFonts w:eastAsia="宋体"/>
          <w:b w:val="false"/>
          <w:color w:val="202833"/>
          <w:sz w:val="22"/>
        </w:rPr>
        <w:t>episode</w:t>
      </w:r>
      <w:r>
        <w:rPr>
          <w:rFonts w:ascii="Times New Roman" w:hAnsi="Times New Roman"/>
          <w:b w:val="false"/>
          <w:color w:val="202833"/>
          <w:sz w:val="22"/>
        </w:rPr>
        <w:t>隔离，并对词表、模型及提示版本实施定期漂移评审。模型输出同时携带置信度、证据编号和复核状态，不能仅凭目标交叉、单项延迟、模式切换或证据缺失断言身份交换、网络故障、物理拦截成功或事件未发生。</w:t>
      </w:r>
    </w:p>
    <w:p>
      <w:pPr>
        <w:pStyle w:val="Normal"/>
        <w:widowControl/>
        <w:rPr/>
      </w:pPr>
      <w:r>
        <w:rPr>
          <w:rFonts w:ascii="Times New Roman" w:hAnsi="Times New Roman"/>
          <w:b w:val="false"/>
          <w:color w:val="202833"/>
          <w:sz w:val="22"/>
        </w:rPr>
        <w:t>验证使用</w:t>
      </w:r>
      <w:r>
        <w:rPr>
          <w:rFonts w:eastAsia="宋体"/>
          <w:b w:val="false"/>
          <w:color w:val="202833"/>
          <w:sz w:val="22"/>
        </w:rPr>
        <w:t>200</w:t>
      </w:r>
      <w:r>
        <w:rPr>
          <w:rFonts w:ascii="Times New Roman" w:hAnsi="Times New Roman"/>
          <w:b w:val="false"/>
          <w:color w:val="202833"/>
          <w:sz w:val="22"/>
        </w:rPr>
        <w:t>个相关但不能证明因果的对抗样本进行人工审查，并在独立集上统计宏平均</w:t>
      </w:r>
      <w:r>
        <w:rPr>
          <w:rFonts w:eastAsia="宋体"/>
          <w:b w:val="false"/>
          <w:color w:val="202833"/>
          <w:sz w:val="22"/>
        </w:rPr>
        <w:t>F1</w:t>
      </w:r>
      <w:r>
        <w:rPr>
          <w:rFonts w:ascii="Times New Roman" w:hAnsi="Times New Roman"/>
          <w:b w:val="false"/>
          <w:color w:val="202833"/>
          <w:sz w:val="22"/>
        </w:rPr>
        <w:t>、每类召回率、混淆矩阵、未知类比例、因果越权数和版本间漂移；少数类指标单列，不以总体准确率掩盖。出现证据不足时将结论降为“疑似”或“证据不足”，证据冲突时保留冲突状态；低置信、未知组合或分类门限未通过时输出“未分类”并转人工复核，不得强行归类。若升级后错误率、少数类召回或因果越权超过准入边界，则停用候选版本并回退到上一个通过版本，硬事件规则和确定性报告继续运行。</w:t>
      </w:r>
    </w:p>
    <w:p>
      <w:pPr>
        <w:pStyle w:val="Heading3"/>
        <w:ind w:hanging="0"/>
        <w:rPr/>
      </w:pPr>
      <w:r>
        <w:rPr>
          <w:rFonts w:eastAsia="宋体" w:ascii="Times New Roman" w:hAnsi="Times New Roman"/>
          <w:b/>
          <w:color w:val="202833"/>
          <w:sz w:val="24"/>
        </w:rPr>
        <w:t xml:space="preserve">4.2.3 </w:t>
      </w:r>
      <w:r>
        <w:rPr>
          <w:rFonts w:ascii="Times New Roman" w:hAnsi="Times New Roman" w:eastAsia="宋体"/>
          <w:b/>
          <w:color w:val="202833"/>
          <w:sz w:val="24"/>
        </w:rPr>
        <w:t>本地资源、安全回归与责任边界</w:t>
      </w:r>
    </w:p>
    <w:p>
      <w:pPr>
        <w:pStyle w:val="Normal"/>
        <w:widowControl/>
        <w:rPr/>
      </w:pPr>
      <w:r>
        <w:rPr>
          <w:rFonts w:ascii="Times New Roman" w:hAnsi="Times New Roman"/>
          <w:b w:val="false"/>
          <w:color w:val="202833"/>
          <w:sz w:val="22"/>
        </w:rPr>
        <w:t>第三组难点覆盖隔离工作站上下文、显存、能耗和时延受限，日志中指令样文本造成提示注入，权重、量化、推理框架、提示词或词表升级造成结果漂移，以及场景建议和报告被误作在线命令或正式结论。形成原因是原始日志体量远大于本地模型上下文，数据文本与模型指令在形式上可能相似；建议参数又接近试验配置，流畅、完整的报告形式也容易掩盖待验证状态。若目录、接口、版本和签发责任未隔离，资源故障或越权输出可能跨过评估辅助边界。</w:t>
      </w:r>
    </w:p>
    <w:p>
      <w:pPr>
        <w:pStyle w:val="Normal"/>
        <w:widowControl/>
        <w:rPr/>
      </w:pPr>
      <w:r>
        <w:rPr>
          <w:rFonts w:ascii="Times New Roman" w:hAnsi="Times New Roman"/>
          <w:b w:val="false"/>
          <w:color w:val="202833"/>
          <w:sz w:val="22"/>
        </w:rPr>
        <w:t>解决途径是采用确定性压缩、分层检索、上下文预算、量化对比和批处理，只向模型提供支持当前原子结论所需的完整证据范围；日志作为数据字段转义，系统策略与证据分离，输出限定为</w:t>
      </w:r>
      <w:r>
        <w:rPr>
          <w:rFonts w:eastAsia="宋体"/>
          <w:b w:val="false"/>
          <w:color w:val="202833"/>
          <w:sz w:val="22"/>
        </w:rPr>
        <w:t>JSON</w:t>
      </w:r>
      <w:r>
        <w:rPr>
          <w:rFonts w:ascii="Times New Roman" w:hAnsi="Times New Roman"/>
          <w:b w:val="false"/>
          <w:color w:val="202833"/>
          <w:sz w:val="22"/>
        </w:rPr>
        <w:t>白名单，并关闭网络、工具执行、任意文件访问和控制接口。模型及关联资产采用候选、当前、退役三态和完整版本清单。场景建议使用独立模式、禁止字段、离线目录与人工批准，只生成待审候选；报告保留辅助生成标识、状态标签、证据索引和人工签发记录，未经签发不得作为正式交付。</w:t>
      </w:r>
    </w:p>
    <w:p>
      <w:pPr>
        <w:pStyle w:val="Normal"/>
        <w:widowControl/>
        <w:rPr/>
      </w:pPr>
      <w:r>
        <w:rPr>
          <w:rFonts w:ascii="Times New Roman" w:hAnsi="Times New Roman"/>
          <w:b w:val="false"/>
          <w:color w:val="202833"/>
          <w:sz w:val="22"/>
        </w:rPr>
        <w:t>验证在冻结本机环境按</w:t>
      </w:r>
      <w:r>
        <w:rPr>
          <w:rFonts w:eastAsia="宋体"/>
          <w:b w:val="false"/>
          <w:color w:val="202833"/>
          <w:sz w:val="22"/>
        </w:rPr>
        <w:t>I-12</w:t>
      </w:r>
      <w:r>
        <w:rPr>
          <w:rFonts w:ascii="Times New Roman" w:hAnsi="Times New Roman"/>
          <w:b w:val="false"/>
          <w:color w:val="202833"/>
          <w:sz w:val="22"/>
        </w:rPr>
        <w:t>和</w:t>
      </w:r>
      <w:r>
        <w:rPr>
          <w:rFonts w:eastAsia="宋体"/>
          <w:b w:val="false"/>
          <w:color w:val="202833"/>
          <w:sz w:val="22"/>
        </w:rPr>
        <w:t>I-13</w:t>
      </w:r>
      <w:r>
        <w:rPr>
          <w:rFonts w:ascii="Times New Roman" w:hAnsi="Times New Roman"/>
          <w:b w:val="false"/>
          <w:color w:val="202833"/>
          <w:sz w:val="22"/>
        </w:rPr>
        <w:t>实测峰值显存、时延、吞吐和能耗，执行五类升级演练、固定输入重复性测试，并使用</w:t>
      </w:r>
      <w:r>
        <w:rPr>
          <w:rFonts w:eastAsia="宋体"/>
          <w:b w:val="false"/>
          <w:color w:val="202833"/>
          <w:sz w:val="22"/>
        </w:rPr>
        <w:t>100</w:t>
      </w:r>
      <w:r>
        <w:rPr>
          <w:rFonts w:ascii="Times New Roman" w:hAnsi="Times New Roman"/>
          <w:b w:val="false"/>
          <w:color w:val="202833"/>
          <w:sz w:val="22"/>
        </w:rPr>
        <w:t>个越权提示及接口渗透测试检查外连、工具和禁止字段。按</w:t>
      </w:r>
      <w:r>
        <w:rPr>
          <w:rFonts w:eastAsia="宋体"/>
          <w:b w:val="false"/>
          <w:color w:val="202833"/>
          <w:sz w:val="22"/>
        </w:rPr>
        <w:t>I-02</w:t>
      </w:r>
      <w:r>
        <w:rPr>
          <w:rFonts w:ascii="Times New Roman" w:hAnsi="Times New Roman"/>
          <w:b w:val="false"/>
          <w:color w:val="202833"/>
          <w:sz w:val="22"/>
        </w:rPr>
        <w:t>和</w:t>
      </w:r>
      <w:r>
        <w:rPr>
          <w:rFonts w:eastAsia="宋体"/>
          <w:b w:val="false"/>
          <w:color w:val="202833"/>
          <w:sz w:val="22"/>
        </w:rPr>
        <w:t>I-16</w:t>
      </w:r>
      <w:r>
        <w:rPr>
          <w:rFonts w:ascii="Times New Roman" w:hAnsi="Times New Roman"/>
          <w:b w:val="false"/>
          <w:color w:val="202833"/>
          <w:sz w:val="22"/>
        </w:rPr>
        <w:t>验证控制接口不可达、禁止字段输出为</w:t>
      </w:r>
      <w:r>
        <w:rPr>
          <w:rFonts w:eastAsia="宋体"/>
          <w:b w:val="false"/>
          <w:color w:val="202833"/>
          <w:sz w:val="22"/>
        </w:rPr>
        <w:t>0</w:t>
      </w:r>
      <w:r>
        <w:rPr>
          <w:rFonts w:ascii="Times New Roman" w:hAnsi="Times New Roman"/>
          <w:b w:val="false"/>
          <w:color w:val="202833"/>
          <w:sz w:val="22"/>
        </w:rPr>
        <w:t>、非法建议全部拦截；对内部报告和模拟外发报告抽检生成标识与签发状态。资源不足时只能缩小任务或转模板报告，不得截断关键证据后继续生成；注入或越权命中时丢弃输出、记录事件并禁止发布；升级未过准入时回退到上一个通过版本或纯确定性模式；越界建议不生成可执行命令，未签发报告仅保留草稿状态，</w:t>
      </w:r>
      <w:r>
        <w:rPr>
          <w:rFonts w:eastAsia="宋体"/>
          <w:b w:val="false"/>
          <w:color w:val="202833"/>
          <w:sz w:val="22"/>
        </w:rPr>
        <w:t>D6</w:t>
      </w:r>
      <w:r>
        <w:rPr>
          <w:rFonts w:ascii="Times New Roman" w:hAnsi="Times New Roman"/>
          <w:b w:val="false"/>
          <w:color w:val="202833"/>
          <w:sz w:val="22"/>
        </w:rPr>
        <w:t>确定性评估始终可独立完成。</w:t>
      </w:r>
    </w:p>
    <w:p>
      <w:pPr>
        <w:pStyle w:val="Heading2"/>
        <w:ind w:hanging="0"/>
        <w:rPr/>
      </w:pPr>
      <w:r>
        <w:rPr>
          <w:rFonts w:eastAsia="宋体" w:ascii="Times New Roman" w:hAnsi="Times New Roman"/>
          <w:b/>
          <w:color w:val="176B73"/>
          <w:sz w:val="28"/>
        </w:rPr>
        <w:t xml:space="preserve">4.3 </w:t>
      </w:r>
      <w:r>
        <w:rPr>
          <w:rFonts w:ascii="Times New Roman" w:hAnsi="Times New Roman" w:eastAsia="宋体"/>
          <w:b/>
          <w:color w:val="176B73"/>
          <w:sz w:val="28"/>
        </w:rPr>
        <w:t>数据管理方案</w:t>
      </w:r>
    </w:p>
    <w:p>
      <w:pPr>
        <w:pStyle w:val="Heading3"/>
        <w:ind w:hanging="0"/>
        <w:rPr/>
      </w:pPr>
      <w:r>
        <w:rPr>
          <w:rFonts w:eastAsia="宋体" w:ascii="Times New Roman" w:hAnsi="Times New Roman"/>
          <w:b/>
          <w:color w:val="202833"/>
          <w:sz w:val="24"/>
        </w:rPr>
        <w:t xml:space="preserve">4.3.1 </w:t>
      </w:r>
      <w:r>
        <w:rPr>
          <w:rFonts w:ascii="Times New Roman" w:hAnsi="Times New Roman" w:eastAsia="宋体"/>
          <w:b/>
          <w:color w:val="202833"/>
          <w:sz w:val="24"/>
        </w:rPr>
        <w:t>数据分类与统一模式</w:t>
      </w:r>
    </w:p>
    <w:p>
      <w:pPr>
        <w:pStyle w:val="Normal"/>
        <w:widowControl/>
        <w:rPr/>
      </w:pPr>
      <w:r>
        <w:rPr>
          <w:rFonts w:ascii="Times New Roman" w:hAnsi="Times New Roman"/>
          <w:b w:val="false"/>
          <w:color w:val="202833"/>
          <w:sz w:val="22"/>
        </w:rPr>
        <w:t>数据按以下九类管理：</w:t>
      </w:r>
    </w:p>
    <w:p>
      <w:pPr>
        <w:pStyle w:val="Normal"/>
        <w:spacing w:before="0" w:after="40"/>
        <w:ind w:hanging="312" w:left="442"/>
        <w:rPr/>
      </w:pPr>
      <w:r>
        <w:rPr>
          <w:rFonts w:eastAsia="黑体"/>
          <w:b/>
          <w:color w:val="1F4E78"/>
          <w:sz w:val="21"/>
        </w:rPr>
        <w:t xml:space="preserve">1.  </w:t>
      </w:r>
      <w:r>
        <w:rPr>
          <w:rFonts w:ascii="Times New Roman" w:hAnsi="Times New Roman"/>
          <w:b/>
          <w:color w:val="202833"/>
          <w:sz w:val="21"/>
        </w:rPr>
        <w:t>原始日志。</w:t>
      </w:r>
      <w:r>
        <w:rPr>
          <w:rFonts w:ascii="Times New Roman" w:hAnsi="Times New Roman"/>
          <w:b w:val="false"/>
          <w:color w:val="202833"/>
          <w:sz w:val="21"/>
        </w:rPr>
        <w:t xml:space="preserve"> 内容包括航迹、分配、降级、末端、导引、安全、控制摘要和运行错误，属于上游原始证据。采用逐行结构化文本（</w:t>
      </w:r>
      <w:r>
        <w:rPr>
          <w:rFonts w:eastAsia="宋体"/>
          <w:b w:val="false"/>
          <w:color w:val="202833"/>
          <w:sz w:val="21"/>
        </w:rPr>
        <w:t>JSONL</w:t>
      </w:r>
      <w:r>
        <w:rPr>
          <w:rFonts w:ascii="Times New Roman" w:hAnsi="Times New Roman"/>
          <w:b w:val="false"/>
          <w:color w:val="202833"/>
          <w:sz w:val="21"/>
        </w:rPr>
        <w:t>）、逗号分隔值（</w:t>
      </w:r>
      <w:r>
        <w:rPr>
          <w:rFonts w:eastAsia="宋体"/>
          <w:b w:val="false"/>
          <w:color w:val="202833"/>
          <w:sz w:val="21"/>
        </w:rPr>
        <w:t>CSV</w:t>
      </w:r>
      <w:r>
        <w:rPr>
          <w:rFonts w:ascii="Times New Roman" w:hAnsi="Times New Roman"/>
          <w:b w:val="false"/>
          <w:color w:val="202833"/>
          <w:sz w:val="21"/>
        </w:rPr>
        <w:t>）或结构化数据（</w:t>
      </w:r>
      <w:r>
        <w:rPr>
          <w:rFonts w:eastAsia="宋体"/>
          <w:b w:val="false"/>
          <w:color w:val="202833"/>
          <w:sz w:val="21"/>
        </w:rPr>
        <w:t>JSON</w:t>
      </w:r>
      <w:r>
        <w:rPr>
          <w:rFonts w:ascii="Times New Roman" w:hAnsi="Times New Roman"/>
          <w:b w:val="false"/>
          <w:color w:val="202833"/>
          <w:sz w:val="21"/>
        </w:rPr>
        <w:t>），关键字段包括</w:t>
      </w:r>
      <w:r>
        <w:rPr>
          <w:rFonts w:eastAsia="宋体" w:ascii="Consolas" w:hAnsi="Consolas"/>
          <w:color w:val="176B73"/>
          <w:sz w:val="19"/>
        </w:rPr>
        <w:t>episode_id</w:t>
      </w:r>
      <w:r>
        <w:rPr>
          <w:rFonts w:ascii="Times New Roman" w:hAnsi="Times New Roman"/>
          <w:b w:val="false"/>
          <w:color w:val="202833"/>
          <w:sz w:val="21"/>
        </w:rPr>
        <w:t>、时间戳、生产者和模式版本。生产者只追加写入，评估侧只读。</w:t>
      </w:r>
    </w:p>
    <w:p>
      <w:pPr>
        <w:pStyle w:val="Normal"/>
        <w:spacing w:before="0" w:after="40"/>
        <w:ind w:hanging="312" w:left="442"/>
        <w:rPr/>
      </w:pPr>
      <w:r>
        <w:rPr>
          <w:rFonts w:eastAsia="黑体"/>
          <w:b/>
          <w:color w:val="1F4E78"/>
          <w:sz w:val="21"/>
        </w:rPr>
        <w:t xml:space="preserve">2.  </w:t>
      </w:r>
      <w:r>
        <w:rPr>
          <w:rFonts w:ascii="Times New Roman" w:hAnsi="Times New Roman"/>
          <w:b/>
          <w:color w:val="202833"/>
          <w:sz w:val="21"/>
        </w:rPr>
        <w:t>场景与环境清单。</w:t>
      </w:r>
      <w:r>
        <w:rPr>
          <w:rFonts w:ascii="Times New Roman" w:hAnsi="Times New Roman"/>
          <w:b w:val="false"/>
          <w:color w:val="202833"/>
          <w:sz w:val="21"/>
        </w:rPr>
        <w:t xml:space="preserve"> 内容包括场景版本、随机种子、实际资源</w:t>
      </w:r>
      <w:r>
        <w:rPr>
          <w:rFonts w:eastAsia="宋体"/>
          <w:b w:val="false"/>
          <w:color w:val="202833"/>
          <w:sz w:val="21"/>
        </w:rPr>
        <w:t>/</w:t>
      </w:r>
      <w:r>
        <w:rPr>
          <w:rFonts w:ascii="Times New Roman" w:hAnsi="Times New Roman"/>
          <w:b w:val="false"/>
          <w:color w:val="202833"/>
          <w:sz w:val="21"/>
        </w:rPr>
        <w:t>目标</w:t>
      </w:r>
      <w:r>
        <w:rPr>
          <w:rFonts w:eastAsia="宋体"/>
          <w:b w:val="false"/>
          <w:color w:val="202833"/>
          <w:sz w:val="21"/>
        </w:rPr>
        <w:t>/</w:t>
      </w:r>
      <w:r>
        <w:rPr>
          <w:rFonts w:ascii="Times New Roman" w:hAnsi="Times New Roman"/>
          <w:b w:val="false"/>
          <w:color w:val="202833"/>
          <w:sz w:val="21"/>
        </w:rPr>
        <w:t>相机数量和运行环境，作为试验配置依据。采用结构化数据（</w:t>
      </w:r>
      <w:r>
        <w:rPr>
          <w:rFonts w:eastAsia="宋体"/>
          <w:b w:val="false"/>
          <w:color w:val="202833"/>
          <w:sz w:val="21"/>
        </w:rPr>
        <w:t>JSON</w:t>
      </w:r>
      <w:r>
        <w:rPr>
          <w:rFonts w:ascii="Times New Roman" w:hAnsi="Times New Roman"/>
          <w:b w:val="false"/>
          <w:color w:val="202833"/>
          <w:sz w:val="21"/>
        </w:rPr>
        <w:t>），数量必须显式记录，不从</w:t>
      </w:r>
      <w:r>
        <w:rPr>
          <w:rFonts w:eastAsia="宋体"/>
          <w:b w:val="false"/>
          <w:color w:val="202833"/>
          <w:sz w:val="21"/>
        </w:rPr>
        <w:t>2v2</w:t>
      </w:r>
      <w:r>
        <w:rPr>
          <w:rFonts w:ascii="Times New Roman" w:hAnsi="Times New Roman"/>
          <w:b w:val="false"/>
          <w:color w:val="202833"/>
          <w:sz w:val="21"/>
        </w:rPr>
        <w:t>或</w:t>
      </w:r>
      <w:r>
        <w:rPr>
          <w:rFonts w:eastAsia="宋体"/>
          <w:b w:val="false"/>
          <w:color w:val="202833"/>
          <w:sz w:val="21"/>
        </w:rPr>
        <w:t>5v5</w:t>
      </w:r>
      <w:r>
        <w:rPr>
          <w:rFonts w:ascii="Times New Roman" w:hAnsi="Times New Roman"/>
          <w:b w:val="false"/>
          <w:color w:val="202833"/>
          <w:sz w:val="21"/>
        </w:rPr>
        <w:t>等场景名称推断。默认仅试验管理员可写。</w:t>
      </w:r>
    </w:p>
    <w:p>
      <w:pPr>
        <w:pStyle w:val="Normal"/>
        <w:spacing w:before="0" w:after="40"/>
        <w:ind w:hanging="312" w:left="442"/>
        <w:rPr/>
      </w:pPr>
      <w:r>
        <w:rPr>
          <w:rFonts w:eastAsia="黑体"/>
          <w:b/>
          <w:color w:val="1F4E78"/>
          <w:sz w:val="21"/>
        </w:rPr>
        <w:t xml:space="preserve">3.  </w:t>
      </w:r>
      <w:r>
        <w:rPr>
          <w:rFonts w:eastAsia="宋体"/>
          <w:b/>
          <w:color w:val="202833"/>
          <w:sz w:val="21"/>
        </w:rPr>
        <w:t>D6</w:t>
      </w:r>
      <w:r>
        <w:rPr>
          <w:rFonts w:ascii="Times New Roman" w:hAnsi="Times New Roman"/>
          <w:b/>
          <w:color w:val="202833"/>
          <w:sz w:val="21"/>
        </w:rPr>
        <w:t>指标。</w:t>
      </w:r>
      <w:r>
        <w:rPr>
          <w:rFonts w:ascii="Times New Roman" w:hAnsi="Times New Roman"/>
          <w:b w:val="false"/>
          <w:color w:val="202833"/>
          <w:sz w:val="21"/>
        </w:rPr>
        <w:t xml:space="preserve"> 内容包括正式指标、单位、分母、可用性、公式版本、统计区间和来源，是正式数值的唯一来源。采用版本化结构化数据或逗号分隔值文件，由</w:t>
      </w:r>
      <w:r>
        <w:rPr>
          <w:rFonts w:eastAsia="宋体"/>
          <w:b w:val="false"/>
          <w:color w:val="202833"/>
          <w:sz w:val="21"/>
        </w:rPr>
        <w:t>D6</w:t>
      </w:r>
      <w:r>
        <w:rPr>
          <w:rFonts w:ascii="Times New Roman" w:hAnsi="Times New Roman"/>
          <w:b w:val="false"/>
          <w:color w:val="202833"/>
          <w:sz w:val="21"/>
        </w:rPr>
        <w:t>写入，模型只读。</w:t>
      </w:r>
    </w:p>
    <w:p>
      <w:pPr>
        <w:pStyle w:val="Normal"/>
        <w:spacing w:before="0" w:after="40"/>
        <w:ind w:hanging="312" w:left="442"/>
        <w:rPr/>
      </w:pPr>
      <w:r>
        <w:rPr>
          <w:rFonts w:eastAsia="黑体"/>
          <w:b/>
          <w:color w:val="1F4E78"/>
          <w:sz w:val="21"/>
        </w:rPr>
        <w:t xml:space="preserve">4.  </w:t>
      </w:r>
      <w:r>
        <w:rPr>
          <w:rFonts w:ascii="Times New Roman" w:hAnsi="Times New Roman"/>
          <w:b/>
          <w:color w:val="202833"/>
          <w:sz w:val="21"/>
        </w:rPr>
        <w:t>证据包。</w:t>
      </w:r>
      <w:r>
        <w:rPr>
          <w:rFonts w:ascii="Times New Roman" w:hAnsi="Times New Roman"/>
          <w:b w:val="false"/>
          <w:color w:val="202833"/>
          <w:sz w:val="21"/>
        </w:rPr>
        <w:t xml:space="preserve"> 内容包括压缩时间线、指标摘要、失败候选、图表和证据索引，属于派生证据。采用结构化数据或逐行结构化文本，关键字段包括稳定证据标识、适用范围、内容哈希和血缘。默认仅证据包生成器可写。</w:t>
      </w:r>
    </w:p>
    <w:p>
      <w:pPr>
        <w:pStyle w:val="Normal"/>
        <w:spacing w:before="0" w:after="40"/>
        <w:ind w:hanging="312" w:left="442"/>
        <w:rPr/>
      </w:pPr>
      <w:r>
        <w:rPr>
          <w:rFonts w:eastAsia="黑体"/>
          <w:b/>
          <w:color w:val="1F4E78"/>
          <w:sz w:val="21"/>
        </w:rPr>
        <w:t xml:space="preserve">5.  </w:t>
      </w:r>
      <w:r>
        <w:rPr>
          <w:rFonts w:ascii="Times New Roman" w:hAnsi="Times New Roman"/>
          <w:b/>
          <w:color w:val="202833"/>
          <w:sz w:val="21"/>
        </w:rPr>
        <w:t>人工标签。</w:t>
      </w:r>
      <w:r>
        <w:rPr>
          <w:rFonts w:ascii="Times New Roman" w:hAnsi="Times New Roman"/>
          <w:b w:val="false"/>
          <w:color w:val="202833"/>
          <w:sz w:val="21"/>
        </w:rPr>
        <w:t xml:space="preserve"> 内容包括失败类别、因果状态、复核意见和仲裁结果，作为评测金标。采用逐行结构化文本，关键字段包括标注指南版本、标注人和仲裁人。默认仅授权评估人员可写。</w:t>
      </w:r>
    </w:p>
    <w:p>
      <w:pPr>
        <w:pStyle w:val="Normal"/>
        <w:spacing w:before="0" w:after="40"/>
        <w:ind w:hanging="312" w:left="442"/>
        <w:rPr/>
      </w:pPr>
      <w:r>
        <w:rPr>
          <w:rFonts w:eastAsia="黑体"/>
          <w:b/>
          <w:color w:val="1F4E78"/>
          <w:sz w:val="21"/>
        </w:rPr>
        <w:t xml:space="preserve">6.  </w:t>
      </w:r>
      <w:r>
        <w:rPr>
          <w:rFonts w:ascii="Times New Roman" w:hAnsi="Times New Roman"/>
          <w:b/>
          <w:color w:val="202833"/>
          <w:sz w:val="21"/>
        </w:rPr>
        <w:t>模型与提示词。</w:t>
      </w:r>
      <w:r>
        <w:rPr>
          <w:rFonts w:ascii="Times New Roman" w:hAnsi="Times New Roman"/>
          <w:b w:val="false"/>
          <w:color w:val="202833"/>
          <w:sz w:val="21"/>
        </w:rPr>
        <w:t xml:space="preserve"> 内容包括模型权重、量化文件、许可证、推理框架、模板和词表，属于生成配置。模型清单保存</w:t>
      </w:r>
      <w:r>
        <w:rPr>
          <w:rFonts w:eastAsia="宋体"/>
          <w:b w:val="false"/>
          <w:color w:val="202833"/>
          <w:sz w:val="21"/>
        </w:rPr>
        <w:t>SHA-256</w:t>
      </w:r>
      <w:r>
        <w:rPr>
          <w:rFonts w:ascii="Times New Roman" w:hAnsi="Times New Roman"/>
          <w:b w:val="false"/>
          <w:color w:val="202833"/>
          <w:sz w:val="21"/>
        </w:rPr>
        <w:t>内容哈希、版本和审批状态，默认仅模型管理员可写。</w:t>
      </w:r>
    </w:p>
    <w:p>
      <w:pPr>
        <w:pStyle w:val="Normal"/>
        <w:spacing w:before="0" w:after="40"/>
        <w:ind w:hanging="312" w:left="442"/>
        <w:rPr/>
      </w:pPr>
      <w:r>
        <w:rPr>
          <w:rFonts w:eastAsia="黑体"/>
          <w:b/>
          <w:color w:val="1F4E78"/>
          <w:sz w:val="21"/>
        </w:rPr>
        <w:t xml:space="preserve">7.  </w:t>
      </w:r>
      <w:r>
        <w:rPr>
          <w:rFonts w:ascii="Times New Roman" w:hAnsi="Times New Roman"/>
          <w:b/>
          <w:color w:val="202833"/>
          <w:sz w:val="21"/>
        </w:rPr>
        <w:t>模型输出。</w:t>
      </w:r>
      <w:r>
        <w:rPr>
          <w:rFonts w:ascii="Times New Roman" w:hAnsi="Times New Roman"/>
          <w:b w:val="false"/>
          <w:color w:val="202833"/>
          <w:sz w:val="21"/>
        </w:rPr>
        <w:t xml:space="preserve"> 内容包括原始结构化响应、置信度、证据引用和错误，属于非权威分析。采用逐行结构化文本，关键字段包括</w:t>
      </w:r>
      <w:r>
        <w:rPr>
          <w:rFonts w:eastAsia="宋体" w:ascii="Consolas" w:hAnsi="Consolas"/>
          <w:color w:val="176B73"/>
          <w:sz w:val="19"/>
        </w:rPr>
        <w:t>analysis_id</w:t>
      </w:r>
      <w:r>
        <w:rPr>
          <w:rFonts w:ascii="Times New Roman" w:hAnsi="Times New Roman"/>
          <w:b w:val="false"/>
          <w:color w:val="202833"/>
          <w:sz w:val="21"/>
        </w:rPr>
        <w:t>、模型版本和证据包哈希。模型服务只能写入独立目录。</w:t>
      </w:r>
    </w:p>
    <w:p>
      <w:pPr>
        <w:pStyle w:val="Normal"/>
        <w:spacing w:before="0" w:after="40"/>
        <w:ind w:hanging="312" w:left="442"/>
        <w:rPr/>
      </w:pPr>
      <w:r>
        <w:rPr>
          <w:rFonts w:eastAsia="黑体"/>
          <w:b/>
          <w:color w:val="1F4E78"/>
          <w:sz w:val="21"/>
        </w:rPr>
        <w:t xml:space="preserve">8.  </w:t>
      </w:r>
      <w:r>
        <w:rPr>
          <w:rFonts w:ascii="Times New Roman" w:hAnsi="Times New Roman"/>
          <w:b/>
          <w:color w:val="202833"/>
          <w:sz w:val="21"/>
        </w:rPr>
        <w:t>报告与发布包。</w:t>
      </w:r>
      <w:r>
        <w:rPr>
          <w:rFonts w:ascii="Times New Roman" w:hAnsi="Times New Roman"/>
          <w:b w:val="false"/>
          <w:color w:val="202833"/>
          <w:sz w:val="21"/>
        </w:rPr>
        <w:t xml:space="preserve"> 内容包括草稿、校验单、图表、证据索引和签发状态，只有人工签发后才构成正式报告。采用</w:t>
      </w:r>
      <w:r>
        <w:rPr>
          <w:rFonts w:eastAsia="宋体"/>
          <w:b w:val="false"/>
          <w:color w:val="202833"/>
          <w:sz w:val="21"/>
        </w:rPr>
        <w:t>Markdown</w:t>
      </w:r>
      <w:r>
        <w:rPr>
          <w:rFonts w:ascii="Times New Roman" w:hAnsi="Times New Roman"/>
          <w:b w:val="false"/>
          <w:color w:val="202833"/>
          <w:sz w:val="21"/>
        </w:rPr>
        <w:t>、</w:t>
      </w:r>
      <w:r>
        <w:rPr>
          <w:rFonts w:eastAsia="宋体"/>
          <w:b w:val="false"/>
          <w:color w:val="202833"/>
          <w:sz w:val="21"/>
        </w:rPr>
        <w:t>Word</w:t>
      </w:r>
      <w:r>
        <w:rPr>
          <w:rFonts w:ascii="Times New Roman" w:hAnsi="Times New Roman"/>
          <w:b w:val="false"/>
          <w:color w:val="202833"/>
          <w:sz w:val="21"/>
        </w:rPr>
        <w:t>、</w:t>
      </w:r>
      <w:r>
        <w:rPr>
          <w:rFonts w:eastAsia="宋体"/>
          <w:b w:val="false"/>
          <w:color w:val="202833"/>
          <w:sz w:val="21"/>
        </w:rPr>
        <w:t>PDF</w:t>
      </w:r>
      <w:r>
        <w:rPr>
          <w:rFonts w:ascii="Times New Roman" w:hAnsi="Times New Roman"/>
          <w:b w:val="false"/>
          <w:color w:val="202833"/>
          <w:sz w:val="21"/>
        </w:rPr>
        <w:t>和结构化清单；合成器只能写草稿，签发人负责批准。</w:t>
      </w:r>
    </w:p>
    <w:p>
      <w:pPr>
        <w:pStyle w:val="Normal"/>
        <w:spacing w:before="0" w:after="40"/>
        <w:ind w:hanging="312" w:left="442"/>
        <w:rPr/>
      </w:pPr>
      <w:r>
        <w:rPr>
          <w:rFonts w:eastAsia="黑体"/>
          <w:b/>
          <w:color w:val="1F4E78"/>
          <w:sz w:val="21"/>
        </w:rPr>
        <w:t xml:space="preserve">9.  </w:t>
      </w:r>
      <w:r>
        <w:rPr>
          <w:rFonts w:ascii="Times New Roman" w:hAnsi="Times New Roman"/>
          <w:b/>
          <w:color w:val="202833"/>
          <w:sz w:val="21"/>
        </w:rPr>
        <w:t>运行遥测。</w:t>
      </w:r>
      <w:r>
        <w:rPr>
          <w:rFonts w:ascii="Times New Roman" w:hAnsi="Times New Roman"/>
          <w:b w:val="false"/>
          <w:color w:val="202833"/>
          <w:sz w:val="21"/>
        </w:rPr>
        <w:t xml:space="preserve"> 内容包括输入输出词元数、时延、显存、内存、功率、重试和异常，属于性能与成本证据。采用时序日志及汇总逗号分隔值或结构化数据文件，默认仅监控服务可写。</w:t>
      </w:r>
    </w:p>
    <w:p>
      <w:pPr>
        <w:pStyle w:val="Normal"/>
        <w:widowControl/>
        <w:rPr/>
      </w:pPr>
      <w:r>
        <w:rPr>
          <w:rFonts w:ascii="Times New Roman" w:hAnsi="Times New Roman"/>
          <w:b w:val="false"/>
          <w:color w:val="202833"/>
          <w:sz w:val="22"/>
        </w:rPr>
        <w:t>统一模式至少规定字段类型、单位、枚举、必填性、可用性、时间语义、坐标语义、身份与计划版本语义。模式采用语义化版本；破坏性变化提高主版本，旧数据通过确定性适配器转换并保留原文件。大模型不承担字段兼容。</w:t>
      </w:r>
    </w:p>
    <w:p>
      <w:pPr>
        <w:pStyle w:val="Heading3"/>
        <w:ind w:hanging="0"/>
        <w:rPr/>
      </w:pPr>
      <w:r>
        <w:rPr>
          <w:rFonts w:eastAsia="宋体" w:ascii="Times New Roman" w:hAnsi="Times New Roman"/>
          <w:b/>
          <w:color w:val="202833"/>
          <w:sz w:val="24"/>
        </w:rPr>
        <w:t xml:space="preserve">4.3.2 </w:t>
      </w:r>
      <w:r>
        <w:rPr>
          <w:rFonts w:ascii="Times New Roman" w:hAnsi="Times New Roman" w:eastAsia="宋体"/>
          <w:b/>
          <w:color w:val="202833"/>
          <w:sz w:val="24"/>
        </w:rPr>
        <w:t>数据血缘与完整性</w:t>
      </w:r>
    </w:p>
    <w:p>
      <w:pPr>
        <w:pStyle w:val="Normal"/>
        <w:widowControl/>
        <w:rPr/>
      </w:pPr>
      <w:r>
        <w:rPr>
          <w:rFonts w:ascii="Times New Roman" w:hAnsi="Times New Roman"/>
          <w:b w:val="false"/>
          <w:color w:val="202833"/>
          <w:sz w:val="22"/>
        </w:rPr>
        <w:t>每个报告建立以下可追溯链：</w:t>
      </w:r>
    </w:p>
    <w:p>
      <w:pPr>
        <w:pStyle w:val="Normal"/>
        <w:widowControl/>
        <w:rPr/>
      </w:pPr>
      <w:r>
        <w:rPr>
          <w:rFonts w:eastAsia="宋体" w:ascii="Consolas" w:hAnsi="Consolas"/>
          <w:color w:val="176B73"/>
          <w:sz w:val="20"/>
        </w:rPr>
        <w:t>report_id -&gt; analysis_id -&gt; evidence_package_id -&gt; metric/event/plot_id -&gt; source_file_id -&gt; episode_id</w:t>
      </w:r>
    </w:p>
    <w:p>
      <w:pPr>
        <w:pStyle w:val="Normal"/>
        <w:widowControl/>
        <w:rPr/>
      </w:pPr>
      <w:r>
        <w:rPr>
          <w:rFonts w:ascii="Times New Roman" w:hAnsi="Times New Roman"/>
          <w:b w:val="false"/>
          <w:color w:val="202833"/>
          <w:sz w:val="22"/>
        </w:rPr>
        <w:t>各层保存内容哈希、父级</w:t>
      </w:r>
      <w:r>
        <w:rPr>
          <w:rFonts w:eastAsia="宋体"/>
          <w:b w:val="false"/>
          <w:color w:val="202833"/>
          <w:sz w:val="22"/>
        </w:rPr>
        <w:t>ID</w:t>
      </w:r>
      <w:r>
        <w:rPr>
          <w:rFonts w:ascii="Times New Roman" w:hAnsi="Times New Roman"/>
          <w:b w:val="false"/>
          <w:color w:val="202833"/>
          <w:sz w:val="22"/>
        </w:rPr>
        <w:t>、生成时间、生成组件版本和处理参数。指标证据保存公式版本、输入记录数、时间范围、分母和缺失原因；图表保存数据文件哈希与绘图配置。原文件在报告生成前后复算哈希。若任一父级缺失、哈希不符或范围冲突，相关结论不得发布。</w:t>
      </w:r>
    </w:p>
    <w:p>
      <w:pPr>
        <w:pStyle w:val="Heading3"/>
        <w:ind w:hanging="0"/>
        <w:rPr/>
      </w:pPr>
      <w:r>
        <w:rPr>
          <w:rFonts w:eastAsia="宋体" w:ascii="Times New Roman" w:hAnsi="Times New Roman"/>
          <w:b/>
          <w:color w:val="202833"/>
          <w:sz w:val="24"/>
        </w:rPr>
        <w:t xml:space="preserve">4.3.3 </w:t>
      </w:r>
      <w:r>
        <w:rPr>
          <w:rFonts w:ascii="Times New Roman" w:hAnsi="Times New Roman" w:eastAsia="宋体"/>
          <w:b/>
          <w:color w:val="202833"/>
          <w:sz w:val="24"/>
        </w:rPr>
        <w:t>数据质量控制</w:t>
      </w:r>
    </w:p>
    <w:p>
      <w:pPr>
        <w:pStyle w:val="Normal"/>
        <w:spacing w:before="0" w:after="40"/>
        <w:ind w:hanging="312" w:left="442"/>
        <w:rPr/>
      </w:pPr>
      <w:r>
        <w:rPr>
          <w:rFonts w:eastAsia="黑体"/>
          <w:b/>
          <w:color w:val="1F4E78"/>
          <w:sz w:val="21"/>
        </w:rPr>
        <w:t xml:space="preserve">1.  </w:t>
      </w:r>
      <w:r>
        <w:rPr>
          <w:rFonts w:ascii="Times New Roman" w:hAnsi="Times New Roman"/>
          <w:b/>
          <w:color w:val="202833"/>
          <w:sz w:val="21"/>
        </w:rPr>
        <w:t>入口检查：</w:t>
      </w:r>
      <w:r>
        <w:rPr>
          <w:rFonts w:ascii="Times New Roman" w:hAnsi="Times New Roman"/>
          <w:b w:val="false"/>
          <w:color w:val="202833"/>
          <w:sz w:val="21"/>
        </w:rPr>
        <w:t xml:space="preserve"> 模式、编码、必填字段、有限数、单位、时间单调性、</w:t>
      </w:r>
      <w:r>
        <w:rPr>
          <w:rFonts w:eastAsia="宋体"/>
          <w:b w:val="false"/>
          <w:color w:val="202833"/>
          <w:sz w:val="21"/>
        </w:rPr>
        <w:t>episode</w:t>
      </w:r>
      <w:r>
        <w:rPr>
          <w:rFonts w:ascii="Times New Roman" w:hAnsi="Times New Roman"/>
          <w:b w:val="false"/>
          <w:color w:val="202833"/>
          <w:sz w:val="21"/>
        </w:rPr>
        <w:t>边界、实际规模和身份</w:t>
      </w:r>
      <w:r>
        <w:rPr>
          <w:rFonts w:eastAsia="宋体"/>
          <w:b w:val="false"/>
          <w:color w:val="202833"/>
          <w:sz w:val="21"/>
        </w:rPr>
        <w:t>/</w:t>
      </w:r>
      <w:r>
        <w:rPr>
          <w:rFonts w:ascii="Times New Roman" w:hAnsi="Times New Roman"/>
          <w:b w:val="false"/>
          <w:color w:val="202833"/>
          <w:sz w:val="21"/>
        </w:rPr>
        <w:t>计划版本。</w:t>
      </w:r>
    </w:p>
    <w:p>
      <w:pPr>
        <w:pStyle w:val="Normal"/>
        <w:spacing w:before="0" w:after="40"/>
        <w:ind w:hanging="312" w:left="442"/>
        <w:rPr/>
      </w:pPr>
      <w:r>
        <w:rPr>
          <w:rFonts w:eastAsia="黑体"/>
          <w:b/>
          <w:color w:val="1F4E78"/>
          <w:sz w:val="21"/>
        </w:rPr>
        <w:t xml:space="preserve">2.  </w:t>
      </w:r>
      <w:r>
        <w:rPr>
          <w:rFonts w:ascii="Times New Roman" w:hAnsi="Times New Roman"/>
          <w:b/>
          <w:color w:val="202833"/>
          <w:sz w:val="21"/>
        </w:rPr>
        <w:t>一致性检查：</w:t>
      </w:r>
      <w:r>
        <w:rPr>
          <w:rFonts w:ascii="Times New Roman" w:hAnsi="Times New Roman"/>
          <w:b w:val="false"/>
          <w:color w:val="202833"/>
          <w:sz w:val="21"/>
        </w:rPr>
        <w:t xml:space="preserve"> 原始记录数与清单、</w:t>
      </w:r>
      <w:r>
        <w:rPr>
          <w:rFonts w:eastAsia="宋体"/>
          <w:b w:val="false"/>
          <w:color w:val="202833"/>
          <w:sz w:val="21"/>
        </w:rPr>
        <w:t>D6</w:t>
      </w:r>
      <w:r>
        <w:rPr>
          <w:rFonts w:ascii="Times New Roman" w:hAnsi="Times New Roman"/>
          <w:b w:val="false"/>
          <w:color w:val="202833"/>
          <w:sz w:val="21"/>
        </w:rPr>
        <w:t>指标分母与证据、图表数据与指标、显式零与不可用状态。</w:t>
      </w:r>
    </w:p>
    <w:p>
      <w:pPr>
        <w:pStyle w:val="Normal"/>
        <w:spacing w:before="0" w:after="40"/>
        <w:ind w:hanging="312" w:left="442"/>
        <w:rPr/>
      </w:pPr>
      <w:r>
        <w:rPr>
          <w:rFonts w:eastAsia="黑体"/>
          <w:b/>
          <w:color w:val="1F4E78"/>
          <w:sz w:val="21"/>
        </w:rPr>
        <w:t xml:space="preserve">3.  </w:t>
      </w:r>
      <w:r>
        <w:rPr>
          <w:rFonts w:ascii="Times New Roman" w:hAnsi="Times New Roman"/>
          <w:b/>
          <w:color w:val="202833"/>
          <w:sz w:val="21"/>
        </w:rPr>
        <w:t>标签质量：</w:t>
      </w:r>
      <w:r>
        <w:rPr>
          <w:rFonts w:ascii="Times New Roman" w:hAnsi="Times New Roman"/>
          <w:b w:val="false"/>
          <w:color w:val="202833"/>
          <w:sz w:val="21"/>
        </w:rPr>
        <w:t xml:space="preserve"> 两人独立标注，分歧仲裁；每批计算一致率和</w:t>
      </w:r>
      <w:r>
        <w:rPr>
          <w:rFonts w:eastAsia="宋体"/>
          <w:b w:val="false"/>
          <w:color w:val="202833"/>
          <w:sz w:val="21"/>
        </w:rPr>
        <w:t>Cohen's kappa</w:t>
      </w:r>
      <w:r>
        <w:rPr>
          <w:rFonts w:ascii="Times New Roman" w:hAnsi="Times New Roman"/>
          <w:b w:val="false"/>
          <w:color w:val="202833"/>
          <w:sz w:val="21"/>
        </w:rPr>
        <w:t>，建议</w:t>
      </w:r>
      <w:r>
        <w:rPr>
          <w:rFonts w:eastAsia="宋体" w:ascii="Consolas" w:hAnsi="Consolas"/>
          <w:color w:val="176B73"/>
          <w:sz w:val="19"/>
        </w:rPr>
        <w:t>kappa&gt;=0.80</w:t>
      </w:r>
      <w:r>
        <w:rPr>
          <w:rFonts w:ascii="Times New Roman" w:hAnsi="Times New Roman"/>
          <w:b w:val="false"/>
          <w:color w:val="202833"/>
          <w:sz w:val="21"/>
        </w:rPr>
        <w:t>，未达标时修订指南并重标。</w:t>
      </w:r>
    </w:p>
    <w:p>
      <w:pPr>
        <w:pStyle w:val="Normal"/>
        <w:spacing w:before="0" w:after="40"/>
        <w:ind w:hanging="312" w:left="442"/>
        <w:rPr/>
      </w:pPr>
      <w:r>
        <w:rPr>
          <w:rFonts w:eastAsia="黑体"/>
          <w:b/>
          <w:color w:val="1F4E78"/>
          <w:sz w:val="21"/>
        </w:rPr>
        <w:t xml:space="preserve">4.  </w:t>
      </w:r>
      <w:r>
        <w:rPr>
          <w:rFonts w:ascii="Times New Roman" w:hAnsi="Times New Roman"/>
          <w:b/>
          <w:color w:val="202833"/>
          <w:sz w:val="21"/>
        </w:rPr>
        <w:t>模型输出检查：</w:t>
      </w:r>
      <w:r>
        <w:rPr>
          <w:rFonts w:ascii="Times New Roman" w:hAnsi="Times New Roman"/>
          <w:b w:val="false"/>
          <w:color w:val="202833"/>
          <w:sz w:val="21"/>
        </w:rPr>
        <w:t xml:space="preserve"> </w:t>
      </w:r>
      <w:r>
        <w:rPr>
          <w:rFonts w:eastAsia="宋体"/>
          <w:b w:val="false"/>
          <w:color w:val="202833"/>
          <w:sz w:val="21"/>
        </w:rPr>
        <w:t>JSON</w:t>
      </w:r>
      <w:r>
        <w:rPr>
          <w:rFonts w:ascii="Times New Roman" w:hAnsi="Times New Roman"/>
          <w:b w:val="false"/>
          <w:color w:val="202833"/>
          <w:sz w:val="21"/>
        </w:rPr>
        <w:t>模式、证据引用、数字、单位、状态、禁止字段、因果措辞和生成标识。</w:t>
      </w:r>
    </w:p>
    <w:p>
      <w:pPr>
        <w:pStyle w:val="Normal"/>
        <w:spacing w:before="0" w:after="40"/>
        <w:ind w:hanging="312" w:left="442"/>
        <w:rPr/>
      </w:pPr>
      <w:r>
        <w:rPr>
          <w:rFonts w:eastAsia="黑体"/>
          <w:b/>
          <w:color w:val="1F4E78"/>
          <w:sz w:val="21"/>
        </w:rPr>
        <w:t xml:space="preserve">5.  </w:t>
      </w:r>
      <w:r>
        <w:rPr>
          <w:rFonts w:ascii="Times New Roman" w:hAnsi="Times New Roman"/>
          <w:b/>
          <w:color w:val="202833"/>
          <w:sz w:val="21"/>
        </w:rPr>
        <w:t>发布抽检：</w:t>
      </w:r>
      <w:r>
        <w:rPr>
          <w:rFonts w:ascii="Times New Roman" w:hAnsi="Times New Roman"/>
          <w:b w:val="false"/>
          <w:color w:val="202833"/>
          <w:sz w:val="21"/>
        </w:rPr>
        <w:t xml:space="preserve"> 对全部安全与验收结论做人工复核；普通说明按风险分层抽检。抽检比例和责任人进入发布清单。</w:t>
      </w:r>
    </w:p>
    <w:p>
      <w:pPr>
        <w:pStyle w:val="Heading3"/>
        <w:ind w:hanging="0"/>
        <w:rPr/>
      </w:pPr>
      <w:r>
        <w:rPr>
          <w:rFonts w:eastAsia="宋体" w:ascii="Times New Roman" w:hAnsi="Times New Roman"/>
          <w:b/>
          <w:color w:val="202833"/>
          <w:sz w:val="24"/>
        </w:rPr>
        <w:t xml:space="preserve">4.3.4 </w:t>
      </w:r>
      <w:r>
        <w:rPr>
          <w:rFonts w:ascii="Times New Roman" w:hAnsi="Times New Roman" w:eastAsia="宋体"/>
          <w:b/>
          <w:color w:val="202833"/>
          <w:sz w:val="24"/>
        </w:rPr>
        <w:t>训练、验证和测试隔离</w:t>
      </w:r>
    </w:p>
    <w:p>
      <w:pPr>
        <w:pStyle w:val="Normal"/>
        <w:widowControl/>
        <w:rPr/>
      </w:pPr>
      <w:r>
        <w:rPr>
          <w:rFonts w:ascii="Times New Roman" w:hAnsi="Times New Roman"/>
          <w:b w:val="false"/>
          <w:color w:val="202833"/>
          <w:sz w:val="22"/>
        </w:rPr>
        <w:t>固定回归集按</w:t>
      </w:r>
      <w:r>
        <w:rPr>
          <w:rFonts w:eastAsia="宋体"/>
          <w:b w:val="false"/>
          <w:color w:val="202833"/>
          <w:sz w:val="22"/>
        </w:rPr>
        <w:t>episode</w:t>
      </w:r>
      <w:r>
        <w:rPr>
          <w:rFonts w:ascii="Times New Roman" w:hAnsi="Times New Roman"/>
          <w:b w:val="false"/>
          <w:color w:val="202833"/>
          <w:sz w:val="22"/>
        </w:rPr>
        <w:t>划分训练</w:t>
      </w:r>
      <w:r>
        <w:rPr>
          <w:rFonts w:eastAsia="宋体"/>
          <w:b w:val="false"/>
          <w:color w:val="202833"/>
          <w:sz w:val="22"/>
        </w:rPr>
        <w:t>/</w:t>
      </w:r>
      <w:r>
        <w:rPr>
          <w:rFonts w:ascii="Times New Roman" w:hAnsi="Times New Roman"/>
          <w:b w:val="false"/>
          <w:color w:val="202833"/>
          <w:sz w:val="22"/>
        </w:rPr>
        <w:t>示例、开发和独立测试集合，建议比例</w:t>
      </w:r>
      <w:r>
        <w:rPr>
          <w:rFonts w:eastAsia="宋体"/>
          <w:b w:val="false"/>
          <w:color w:val="202833"/>
          <w:sz w:val="22"/>
        </w:rPr>
        <w:t>60%/20%/20%</w:t>
      </w:r>
      <w:r>
        <w:rPr>
          <w:rFonts w:ascii="Times New Roman" w:hAnsi="Times New Roman"/>
          <w:b w:val="false"/>
          <w:color w:val="202833"/>
          <w:sz w:val="22"/>
        </w:rPr>
        <w:t>，并按失败一级类别和场景难度分层。相同场景、随机种子和派生切片不得跨集合。独立测试集只在版本准入时运行，日常提示词调试不得查看其答案。若后续用人工复核数据微调本地模型，必须重新划分独立测试集并形成新数据卡；旧测试数据进入训练后不得继续作为独立证据。</w:t>
      </w:r>
    </w:p>
    <w:p>
      <w:pPr>
        <w:pStyle w:val="Heading3"/>
        <w:ind w:hanging="0"/>
        <w:rPr/>
      </w:pPr>
      <w:r>
        <w:rPr>
          <w:rFonts w:eastAsia="宋体" w:ascii="Times New Roman" w:hAnsi="Times New Roman"/>
          <w:b/>
          <w:color w:val="202833"/>
          <w:sz w:val="24"/>
        </w:rPr>
        <w:t xml:space="preserve">4.3.5 </w:t>
      </w:r>
      <w:r>
        <w:rPr>
          <w:rFonts w:ascii="Times New Roman" w:hAnsi="Times New Roman" w:eastAsia="宋体"/>
          <w:b/>
          <w:color w:val="202833"/>
          <w:sz w:val="24"/>
        </w:rPr>
        <w:t>模型、数据和报告版本</w:t>
      </w:r>
    </w:p>
    <w:p>
      <w:pPr>
        <w:pStyle w:val="Normal"/>
        <w:widowControl/>
        <w:rPr/>
      </w:pPr>
      <w:r>
        <w:rPr>
          <w:rFonts w:ascii="Times New Roman" w:hAnsi="Times New Roman"/>
          <w:b w:val="false"/>
          <w:color w:val="202833"/>
          <w:sz w:val="22"/>
        </w:rPr>
        <w:t>每个模型版本保存名称、来源、许可证、权重哈希、量化方法与参数、上下文上限、推理框架及版本、系统提示词、报告模板、词表、知识库、解码参数、硬件和驱动。每个数据版本保存来源范围、场景分布、类别分布、标注指南、质量检查、已知缺口和允许用途。每份报告引用完整模型卡与数据卡版本，不用“最新模型”或目录名称代替版本。</w:t>
      </w:r>
    </w:p>
    <w:p>
      <w:pPr>
        <w:pStyle w:val="Heading3"/>
        <w:ind w:hanging="0"/>
        <w:rPr/>
      </w:pPr>
      <w:r>
        <w:rPr>
          <w:rFonts w:eastAsia="宋体" w:ascii="Times New Roman" w:hAnsi="Times New Roman"/>
          <w:b/>
          <w:color w:val="202833"/>
          <w:sz w:val="24"/>
        </w:rPr>
        <w:t xml:space="preserve">4.3.6 </w:t>
      </w:r>
      <w:r>
        <w:rPr>
          <w:rFonts w:ascii="Times New Roman" w:hAnsi="Times New Roman" w:eastAsia="宋体"/>
          <w:b/>
          <w:color w:val="202833"/>
          <w:sz w:val="24"/>
        </w:rPr>
        <w:t>访问控制与本地部署</w:t>
      </w:r>
    </w:p>
    <w:p>
      <w:pPr>
        <w:pStyle w:val="Normal"/>
        <w:widowControl/>
        <w:rPr/>
      </w:pPr>
      <w:r>
        <w:rPr>
          <w:rFonts w:ascii="Times New Roman" w:hAnsi="Times New Roman"/>
          <w:b w:val="false"/>
          <w:color w:val="202833"/>
          <w:sz w:val="22"/>
        </w:rPr>
        <w:t>系统按最小权限分为日志生产者、证据构建、模型推理、报告复核、签发、模型管理和审计角色。模型服务账户只能读取已批准证据包，不能读取全部原始数据目录，不能修改</w:t>
      </w:r>
      <w:r>
        <w:rPr>
          <w:rFonts w:eastAsia="宋体"/>
          <w:b w:val="false"/>
          <w:color w:val="202833"/>
          <w:sz w:val="22"/>
        </w:rPr>
        <w:t>D6</w:t>
      </w:r>
      <w:r>
        <w:rPr>
          <w:rFonts w:ascii="Times New Roman" w:hAnsi="Times New Roman"/>
          <w:b w:val="false"/>
          <w:color w:val="202833"/>
          <w:sz w:val="22"/>
        </w:rPr>
        <w:t>指标，只能写入独立分析目录。外部网络默认物理断开或策略拒绝，软件和模型更新通过离线介质、恶意代码扫描、哈希校验和双人审批导入。密钥、签发凭据和审计日志不进入模型上下文。</w:t>
      </w:r>
    </w:p>
    <w:p>
      <w:pPr>
        <w:pStyle w:val="Heading3"/>
        <w:ind w:hanging="0"/>
        <w:rPr/>
      </w:pPr>
      <w:r>
        <w:rPr>
          <w:rFonts w:eastAsia="宋体" w:ascii="Times New Roman" w:hAnsi="Times New Roman"/>
          <w:b/>
          <w:color w:val="202833"/>
          <w:sz w:val="24"/>
        </w:rPr>
        <w:t xml:space="preserve">4.3.7 </w:t>
      </w:r>
      <w:r>
        <w:rPr>
          <w:rFonts w:ascii="Times New Roman" w:hAnsi="Times New Roman" w:eastAsia="宋体"/>
          <w:b/>
          <w:color w:val="202833"/>
          <w:sz w:val="24"/>
        </w:rPr>
        <w:t>存储、备份和保留</w:t>
      </w:r>
    </w:p>
    <w:p>
      <w:pPr>
        <w:pStyle w:val="Normal"/>
        <w:spacing w:before="0" w:after="40"/>
        <w:ind w:hanging="312" w:left="442"/>
        <w:rPr/>
      </w:pPr>
      <w:r>
        <w:rPr>
          <w:rFonts w:eastAsia="黑体"/>
          <w:b/>
          <w:color w:val="1F4E78"/>
          <w:sz w:val="21"/>
        </w:rPr>
        <w:t xml:space="preserve">1.  </w:t>
      </w:r>
      <w:r>
        <w:rPr>
          <w:rFonts w:ascii="Times New Roman" w:hAnsi="Times New Roman"/>
          <w:b w:val="false"/>
          <w:color w:val="202833"/>
          <w:sz w:val="21"/>
        </w:rPr>
        <w:t>在线工作存储保存原始日志、</w:t>
      </w:r>
      <w:r>
        <w:rPr>
          <w:rFonts w:eastAsia="宋体"/>
          <w:b w:val="false"/>
          <w:color w:val="202833"/>
          <w:sz w:val="21"/>
        </w:rPr>
        <w:t>D6</w:t>
      </w:r>
      <w:r>
        <w:rPr>
          <w:rFonts w:ascii="Times New Roman" w:hAnsi="Times New Roman"/>
          <w:b w:val="false"/>
          <w:color w:val="202833"/>
          <w:sz w:val="21"/>
        </w:rPr>
        <w:t>指标、证据包、模型输出和报告，按项目数据分级加密并设置容量告警。</w:t>
      </w:r>
    </w:p>
    <w:p>
      <w:pPr>
        <w:pStyle w:val="Normal"/>
        <w:spacing w:before="0" w:after="40"/>
        <w:ind w:hanging="312" w:left="442"/>
        <w:rPr/>
      </w:pPr>
      <w:r>
        <w:rPr>
          <w:rFonts w:eastAsia="黑体"/>
          <w:b/>
          <w:color w:val="1F4E78"/>
          <w:sz w:val="21"/>
        </w:rPr>
        <w:t xml:space="preserve">2.  </w:t>
      </w:r>
      <w:r>
        <w:rPr>
          <w:rFonts w:ascii="Times New Roman" w:hAnsi="Times New Roman"/>
          <w:b w:val="false"/>
          <w:color w:val="202833"/>
          <w:sz w:val="21"/>
        </w:rPr>
        <w:t>至少保留一份同地只读备份和一份离线异地备份；每月抽样恢复、每季度全链路恢复演练。备份也保存模式、模型清单和哈希索引，否则无法重现报告。</w:t>
      </w:r>
    </w:p>
    <w:p>
      <w:pPr>
        <w:pStyle w:val="Normal"/>
        <w:spacing w:before="0" w:after="40"/>
        <w:ind w:hanging="312" w:left="442"/>
        <w:rPr/>
      </w:pPr>
      <w:r>
        <w:rPr>
          <w:rFonts w:eastAsia="黑体"/>
          <w:b/>
          <w:color w:val="1F4E78"/>
          <w:sz w:val="21"/>
        </w:rPr>
        <w:t xml:space="preserve">3.  </w:t>
      </w:r>
      <w:r>
        <w:rPr>
          <w:rFonts w:ascii="Times New Roman" w:hAnsi="Times New Roman"/>
          <w:b w:val="false"/>
          <w:color w:val="202833"/>
          <w:sz w:val="21"/>
        </w:rPr>
        <w:t>建议原始日志、正式指标、证据包、签发报告、模型</w:t>
      </w:r>
      <w:r>
        <w:rPr>
          <w:rFonts w:eastAsia="宋体"/>
          <w:b w:val="false"/>
          <w:color w:val="202833"/>
          <w:sz w:val="21"/>
        </w:rPr>
        <w:t>/</w:t>
      </w:r>
      <w:r>
        <w:rPr>
          <w:rFonts w:ascii="Times New Roman" w:hAnsi="Times New Roman"/>
          <w:b w:val="false"/>
          <w:color w:val="202833"/>
          <w:sz w:val="21"/>
        </w:rPr>
        <w:t>提示词清单保留至项目验收后</w:t>
      </w:r>
      <w:r>
        <w:rPr>
          <w:rFonts w:eastAsia="宋体"/>
          <w:b w:val="false"/>
          <w:color w:val="202833"/>
          <w:sz w:val="21"/>
        </w:rPr>
        <w:t>5</w:t>
      </w:r>
      <w:r>
        <w:rPr>
          <w:rFonts w:ascii="Times New Roman" w:hAnsi="Times New Roman"/>
          <w:b w:val="false"/>
          <w:color w:val="202833"/>
          <w:sz w:val="21"/>
        </w:rPr>
        <w:t>年，或适用档案要求规定的更长期限；两者取长。临时上下文缓存不超过</w:t>
      </w:r>
      <w:r>
        <w:rPr>
          <w:rFonts w:eastAsia="宋体"/>
          <w:b w:val="false"/>
          <w:color w:val="202833"/>
          <w:sz w:val="21"/>
        </w:rPr>
        <w:t>7</w:t>
      </w:r>
      <w:r>
        <w:rPr>
          <w:rFonts w:ascii="Times New Roman" w:hAnsi="Times New Roman"/>
          <w:b w:val="false"/>
          <w:color w:val="202833"/>
          <w:sz w:val="21"/>
        </w:rPr>
        <w:t>天，未签发模型草稿保留</w:t>
      </w:r>
      <w:r>
        <w:rPr>
          <w:rFonts w:eastAsia="宋体"/>
          <w:b w:val="false"/>
          <w:color w:val="202833"/>
          <w:sz w:val="21"/>
        </w:rPr>
        <w:t>1</w:t>
      </w:r>
      <w:r>
        <w:rPr>
          <w:rFonts w:ascii="Times New Roman" w:hAnsi="Times New Roman"/>
          <w:b w:val="false"/>
          <w:color w:val="202833"/>
          <w:sz w:val="21"/>
        </w:rPr>
        <w:t>年用于误差审计。最终期限由数据定级和主管要求审批。</w:t>
      </w:r>
    </w:p>
    <w:p>
      <w:pPr>
        <w:pStyle w:val="Normal"/>
        <w:spacing w:before="0" w:after="40"/>
        <w:ind w:hanging="312" w:left="442"/>
        <w:rPr/>
      </w:pPr>
      <w:r>
        <w:rPr>
          <w:rFonts w:eastAsia="黑体"/>
          <w:b/>
          <w:color w:val="1F4E78"/>
          <w:sz w:val="21"/>
        </w:rPr>
        <w:t xml:space="preserve">4.  </w:t>
      </w:r>
      <w:r>
        <w:rPr>
          <w:rFonts w:ascii="Times New Roman" w:hAnsi="Times New Roman"/>
          <w:b w:val="false"/>
          <w:color w:val="202833"/>
          <w:sz w:val="21"/>
        </w:rPr>
        <w:t>删除采用审批、记录和可验证清除流程。删除报告不得删除其上游原始日志和正式指标；删除模型版本前确认其关联报告已具备长期重现条件。</w:t>
      </w:r>
    </w:p>
    <w:p>
      <w:pPr>
        <w:pStyle w:val="Heading3"/>
        <w:ind w:hanging="0"/>
        <w:rPr/>
      </w:pPr>
      <w:r>
        <w:rPr>
          <w:rFonts w:eastAsia="宋体" w:ascii="Times New Roman" w:hAnsi="Times New Roman"/>
          <w:b/>
          <w:color w:val="202833"/>
          <w:sz w:val="24"/>
        </w:rPr>
        <w:t xml:space="preserve">4.3.8 </w:t>
      </w:r>
      <w:r>
        <w:rPr>
          <w:rFonts w:ascii="Times New Roman" w:hAnsi="Times New Roman" w:eastAsia="宋体"/>
          <w:b/>
          <w:color w:val="202833"/>
          <w:sz w:val="24"/>
        </w:rPr>
        <w:t>脱敏与发布规则</w:t>
      </w:r>
    </w:p>
    <w:p>
      <w:pPr>
        <w:pStyle w:val="Normal"/>
        <w:widowControl/>
        <w:rPr/>
      </w:pPr>
      <w:r>
        <w:rPr>
          <w:rFonts w:ascii="Times New Roman" w:hAnsi="Times New Roman"/>
          <w:b w:val="false"/>
          <w:color w:val="202833"/>
          <w:sz w:val="22"/>
        </w:rPr>
        <w:t>数据默认不公开、不上传云端、不用于通用模型训练。内部共享按角色提供最小字段；对外材料先移除敏感场景参数、身份、网络地址、设备信息和可逆关联字段，再进行人工复核。辅助生成内容保留可见标识和机器可读来源，标明模型版本、生成日期、人工复核和证据范围。只有状态为“已签发”的报告可以进入正式交付；草稿、证据不足和校验失败输出不得对外发布。</w:t>
      </w:r>
    </w:p>
    <w:p>
      <w:pPr>
        <w:pStyle w:val="Heading3"/>
        <w:ind w:hanging="0"/>
        <w:rPr/>
      </w:pPr>
      <w:r>
        <w:rPr>
          <w:rFonts w:eastAsia="宋体" w:ascii="Times New Roman" w:hAnsi="Times New Roman"/>
          <w:b/>
          <w:color w:val="202833"/>
          <w:sz w:val="24"/>
        </w:rPr>
        <w:t xml:space="preserve">4.3.9 </w:t>
      </w:r>
      <w:r>
        <w:rPr>
          <w:rFonts w:ascii="Times New Roman" w:hAnsi="Times New Roman" w:eastAsia="宋体"/>
          <w:b/>
          <w:color w:val="202833"/>
          <w:sz w:val="24"/>
        </w:rPr>
        <w:t>运行监测与退出</w:t>
      </w:r>
    </w:p>
    <w:p>
      <w:pPr>
        <w:pStyle w:val="Normal"/>
        <w:widowControl/>
        <w:rPr/>
      </w:pPr>
      <w:r>
        <w:rPr>
          <w:rFonts w:ascii="Times New Roman" w:hAnsi="Times New Roman"/>
          <w:b w:val="false"/>
          <w:color w:val="202833"/>
          <w:sz w:val="22"/>
        </w:rPr>
        <w:t>持续监测事实错误、无效引用、未知失败类别、人工改写率、推理时延、显存、能耗、重试和回退。任一安全红线触发停用：发生外连、连接控制接口、改写原始证据、未绑定数字进入正式结果或关键错误漏放。停用后保留</w:t>
      </w:r>
      <w:r>
        <w:rPr>
          <w:rFonts w:eastAsia="宋体"/>
          <w:b w:val="false"/>
          <w:color w:val="202833"/>
          <w:sz w:val="22"/>
        </w:rPr>
        <w:t>D6</w:t>
      </w:r>
      <w:r>
        <w:rPr>
          <w:rFonts w:ascii="Times New Roman" w:hAnsi="Times New Roman"/>
          <w:b w:val="false"/>
          <w:color w:val="202833"/>
          <w:sz w:val="22"/>
        </w:rPr>
        <w:t>确定性报告能力，模型层可整体删除，不影响原始日志、指标重算和历史报告核验。</w:t>
      </w:r>
    </w:p>
    <w:p>
      <w:pPr>
        <w:pStyle w:val="Heading1"/>
        <w:ind w:hanging="0"/>
        <w:rPr/>
      </w:pPr>
      <w:r>
        <w:rPr>
          <w:rFonts w:ascii="Times New Roman" w:hAnsi="Times New Roman" w:eastAsia="宋体"/>
          <w:b/>
          <w:color w:val="1F4E78"/>
          <w:sz w:val="32"/>
        </w:rPr>
        <w:t>参考资料</w:t>
      </w:r>
    </w:p>
    <w:p>
      <w:pPr>
        <w:pStyle w:val="Normal"/>
        <w:widowControl/>
        <w:rPr/>
      </w:pPr>
      <w:r>
        <w:rPr>
          <w:rFonts w:eastAsia="宋体"/>
          <w:b w:val="false"/>
          <w:color w:val="202833"/>
          <w:sz w:val="22"/>
        </w:rPr>
        <w:t>[1] [</w:t>
      </w:r>
      <w:r>
        <w:rPr>
          <w:rFonts w:ascii="Times New Roman" w:hAnsi="Times New Roman"/>
          <w:b w:val="false"/>
          <w:color w:val="202833"/>
          <w:sz w:val="22"/>
        </w:rPr>
        <w:t>国家标准</w:t>
      </w:r>
      <w:r>
        <w:rPr>
          <w:rFonts w:eastAsia="宋体"/>
          <w:b w:val="false"/>
          <w:color w:val="202833"/>
          <w:sz w:val="22"/>
        </w:rPr>
        <w:t xml:space="preserve">] </w:t>
      </w:r>
      <w:r>
        <w:rPr>
          <w:rFonts w:ascii="Times New Roman" w:hAnsi="Times New Roman"/>
          <w:b w:val="false"/>
          <w:color w:val="202833"/>
          <w:sz w:val="22"/>
        </w:rPr>
        <w:t>国家市场监督管理总局、国家标准化管理委员会</w:t>
      </w:r>
      <w:r>
        <w:rPr>
          <w:rFonts w:eastAsia="宋体"/>
          <w:b w:val="false"/>
          <w:color w:val="202833"/>
          <w:sz w:val="22"/>
        </w:rPr>
        <w:t xml:space="preserve">. </w:t>
      </w:r>
      <w:r>
        <w:rPr>
          <w:rFonts w:eastAsia="宋体"/>
          <w:b/>
          <w:color w:val="202833"/>
          <w:sz w:val="22"/>
        </w:rPr>
        <w:t xml:space="preserve">GB/T 41867-2022 </w:t>
      </w:r>
      <w:r>
        <w:rPr>
          <w:rFonts w:ascii="Times New Roman" w:hAnsi="Times New Roman"/>
          <w:b/>
          <w:color w:val="202833"/>
          <w:sz w:val="22"/>
        </w:rPr>
        <w:t>信息技术 人工智能 术语</w:t>
      </w:r>
      <w:r>
        <w:rPr>
          <w:rFonts w:eastAsia="宋体"/>
          <w:b w:val="false"/>
          <w:color w:val="202833"/>
          <w:sz w:val="22"/>
        </w:rPr>
        <w:t xml:space="preserve">. </w:t>
      </w:r>
      <w:r>
        <w:rPr>
          <w:rFonts w:ascii="Times New Roman" w:hAnsi="Times New Roman"/>
          <w:b w:val="false"/>
          <w:color w:val="202833"/>
          <w:sz w:val="22"/>
        </w:rPr>
        <w:t>发布日期：</w:t>
      </w:r>
      <w:r>
        <w:rPr>
          <w:rFonts w:eastAsia="宋体"/>
          <w:b w:val="false"/>
          <w:color w:val="202833"/>
          <w:sz w:val="22"/>
        </w:rPr>
        <w:t>2022-10-14</w:t>
      </w:r>
      <w:r>
        <w:rPr>
          <w:rFonts w:ascii="Times New Roman" w:hAnsi="Times New Roman"/>
          <w:b w:val="false"/>
          <w:color w:val="202833"/>
          <w:sz w:val="22"/>
        </w:rPr>
        <w:t>；实施日期：</w:t>
      </w:r>
      <w:r>
        <w:rPr>
          <w:rFonts w:eastAsia="宋体"/>
          <w:b w:val="false"/>
          <w:color w:val="202833"/>
          <w:sz w:val="22"/>
        </w:rPr>
        <w:t xml:space="preserve">2023-05-01. https://openstd.samr.gov.cn/bzgk/gb/newGbInfo?hcno=195F522C14AD9A1A0094FF66D0B1EF1B </w:t>
      </w:r>
      <w:r>
        <w:rPr>
          <w:rFonts w:ascii="Times New Roman" w:hAnsi="Times New Roman"/>
          <w:b w:val="false"/>
          <w:color w:val="202833"/>
          <w:sz w:val="22"/>
        </w:rPr>
        <w:t>（访问日期：</w:t>
      </w:r>
      <w:r>
        <w:rPr>
          <w:rFonts w:eastAsia="宋体"/>
          <w:b w:val="false"/>
          <w:color w:val="202833"/>
          <w:sz w:val="22"/>
        </w:rPr>
        <w:t>2026-07-19</w:t>
      </w:r>
      <w:r>
        <w:rPr>
          <w:rFonts w:ascii="Times New Roman" w:hAnsi="Times New Roman"/>
          <w:b w:val="false"/>
          <w:color w:val="202833"/>
          <w:sz w:val="22"/>
        </w:rPr>
        <w:t>）</w:t>
      </w:r>
      <w:r>
        <w:rPr>
          <w:rFonts w:eastAsia="宋体"/>
          <w:b w:val="false"/>
          <w:color w:val="202833"/>
          <w:sz w:val="22"/>
        </w:rPr>
        <w:t>.</w:t>
      </w:r>
    </w:p>
    <w:p>
      <w:pPr>
        <w:pStyle w:val="Normal"/>
        <w:widowControl/>
        <w:rPr/>
      </w:pPr>
      <w:r>
        <w:rPr>
          <w:rFonts w:eastAsia="宋体"/>
          <w:b w:val="false"/>
          <w:color w:val="202833"/>
          <w:sz w:val="22"/>
        </w:rPr>
        <w:t>[2] [</w:t>
      </w:r>
      <w:r>
        <w:rPr>
          <w:rFonts w:ascii="Times New Roman" w:hAnsi="Times New Roman"/>
          <w:b w:val="false"/>
          <w:color w:val="202833"/>
          <w:sz w:val="22"/>
        </w:rPr>
        <w:t>国家标准</w:t>
      </w:r>
      <w:r>
        <w:rPr>
          <w:rFonts w:eastAsia="宋体"/>
          <w:b w:val="false"/>
          <w:color w:val="202833"/>
          <w:sz w:val="22"/>
        </w:rPr>
        <w:t xml:space="preserve">] </w:t>
      </w:r>
      <w:r>
        <w:rPr>
          <w:rFonts w:ascii="Times New Roman" w:hAnsi="Times New Roman"/>
          <w:b w:val="false"/>
          <w:color w:val="202833"/>
          <w:sz w:val="22"/>
        </w:rPr>
        <w:t>国家市场监督管理总局、国家标准化管理委员会</w:t>
      </w:r>
      <w:r>
        <w:rPr>
          <w:rFonts w:eastAsia="宋体"/>
          <w:b w:val="false"/>
          <w:color w:val="202833"/>
          <w:sz w:val="22"/>
        </w:rPr>
        <w:t xml:space="preserve">. </w:t>
      </w:r>
      <w:r>
        <w:rPr>
          <w:rFonts w:eastAsia="宋体"/>
          <w:b/>
          <w:color w:val="202833"/>
          <w:sz w:val="22"/>
        </w:rPr>
        <w:t xml:space="preserve">GB/T 45288.1-2025 </w:t>
      </w:r>
      <w:r>
        <w:rPr>
          <w:rFonts w:ascii="Times New Roman" w:hAnsi="Times New Roman"/>
          <w:b/>
          <w:color w:val="202833"/>
          <w:sz w:val="22"/>
        </w:rPr>
        <w:t>人工智能 大模型 第</w:t>
      </w:r>
      <w:r>
        <w:rPr>
          <w:rFonts w:eastAsia="宋体"/>
          <w:b/>
          <w:color w:val="202833"/>
          <w:sz w:val="22"/>
        </w:rPr>
        <w:t>1</w:t>
      </w:r>
      <w:r>
        <w:rPr>
          <w:rFonts w:ascii="Times New Roman" w:hAnsi="Times New Roman"/>
          <w:b/>
          <w:color w:val="202833"/>
          <w:sz w:val="22"/>
        </w:rPr>
        <w:t>部分：通用要求</w:t>
      </w:r>
      <w:r>
        <w:rPr>
          <w:rFonts w:eastAsia="宋体"/>
          <w:b w:val="false"/>
          <w:color w:val="202833"/>
          <w:sz w:val="22"/>
        </w:rPr>
        <w:t xml:space="preserve">. </w:t>
      </w:r>
      <w:r>
        <w:rPr>
          <w:rFonts w:ascii="Times New Roman" w:hAnsi="Times New Roman"/>
          <w:b w:val="false"/>
          <w:color w:val="202833"/>
          <w:sz w:val="22"/>
        </w:rPr>
        <w:t>发布日期：</w:t>
      </w:r>
      <w:r>
        <w:rPr>
          <w:rFonts w:eastAsia="宋体"/>
          <w:b w:val="false"/>
          <w:color w:val="202833"/>
          <w:sz w:val="22"/>
        </w:rPr>
        <w:t>2025-02-28</w:t>
      </w:r>
      <w:r>
        <w:rPr>
          <w:rFonts w:ascii="Times New Roman" w:hAnsi="Times New Roman"/>
          <w:b w:val="false"/>
          <w:color w:val="202833"/>
          <w:sz w:val="22"/>
        </w:rPr>
        <w:t>；实施日期：</w:t>
      </w:r>
      <w:r>
        <w:rPr>
          <w:rFonts w:eastAsia="宋体"/>
          <w:b w:val="false"/>
          <w:color w:val="202833"/>
          <w:sz w:val="22"/>
        </w:rPr>
        <w:t xml:space="preserve">2025-02-28. https://openstd.samr.gov.cn/bzgk/gb/newGbInfo?hcno=C401156D6EF7F77E416BB4C988172610 </w:t>
      </w:r>
      <w:r>
        <w:rPr>
          <w:rFonts w:ascii="Times New Roman" w:hAnsi="Times New Roman"/>
          <w:b w:val="false"/>
          <w:color w:val="202833"/>
          <w:sz w:val="22"/>
        </w:rPr>
        <w:t>（访问日期：</w:t>
      </w:r>
      <w:r>
        <w:rPr>
          <w:rFonts w:eastAsia="宋体"/>
          <w:b w:val="false"/>
          <w:color w:val="202833"/>
          <w:sz w:val="22"/>
        </w:rPr>
        <w:t>2026-07-19</w:t>
      </w:r>
      <w:r>
        <w:rPr>
          <w:rFonts w:ascii="Times New Roman" w:hAnsi="Times New Roman"/>
          <w:b w:val="false"/>
          <w:color w:val="202833"/>
          <w:sz w:val="22"/>
        </w:rPr>
        <w:t>）</w:t>
      </w:r>
      <w:r>
        <w:rPr>
          <w:rFonts w:eastAsia="宋体"/>
          <w:b w:val="false"/>
          <w:color w:val="202833"/>
          <w:sz w:val="22"/>
        </w:rPr>
        <w:t>.</w:t>
      </w:r>
    </w:p>
    <w:p>
      <w:pPr>
        <w:pStyle w:val="Normal"/>
        <w:widowControl/>
        <w:rPr/>
      </w:pPr>
      <w:r>
        <w:rPr>
          <w:rFonts w:eastAsia="宋体"/>
          <w:b w:val="false"/>
          <w:color w:val="202833"/>
          <w:sz w:val="22"/>
        </w:rPr>
        <w:t>[3] [</w:t>
      </w:r>
      <w:r>
        <w:rPr>
          <w:rFonts w:ascii="Times New Roman" w:hAnsi="Times New Roman"/>
          <w:b w:val="false"/>
          <w:color w:val="202833"/>
          <w:sz w:val="22"/>
        </w:rPr>
        <w:t>国家标准</w:t>
      </w:r>
      <w:r>
        <w:rPr>
          <w:rFonts w:eastAsia="宋体"/>
          <w:b w:val="false"/>
          <w:color w:val="202833"/>
          <w:sz w:val="22"/>
        </w:rPr>
        <w:t xml:space="preserve">] </w:t>
      </w:r>
      <w:r>
        <w:rPr>
          <w:rFonts w:ascii="Times New Roman" w:hAnsi="Times New Roman"/>
          <w:b w:val="false"/>
          <w:color w:val="202833"/>
          <w:sz w:val="22"/>
        </w:rPr>
        <w:t>国家市场监督管理总局、国家标准化管理委员会</w:t>
      </w:r>
      <w:r>
        <w:rPr>
          <w:rFonts w:eastAsia="宋体"/>
          <w:b w:val="false"/>
          <w:color w:val="202833"/>
          <w:sz w:val="22"/>
        </w:rPr>
        <w:t xml:space="preserve">. </w:t>
      </w:r>
      <w:r>
        <w:rPr>
          <w:rFonts w:eastAsia="宋体"/>
          <w:b/>
          <w:color w:val="202833"/>
          <w:sz w:val="22"/>
        </w:rPr>
        <w:t xml:space="preserve">GB/T 45288.2-2025 </w:t>
      </w:r>
      <w:r>
        <w:rPr>
          <w:rFonts w:ascii="Times New Roman" w:hAnsi="Times New Roman"/>
          <w:b/>
          <w:color w:val="202833"/>
          <w:sz w:val="22"/>
        </w:rPr>
        <w:t>人工智能 大模型 第</w:t>
      </w:r>
      <w:r>
        <w:rPr>
          <w:rFonts w:eastAsia="宋体"/>
          <w:b/>
          <w:color w:val="202833"/>
          <w:sz w:val="22"/>
        </w:rPr>
        <w:t>2</w:t>
      </w:r>
      <w:r>
        <w:rPr>
          <w:rFonts w:ascii="Times New Roman" w:hAnsi="Times New Roman"/>
          <w:b/>
          <w:color w:val="202833"/>
          <w:sz w:val="22"/>
        </w:rPr>
        <w:t>部分：评测指标与方法</w:t>
      </w:r>
      <w:r>
        <w:rPr>
          <w:rFonts w:eastAsia="宋体"/>
          <w:b w:val="false"/>
          <w:color w:val="202833"/>
          <w:sz w:val="22"/>
        </w:rPr>
        <w:t xml:space="preserve">. </w:t>
      </w:r>
      <w:r>
        <w:rPr>
          <w:rFonts w:ascii="Times New Roman" w:hAnsi="Times New Roman"/>
          <w:b w:val="false"/>
          <w:color w:val="202833"/>
          <w:sz w:val="22"/>
        </w:rPr>
        <w:t>发布日期：</w:t>
      </w:r>
      <w:r>
        <w:rPr>
          <w:rFonts w:eastAsia="宋体"/>
          <w:b w:val="false"/>
          <w:color w:val="202833"/>
          <w:sz w:val="22"/>
        </w:rPr>
        <w:t>2025-02-28</w:t>
      </w:r>
      <w:r>
        <w:rPr>
          <w:rFonts w:ascii="Times New Roman" w:hAnsi="Times New Roman"/>
          <w:b w:val="false"/>
          <w:color w:val="202833"/>
          <w:sz w:val="22"/>
        </w:rPr>
        <w:t>；实施日期：</w:t>
      </w:r>
      <w:r>
        <w:rPr>
          <w:rFonts w:eastAsia="宋体"/>
          <w:b w:val="false"/>
          <w:color w:val="202833"/>
          <w:sz w:val="22"/>
        </w:rPr>
        <w:t xml:space="preserve">2025-02-28. https://openstd.samr.gov.cn/bzgk/gb/newGbInfo?hcno=96F5EFDEB471C204455462EAF0C235E6 </w:t>
      </w:r>
      <w:r>
        <w:rPr>
          <w:rFonts w:ascii="Times New Roman" w:hAnsi="Times New Roman"/>
          <w:b w:val="false"/>
          <w:color w:val="202833"/>
          <w:sz w:val="22"/>
        </w:rPr>
        <w:t>（访问日期：</w:t>
      </w:r>
      <w:r>
        <w:rPr>
          <w:rFonts w:eastAsia="宋体"/>
          <w:b w:val="false"/>
          <w:color w:val="202833"/>
          <w:sz w:val="22"/>
        </w:rPr>
        <w:t>2026-07-19</w:t>
      </w:r>
      <w:r>
        <w:rPr>
          <w:rFonts w:ascii="Times New Roman" w:hAnsi="Times New Roman"/>
          <w:b w:val="false"/>
          <w:color w:val="202833"/>
          <w:sz w:val="22"/>
        </w:rPr>
        <w:t>）</w:t>
      </w:r>
      <w:r>
        <w:rPr>
          <w:rFonts w:eastAsia="宋体"/>
          <w:b w:val="false"/>
          <w:color w:val="202833"/>
          <w:sz w:val="22"/>
        </w:rPr>
        <w:t>.</w:t>
      </w:r>
    </w:p>
    <w:p>
      <w:pPr>
        <w:pStyle w:val="Normal"/>
        <w:widowControl/>
        <w:rPr/>
      </w:pPr>
      <w:r>
        <w:rPr>
          <w:rFonts w:eastAsia="宋体"/>
          <w:b w:val="false"/>
          <w:color w:val="202833"/>
          <w:sz w:val="22"/>
        </w:rPr>
        <w:t>[4] [</w:t>
      </w:r>
      <w:r>
        <w:rPr>
          <w:rFonts w:ascii="Times New Roman" w:hAnsi="Times New Roman"/>
          <w:b w:val="false"/>
          <w:color w:val="202833"/>
          <w:sz w:val="22"/>
        </w:rPr>
        <w:t>国家标准</w:t>
      </w:r>
      <w:r>
        <w:rPr>
          <w:rFonts w:eastAsia="宋体"/>
          <w:b w:val="false"/>
          <w:color w:val="202833"/>
          <w:sz w:val="22"/>
        </w:rPr>
        <w:t xml:space="preserve">] </w:t>
      </w:r>
      <w:r>
        <w:rPr>
          <w:rFonts w:ascii="Times New Roman" w:hAnsi="Times New Roman"/>
          <w:b w:val="false"/>
          <w:color w:val="202833"/>
          <w:sz w:val="22"/>
        </w:rPr>
        <w:t>国家市场监督管理总局、国家标准化管理委员会</w:t>
      </w:r>
      <w:r>
        <w:rPr>
          <w:rFonts w:eastAsia="宋体"/>
          <w:b w:val="false"/>
          <w:color w:val="202833"/>
          <w:sz w:val="22"/>
        </w:rPr>
        <w:t xml:space="preserve">. </w:t>
      </w:r>
      <w:r>
        <w:rPr>
          <w:rFonts w:eastAsia="宋体"/>
          <w:b/>
          <w:color w:val="202833"/>
          <w:sz w:val="22"/>
        </w:rPr>
        <w:t xml:space="preserve">GB/T 45288.3-2025 </w:t>
      </w:r>
      <w:r>
        <w:rPr>
          <w:rFonts w:ascii="Times New Roman" w:hAnsi="Times New Roman"/>
          <w:b/>
          <w:color w:val="202833"/>
          <w:sz w:val="22"/>
        </w:rPr>
        <w:t>人工智能 大模型 第</w:t>
      </w:r>
      <w:r>
        <w:rPr>
          <w:rFonts w:eastAsia="宋体"/>
          <w:b/>
          <w:color w:val="202833"/>
          <w:sz w:val="22"/>
        </w:rPr>
        <w:t>3</w:t>
      </w:r>
      <w:r>
        <w:rPr>
          <w:rFonts w:ascii="Times New Roman" w:hAnsi="Times New Roman"/>
          <w:b/>
          <w:color w:val="202833"/>
          <w:sz w:val="22"/>
        </w:rPr>
        <w:t>部分：服务能力成熟度评估</w:t>
      </w:r>
      <w:r>
        <w:rPr>
          <w:rFonts w:eastAsia="宋体"/>
          <w:b w:val="false"/>
          <w:color w:val="202833"/>
          <w:sz w:val="22"/>
        </w:rPr>
        <w:t xml:space="preserve">. </w:t>
      </w:r>
      <w:r>
        <w:rPr>
          <w:rFonts w:ascii="Times New Roman" w:hAnsi="Times New Roman"/>
          <w:b w:val="false"/>
          <w:color w:val="202833"/>
          <w:sz w:val="22"/>
        </w:rPr>
        <w:t>发布日期：</w:t>
      </w:r>
      <w:r>
        <w:rPr>
          <w:rFonts w:eastAsia="宋体"/>
          <w:b w:val="false"/>
          <w:color w:val="202833"/>
          <w:sz w:val="22"/>
        </w:rPr>
        <w:t>2025-01-24</w:t>
      </w:r>
      <w:r>
        <w:rPr>
          <w:rFonts w:ascii="Times New Roman" w:hAnsi="Times New Roman"/>
          <w:b w:val="false"/>
          <w:color w:val="202833"/>
          <w:sz w:val="22"/>
        </w:rPr>
        <w:t>；实施日期：</w:t>
      </w:r>
      <w:r>
        <w:rPr>
          <w:rFonts w:eastAsia="宋体"/>
          <w:b w:val="false"/>
          <w:color w:val="202833"/>
          <w:sz w:val="22"/>
        </w:rPr>
        <w:t xml:space="preserve">2025-01-24. https://openstd.samr.gov.cn/bzgk/gb/newGbInfo?hcno=33CBA85B7F09A3D050FE071D5557BE38 </w:t>
      </w:r>
      <w:r>
        <w:rPr>
          <w:rFonts w:ascii="Times New Roman" w:hAnsi="Times New Roman"/>
          <w:b w:val="false"/>
          <w:color w:val="202833"/>
          <w:sz w:val="22"/>
        </w:rPr>
        <w:t>（访问日期：</w:t>
      </w:r>
      <w:r>
        <w:rPr>
          <w:rFonts w:eastAsia="宋体"/>
          <w:b w:val="false"/>
          <w:color w:val="202833"/>
          <w:sz w:val="22"/>
        </w:rPr>
        <w:t>2026-07-19</w:t>
      </w:r>
      <w:r>
        <w:rPr>
          <w:rFonts w:ascii="Times New Roman" w:hAnsi="Times New Roman"/>
          <w:b w:val="false"/>
          <w:color w:val="202833"/>
          <w:sz w:val="22"/>
        </w:rPr>
        <w:t>）</w:t>
      </w:r>
      <w:r>
        <w:rPr>
          <w:rFonts w:eastAsia="宋体"/>
          <w:b w:val="false"/>
          <w:color w:val="202833"/>
          <w:sz w:val="22"/>
        </w:rPr>
        <w:t>.</w:t>
      </w:r>
    </w:p>
    <w:p>
      <w:pPr>
        <w:pStyle w:val="Normal"/>
        <w:widowControl/>
        <w:rPr/>
      </w:pPr>
      <w:r>
        <w:rPr>
          <w:rFonts w:eastAsia="宋体"/>
          <w:b w:val="false"/>
          <w:color w:val="202833"/>
          <w:sz w:val="22"/>
        </w:rPr>
        <w:t>[5] [</w:t>
      </w:r>
      <w:r>
        <w:rPr>
          <w:rFonts w:ascii="Times New Roman" w:hAnsi="Times New Roman"/>
          <w:b w:val="false"/>
          <w:color w:val="202833"/>
          <w:sz w:val="22"/>
        </w:rPr>
        <w:t>国家标准</w:t>
      </w:r>
      <w:r>
        <w:rPr>
          <w:rFonts w:eastAsia="宋体"/>
          <w:b w:val="false"/>
          <w:color w:val="202833"/>
          <w:sz w:val="22"/>
        </w:rPr>
        <w:t xml:space="preserve">] </w:t>
      </w:r>
      <w:r>
        <w:rPr>
          <w:rFonts w:ascii="Times New Roman" w:hAnsi="Times New Roman"/>
          <w:b w:val="false"/>
          <w:color w:val="202833"/>
          <w:sz w:val="22"/>
        </w:rPr>
        <w:t>国家市场监督管理总局、国家标准化管理委员会</w:t>
      </w:r>
      <w:r>
        <w:rPr>
          <w:rFonts w:eastAsia="宋体"/>
          <w:b w:val="false"/>
          <w:color w:val="202833"/>
          <w:sz w:val="22"/>
        </w:rPr>
        <w:t xml:space="preserve">. </w:t>
      </w:r>
      <w:r>
        <w:rPr>
          <w:rFonts w:eastAsia="宋体"/>
          <w:b/>
          <w:color w:val="202833"/>
          <w:sz w:val="22"/>
        </w:rPr>
        <w:t xml:space="preserve">GB/T 45654-2025 </w:t>
      </w:r>
      <w:r>
        <w:rPr>
          <w:rFonts w:ascii="Times New Roman" w:hAnsi="Times New Roman"/>
          <w:b/>
          <w:color w:val="202833"/>
          <w:sz w:val="22"/>
        </w:rPr>
        <w:t>网络安全技术 生成式人工智能服务安全基本要求</w:t>
      </w:r>
      <w:r>
        <w:rPr>
          <w:rFonts w:eastAsia="宋体"/>
          <w:b w:val="false"/>
          <w:color w:val="202833"/>
          <w:sz w:val="22"/>
        </w:rPr>
        <w:t xml:space="preserve">. </w:t>
      </w:r>
      <w:r>
        <w:rPr>
          <w:rFonts w:ascii="Times New Roman" w:hAnsi="Times New Roman"/>
          <w:b w:val="false"/>
          <w:color w:val="202833"/>
          <w:sz w:val="22"/>
        </w:rPr>
        <w:t>发布日期：</w:t>
      </w:r>
      <w:r>
        <w:rPr>
          <w:rFonts w:eastAsia="宋体"/>
          <w:b w:val="false"/>
          <w:color w:val="202833"/>
          <w:sz w:val="22"/>
        </w:rPr>
        <w:t>2025-04-25</w:t>
      </w:r>
      <w:r>
        <w:rPr>
          <w:rFonts w:ascii="Times New Roman" w:hAnsi="Times New Roman"/>
          <w:b w:val="false"/>
          <w:color w:val="202833"/>
          <w:sz w:val="22"/>
        </w:rPr>
        <w:t>；实施日期：</w:t>
      </w:r>
      <w:r>
        <w:rPr>
          <w:rFonts w:eastAsia="宋体"/>
          <w:b w:val="false"/>
          <w:color w:val="202833"/>
          <w:sz w:val="22"/>
        </w:rPr>
        <w:t xml:space="preserve">2025-11-01. https://openstd.samr.gov.cn/bzgk/gb/newGbInfo?hcno=F67D3F376E0A0A0FF5317FB36B32A30A </w:t>
      </w:r>
      <w:r>
        <w:rPr>
          <w:rFonts w:ascii="Times New Roman" w:hAnsi="Times New Roman"/>
          <w:b w:val="false"/>
          <w:color w:val="202833"/>
          <w:sz w:val="22"/>
        </w:rPr>
        <w:t>（访问日期：</w:t>
      </w:r>
      <w:r>
        <w:rPr>
          <w:rFonts w:eastAsia="宋体"/>
          <w:b w:val="false"/>
          <w:color w:val="202833"/>
          <w:sz w:val="22"/>
        </w:rPr>
        <w:t>2026-07-19</w:t>
      </w:r>
      <w:r>
        <w:rPr>
          <w:rFonts w:ascii="Times New Roman" w:hAnsi="Times New Roman"/>
          <w:b w:val="false"/>
          <w:color w:val="202833"/>
          <w:sz w:val="22"/>
        </w:rPr>
        <w:t>）</w:t>
      </w:r>
      <w:r>
        <w:rPr>
          <w:rFonts w:eastAsia="宋体"/>
          <w:b w:val="false"/>
          <w:color w:val="202833"/>
          <w:sz w:val="22"/>
        </w:rPr>
        <w:t>.</w:t>
      </w:r>
    </w:p>
    <w:p>
      <w:pPr>
        <w:pStyle w:val="Normal"/>
        <w:widowControl/>
        <w:rPr/>
      </w:pPr>
      <w:r>
        <w:rPr>
          <w:rFonts w:eastAsia="宋体"/>
          <w:b w:val="false"/>
          <w:color w:val="202833"/>
          <w:sz w:val="22"/>
        </w:rPr>
        <w:t>[6] [</w:t>
      </w:r>
      <w:r>
        <w:rPr>
          <w:rFonts w:ascii="Times New Roman" w:hAnsi="Times New Roman"/>
          <w:b w:val="false"/>
          <w:color w:val="202833"/>
          <w:sz w:val="22"/>
        </w:rPr>
        <w:t>强制性国家标准</w:t>
      </w:r>
      <w:r>
        <w:rPr>
          <w:rFonts w:eastAsia="宋体"/>
          <w:b w:val="false"/>
          <w:color w:val="202833"/>
          <w:sz w:val="22"/>
        </w:rPr>
        <w:t xml:space="preserve">] </w:t>
      </w:r>
      <w:r>
        <w:rPr>
          <w:rFonts w:ascii="Times New Roman" w:hAnsi="Times New Roman"/>
          <w:b w:val="false"/>
          <w:color w:val="202833"/>
          <w:sz w:val="22"/>
        </w:rPr>
        <w:t>国家市场监督管理总局、国家标准化管理委员会</w:t>
      </w:r>
      <w:r>
        <w:rPr>
          <w:rFonts w:eastAsia="宋体"/>
          <w:b w:val="false"/>
          <w:color w:val="202833"/>
          <w:sz w:val="22"/>
        </w:rPr>
        <w:t xml:space="preserve">. </w:t>
      </w:r>
      <w:r>
        <w:rPr>
          <w:rFonts w:eastAsia="宋体"/>
          <w:b/>
          <w:color w:val="202833"/>
          <w:sz w:val="22"/>
        </w:rPr>
        <w:t xml:space="preserve">GB 45438-2025 </w:t>
      </w:r>
      <w:r>
        <w:rPr>
          <w:rFonts w:ascii="Times New Roman" w:hAnsi="Times New Roman"/>
          <w:b/>
          <w:color w:val="202833"/>
          <w:sz w:val="22"/>
        </w:rPr>
        <w:t>网络安全技术 人工智能生成合成内容标识方法</w:t>
      </w:r>
      <w:r>
        <w:rPr>
          <w:rFonts w:eastAsia="宋体"/>
          <w:b w:val="false"/>
          <w:color w:val="202833"/>
          <w:sz w:val="22"/>
        </w:rPr>
        <w:t xml:space="preserve">. </w:t>
      </w:r>
      <w:r>
        <w:rPr>
          <w:rFonts w:ascii="Times New Roman" w:hAnsi="Times New Roman"/>
          <w:b w:val="false"/>
          <w:color w:val="202833"/>
          <w:sz w:val="22"/>
        </w:rPr>
        <w:t>发布日期：</w:t>
      </w:r>
      <w:r>
        <w:rPr>
          <w:rFonts w:eastAsia="宋体"/>
          <w:b w:val="false"/>
          <w:color w:val="202833"/>
          <w:sz w:val="22"/>
        </w:rPr>
        <w:t>2025-02-28</w:t>
      </w:r>
      <w:r>
        <w:rPr>
          <w:rFonts w:ascii="Times New Roman" w:hAnsi="Times New Roman"/>
          <w:b w:val="false"/>
          <w:color w:val="202833"/>
          <w:sz w:val="22"/>
        </w:rPr>
        <w:t>；实施日期：</w:t>
      </w:r>
      <w:r>
        <w:rPr>
          <w:rFonts w:eastAsia="宋体"/>
          <w:b w:val="false"/>
          <w:color w:val="202833"/>
          <w:sz w:val="22"/>
        </w:rPr>
        <w:t xml:space="preserve">2025-09-01. https://openstd.samr.gov.cn/bzgk/gb/newGbInfo?hcno=F32EA2A561F1886CD8D606513512D547 </w:t>
      </w:r>
      <w:r>
        <w:rPr>
          <w:rFonts w:ascii="Times New Roman" w:hAnsi="Times New Roman"/>
          <w:b w:val="false"/>
          <w:color w:val="202833"/>
          <w:sz w:val="22"/>
        </w:rPr>
        <w:t>（访问日期：</w:t>
      </w:r>
      <w:r>
        <w:rPr>
          <w:rFonts w:eastAsia="宋体"/>
          <w:b w:val="false"/>
          <w:color w:val="202833"/>
          <w:sz w:val="22"/>
        </w:rPr>
        <w:t>2026-07-19</w:t>
      </w:r>
      <w:r>
        <w:rPr>
          <w:rFonts w:ascii="Times New Roman" w:hAnsi="Times New Roman"/>
          <w:b w:val="false"/>
          <w:color w:val="202833"/>
          <w:sz w:val="22"/>
        </w:rPr>
        <w:t>）</w:t>
      </w:r>
      <w:r>
        <w:rPr>
          <w:rFonts w:eastAsia="宋体"/>
          <w:b w:val="false"/>
          <w:color w:val="202833"/>
          <w:sz w:val="22"/>
        </w:rPr>
        <w:t>.</w:t>
      </w:r>
    </w:p>
    <w:p>
      <w:pPr>
        <w:pStyle w:val="Normal"/>
        <w:widowControl/>
        <w:rPr/>
      </w:pPr>
      <w:r>
        <w:rPr>
          <w:rFonts w:eastAsia="宋体"/>
          <w:b w:val="false"/>
          <w:color w:val="202833"/>
          <w:sz w:val="22"/>
        </w:rPr>
        <w:t>[7] [</w:t>
      </w:r>
      <w:r>
        <w:rPr>
          <w:rFonts w:ascii="Times New Roman" w:hAnsi="Times New Roman"/>
          <w:b w:val="false"/>
          <w:color w:val="202833"/>
          <w:sz w:val="22"/>
        </w:rPr>
        <w:t>部门规章</w:t>
      </w:r>
      <w:r>
        <w:rPr>
          <w:rFonts w:eastAsia="宋体"/>
          <w:b w:val="false"/>
          <w:color w:val="202833"/>
          <w:sz w:val="22"/>
        </w:rPr>
        <w:t xml:space="preserve">] </w:t>
      </w:r>
      <w:r>
        <w:rPr>
          <w:rFonts w:ascii="Times New Roman" w:hAnsi="Times New Roman"/>
          <w:b w:val="false"/>
          <w:color w:val="202833"/>
          <w:sz w:val="22"/>
        </w:rPr>
        <w:t>国家互联网信息办公室等七部门</w:t>
      </w:r>
      <w:r>
        <w:rPr>
          <w:rFonts w:eastAsia="宋体"/>
          <w:b w:val="false"/>
          <w:color w:val="202833"/>
          <w:sz w:val="22"/>
        </w:rPr>
        <w:t xml:space="preserve">. </w:t>
      </w:r>
      <w:r>
        <w:rPr>
          <w:rFonts w:ascii="Times New Roman" w:hAnsi="Times New Roman"/>
          <w:b/>
          <w:color w:val="202833"/>
          <w:sz w:val="22"/>
        </w:rPr>
        <w:t>生成式人工智能服务管理暂行办法</w:t>
      </w:r>
      <w:r>
        <w:rPr>
          <w:rFonts w:eastAsia="宋体"/>
          <w:b w:val="false"/>
          <w:color w:val="202833"/>
          <w:sz w:val="22"/>
        </w:rPr>
        <w:t xml:space="preserve">. </w:t>
      </w:r>
      <w:r>
        <w:rPr>
          <w:rFonts w:ascii="Times New Roman" w:hAnsi="Times New Roman"/>
          <w:b w:val="false"/>
          <w:color w:val="202833"/>
          <w:sz w:val="22"/>
        </w:rPr>
        <w:t>发布日期：</w:t>
      </w:r>
      <w:r>
        <w:rPr>
          <w:rFonts w:eastAsia="宋体"/>
          <w:b w:val="false"/>
          <w:color w:val="202833"/>
          <w:sz w:val="22"/>
        </w:rPr>
        <w:t>2023-07-13</w:t>
      </w:r>
      <w:r>
        <w:rPr>
          <w:rFonts w:ascii="Times New Roman" w:hAnsi="Times New Roman"/>
          <w:b w:val="false"/>
          <w:color w:val="202833"/>
          <w:sz w:val="22"/>
        </w:rPr>
        <w:t>；施行日期：</w:t>
      </w:r>
      <w:r>
        <w:rPr>
          <w:rFonts w:eastAsia="宋体"/>
          <w:b w:val="false"/>
          <w:color w:val="202833"/>
          <w:sz w:val="22"/>
        </w:rPr>
        <w:t xml:space="preserve">2023-08-15. https://www.gov.cn/zhengce/zhengceku/202307/content_6891752.htm </w:t>
      </w:r>
      <w:r>
        <w:rPr>
          <w:rFonts w:ascii="Times New Roman" w:hAnsi="Times New Roman"/>
          <w:b w:val="false"/>
          <w:color w:val="202833"/>
          <w:sz w:val="22"/>
        </w:rPr>
        <w:t>（访问日期：</w:t>
      </w:r>
      <w:r>
        <w:rPr>
          <w:rFonts w:eastAsia="宋体"/>
          <w:b w:val="false"/>
          <w:color w:val="202833"/>
          <w:sz w:val="22"/>
        </w:rPr>
        <w:t>2026-07-19</w:t>
      </w:r>
      <w:r>
        <w:rPr>
          <w:rFonts w:ascii="Times New Roman" w:hAnsi="Times New Roman"/>
          <w:b w:val="false"/>
          <w:color w:val="202833"/>
          <w:sz w:val="22"/>
        </w:rPr>
        <w:t>）</w:t>
      </w:r>
      <w:r>
        <w:rPr>
          <w:rFonts w:eastAsia="宋体"/>
          <w:b w:val="false"/>
          <w:color w:val="202833"/>
          <w:sz w:val="22"/>
        </w:rPr>
        <w:t>.</w:t>
      </w:r>
    </w:p>
    <w:p>
      <w:pPr>
        <w:pStyle w:val="Normal"/>
        <w:widowControl/>
        <w:rPr/>
      </w:pPr>
      <w:r>
        <w:rPr>
          <w:rFonts w:eastAsia="宋体"/>
          <w:b w:val="false"/>
          <w:color w:val="202833"/>
          <w:sz w:val="22"/>
        </w:rPr>
        <w:t>[8] [</w:t>
      </w:r>
      <w:r>
        <w:rPr>
          <w:rFonts w:ascii="Times New Roman" w:hAnsi="Times New Roman"/>
          <w:b w:val="false"/>
          <w:color w:val="202833"/>
          <w:sz w:val="22"/>
        </w:rPr>
        <w:t>部门规范文件</w:t>
      </w:r>
      <w:r>
        <w:rPr>
          <w:rFonts w:eastAsia="宋体"/>
          <w:b w:val="false"/>
          <w:color w:val="202833"/>
          <w:sz w:val="22"/>
        </w:rPr>
        <w:t xml:space="preserve">] </w:t>
      </w:r>
      <w:r>
        <w:rPr>
          <w:rFonts w:ascii="Times New Roman" w:hAnsi="Times New Roman"/>
          <w:b w:val="false"/>
          <w:color w:val="202833"/>
          <w:sz w:val="22"/>
        </w:rPr>
        <w:t>国家互联网信息办公室、工业和信息化部、公安部、国家广播电视总局</w:t>
      </w:r>
      <w:r>
        <w:rPr>
          <w:rFonts w:eastAsia="宋体"/>
          <w:b w:val="false"/>
          <w:color w:val="202833"/>
          <w:sz w:val="22"/>
        </w:rPr>
        <w:t xml:space="preserve">. </w:t>
      </w:r>
      <w:r>
        <w:rPr>
          <w:rFonts w:ascii="Times New Roman" w:hAnsi="Times New Roman"/>
          <w:b/>
          <w:color w:val="202833"/>
          <w:sz w:val="22"/>
        </w:rPr>
        <w:t>人工智能生成合成内容标识办法</w:t>
      </w:r>
      <w:r>
        <w:rPr>
          <w:rFonts w:eastAsia="宋体"/>
          <w:b w:val="false"/>
          <w:color w:val="202833"/>
          <w:sz w:val="22"/>
        </w:rPr>
        <w:t xml:space="preserve">. </w:t>
      </w:r>
      <w:r>
        <w:rPr>
          <w:rFonts w:ascii="Times New Roman" w:hAnsi="Times New Roman"/>
          <w:b w:val="false"/>
          <w:color w:val="202833"/>
          <w:sz w:val="22"/>
        </w:rPr>
        <w:t>发布日期：</w:t>
      </w:r>
      <w:r>
        <w:rPr>
          <w:rFonts w:eastAsia="宋体"/>
          <w:b w:val="false"/>
          <w:color w:val="202833"/>
          <w:sz w:val="22"/>
        </w:rPr>
        <w:t>2025-03-14</w:t>
      </w:r>
      <w:r>
        <w:rPr>
          <w:rFonts w:ascii="Times New Roman" w:hAnsi="Times New Roman"/>
          <w:b w:val="false"/>
          <w:color w:val="202833"/>
          <w:sz w:val="22"/>
        </w:rPr>
        <w:t>；施行日期：</w:t>
      </w:r>
      <w:r>
        <w:rPr>
          <w:rFonts w:eastAsia="宋体"/>
          <w:b w:val="false"/>
          <w:color w:val="202833"/>
          <w:sz w:val="22"/>
        </w:rPr>
        <w:t xml:space="preserve">2025-09-01. https://www.cac.gov.cn/2025-03/14/c_1743654684782215.htm </w:t>
      </w:r>
      <w:r>
        <w:rPr>
          <w:rFonts w:ascii="Times New Roman" w:hAnsi="Times New Roman"/>
          <w:b w:val="false"/>
          <w:color w:val="202833"/>
          <w:sz w:val="22"/>
        </w:rPr>
        <w:t>（访问日期：</w:t>
      </w:r>
      <w:r>
        <w:rPr>
          <w:rFonts w:eastAsia="宋体"/>
          <w:b w:val="false"/>
          <w:color w:val="202833"/>
          <w:sz w:val="22"/>
        </w:rPr>
        <w:t>2026-07-19</w:t>
      </w:r>
      <w:r>
        <w:rPr>
          <w:rFonts w:ascii="Times New Roman" w:hAnsi="Times New Roman"/>
          <w:b w:val="false"/>
          <w:color w:val="202833"/>
          <w:sz w:val="22"/>
        </w:rPr>
        <w:t>）</w:t>
      </w:r>
      <w:r>
        <w:rPr>
          <w:rFonts w:eastAsia="宋体"/>
          <w:b w:val="false"/>
          <w:color w:val="202833"/>
          <w:sz w:val="22"/>
        </w:rPr>
        <w:t>.</w:t>
      </w:r>
    </w:p>
    <w:p>
      <w:pPr>
        <w:pStyle w:val="Normal"/>
        <w:widowControl/>
        <w:rPr/>
      </w:pPr>
      <w:r>
        <w:rPr>
          <w:rFonts w:eastAsia="宋体"/>
          <w:b w:val="false"/>
          <w:color w:val="202833"/>
          <w:sz w:val="22"/>
        </w:rPr>
        <w:t>[9] [</w:t>
      </w:r>
      <w:r>
        <w:rPr>
          <w:rFonts w:ascii="Times New Roman" w:hAnsi="Times New Roman"/>
          <w:b w:val="false"/>
          <w:color w:val="202833"/>
          <w:sz w:val="22"/>
        </w:rPr>
        <w:t>官方治理框架</w:t>
      </w:r>
      <w:r>
        <w:rPr>
          <w:rFonts w:eastAsia="宋体"/>
          <w:b w:val="false"/>
          <w:color w:val="202833"/>
          <w:sz w:val="22"/>
        </w:rPr>
        <w:t xml:space="preserve">] </w:t>
      </w:r>
      <w:r>
        <w:rPr>
          <w:rFonts w:ascii="Times New Roman" w:hAnsi="Times New Roman"/>
          <w:b w:val="false"/>
          <w:color w:val="202833"/>
          <w:sz w:val="22"/>
        </w:rPr>
        <w:t>全国网络安全标准化技术委员会</w:t>
      </w:r>
      <w:r>
        <w:rPr>
          <w:rFonts w:eastAsia="宋体"/>
          <w:b w:val="false"/>
          <w:color w:val="202833"/>
          <w:sz w:val="22"/>
        </w:rPr>
        <w:t xml:space="preserve">. </w:t>
      </w:r>
      <w:r>
        <w:rPr>
          <w:rFonts w:ascii="Times New Roman" w:hAnsi="Times New Roman"/>
          <w:b/>
          <w:color w:val="202833"/>
          <w:sz w:val="22"/>
        </w:rPr>
        <w:t>《人工智能安全治理框架》</w:t>
      </w:r>
      <w:r>
        <w:rPr>
          <w:rFonts w:eastAsia="宋体"/>
          <w:b/>
          <w:color w:val="202833"/>
          <w:sz w:val="22"/>
        </w:rPr>
        <w:t>2.0</w:t>
      </w:r>
      <w:r>
        <w:rPr>
          <w:rFonts w:ascii="Times New Roman" w:hAnsi="Times New Roman"/>
          <w:b/>
          <w:color w:val="202833"/>
          <w:sz w:val="22"/>
        </w:rPr>
        <w:t>版</w:t>
      </w:r>
      <w:r>
        <w:rPr>
          <w:rFonts w:eastAsia="宋体"/>
          <w:b w:val="false"/>
          <w:color w:val="202833"/>
          <w:sz w:val="22"/>
        </w:rPr>
        <w:t xml:space="preserve">. </w:t>
      </w:r>
      <w:r>
        <w:rPr>
          <w:rFonts w:ascii="Times New Roman" w:hAnsi="Times New Roman"/>
          <w:b w:val="false"/>
          <w:color w:val="202833"/>
          <w:sz w:val="22"/>
        </w:rPr>
        <w:t>发布日期：</w:t>
      </w:r>
      <w:r>
        <w:rPr>
          <w:rFonts w:eastAsia="宋体"/>
          <w:b w:val="false"/>
          <w:color w:val="202833"/>
          <w:sz w:val="22"/>
        </w:rPr>
        <w:t xml:space="preserve">2025-09-15. https://www.tc260.org.cn/portal/article/2/20250915124214 </w:t>
      </w:r>
      <w:r>
        <w:rPr>
          <w:rFonts w:ascii="Times New Roman" w:hAnsi="Times New Roman"/>
          <w:b w:val="false"/>
          <w:color w:val="202833"/>
          <w:sz w:val="22"/>
        </w:rPr>
        <w:t>（访问日期：</w:t>
      </w:r>
      <w:r>
        <w:rPr>
          <w:rFonts w:eastAsia="宋体"/>
          <w:b w:val="false"/>
          <w:color w:val="202833"/>
          <w:sz w:val="22"/>
        </w:rPr>
        <w:t>2026-07-19</w:t>
      </w:r>
      <w:r>
        <w:rPr>
          <w:rFonts w:ascii="Times New Roman" w:hAnsi="Times New Roman"/>
          <w:b w:val="false"/>
          <w:color w:val="202833"/>
          <w:sz w:val="22"/>
        </w:rPr>
        <w:t>）</w:t>
      </w:r>
      <w:r>
        <w:rPr>
          <w:rFonts w:eastAsia="宋体"/>
          <w:b w:val="false"/>
          <w:color w:val="202833"/>
          <w:sz w:val="22"/>
        </w:rPr>
        <w:t>.</w:t>
      </w:r>
    </w:p>
    <w:p>
      <w:pPr>
        <w:pStyle w:val="Normal"/>
        <w:widowControl/>
        <w:rPr/>
      </w:pPr>
      <w:r>
        <w:rPr>
          <w:rFonts w:eastAsia="宋体"/>
          <w:b w:val="false"/>
          <w:color w:val="202833"/>
          <w:sz w:val="22"/>
        </w:rPr>
        <w:t>[10] [</w:t>
      </w:r>
      <w:r>
        <w:rPr>
          <w:rFonts w:ascii="Times New Roman" w:hAnsi="Times New Roman"/>
          <w:b w:val="false"/>
          <w:color w:val="202833"/>
          <w:sz w:val="22"/>
        </w:rPr>
        <w:t>政府技术报告</w:t>
      </w:r>
      <w:r>
        <w:rPr>
          <w:rFonts w:eastAsia="宋体"/>
          <w:b w:val="false"/>
          <w:color w:val="202833"/>
          <w:sz w:val="22"/>
        </w:rPr>
        <w:t xml:space="preserve">] National Institute of Standards and Technology. </w:t>
      </w:r>
      <w:r>
        <w:rPr>
          <w:rFonts w:eastAsia="宋体"/>
          <w:b/>
          <w:color w:val="202833"/>
          <w:sz w:val="22"/>
        </w:rPr>
        <w:t>Artificial Intelligence Risk Management Framework (AI RMF 1.0), NIST AI 100-1</w:t>
      </w:r>
      <w:r>
        <w:rPr>
          <w:rFonts w:eastAsia="宋体"/>
          <w:b w:val="false"/>
          <w:color w:val="202833"/>
          <w:sz w:val="22"/>
        </w:rPr>
        <w:t xml:space="preserve">. 2023-01. DOI: https://doi.org/10.6028/NIST.AI.100-1 </w:t>
      </w:r>
      <w:r>
        <w:rPr>
          <w:rFonts w:ascii="Times New Roman" w:hAnsi="Times New Roman"/>
          <w:b w:val="false"/>
          <w:color w:val="202833"/>
          <w:sz w:val="22"/>
        </w:rPr>
        <w:t>（访问日期：</w:t>
      </w:r>
      <w:r>
        <w:rPr>
          <w:rFonts w:eastAsia="宋体"/>
          <w:b w:val="false"/>
          <w:color w:val="202833"/>
          <w:sz w:val="22"/>
        </w:rPr>
        <w:t>2026-07-19</w:t>
      </w:r>
      <w:r>
        <w:rPr>
          <w:rFonts w:ascii="Times New Roman" w:hAnsi="Times New Roman"/>
          <w:b w:val="false"/>
          <w:color w:val="202833"/>
          <w:sz w:val="22"/>
        </w:rPr>
        <w:t>）</w:t>
      </w:r>
      <w:r>
        <w:rPr>
          <w:rFonts w:eastAsia="宋体"/>
          <w:b w:val="false"/>
          <w:color w:val="202833"/>
          <w:sz w:val="22"/>
        </w:rPr>
        <w:t>.</w:t>
      </w:r>
    </w:p>
    <w:p>
      <w:pPr>
        <w:pStyle w:val="Normal"/>
        <w:widowControl/>
        <w:rPr/>
      </w:pPr>
      <w:r>
        <w:rPr>
          <w:rFonts w:eastAsia="宋体"/>
          <w:b w:val="false"/>
          <w:color w:val="202833"/>
          <w:sz w:val="22"/>
        </w:rPr>
        <w:t>[11] [</w:t>
      </w:r>
      <w:r>
        <w:rPr>
          <w:rFonts w:ascii="Times New Roman" w:hAnsi="Times New Roman"/>
          <w:b w:val="false"/>
          <w:color w:val="202833"/>
          <w:sz w:val="22"/>
        </w:rPr>
        <w:t>政府技术报告</w:t>
      </w:r>
      <w:r>
        <w:rPr>
          <w:rFonts w:eastAsia="宋体"/>
          <w:b w:val="false"/>
          <w:color w:val="202833"/>
          <w:sz w:val="22"/>
        </w:rPr>
        <w:t xml:space="preserve">] National Institute of Standards and Technology. </w:t>
      </w:r>
      <w:r>
        <w:rPr>
          <w:rFonts w:eastAsia="宋体"/>
          <w:b/>
          <w:color w:val="202833"/>
          <w:sz w:val="22"/>
        </w:rPr>
        <w:t>Artificial Intelligence Risk Management Framework: Generative Artificial Intelligence Profile, NIST AI 600-1</w:t>
      </w:r>
      <w:r>
        <w:rPr>
          <w:rFonts w:eastAsia="宋体"/>
          <w:b w:val="false"/>
          <w:color w:val="202833"/>
          <w:sz w:val="22"/>
        </w:rPr>
        <w:t xml:space="preserve">. 2024-07. DOI: https://doi.org/10.6028/NIST.AI.600-1 </w:t>
      </w:r>
      <w:r>
        <w:rPr>
          <w:rFonts w:ascii="Times New Roman" w:hAnsi="Times New Roman"/>
          <w:b w:val="false"/>
          <w:color w:val="202833"/>
          <w:sz w:val="22"/>
        </w:rPr>
        <w:t>（访问日期：</w:t>
      </w:r>
      <w:r>
        <w:rPr>
          <w:rFonts w:eastAsia="宋体"/>
          <w:b w:val="false"/>
          <w:color w:val="202833"/>
          <w:sz w:val="22"/>
        </w:rPr>
        <w:t>2026-07-19</w:t>
      </w:r>
      <w:r>
        <w:rPr>
          <w:rFonts w:ascii="Times New Roman" w:hAnsi="Times New Roman"/>
          <w:b w:val="false"/>
          <w:color w:val="202833"/>
          <w:sz w:val="22"/>
        </w:rPr>
        <w:t>）</w:t>
      </w:r>
      <w:r>
        <w:rPr>
          <w:rFonts w:eastAsia="宋体"/>
          <w:b w:val="false"/>
          <w:color w:val="202833"/>
          <w:sz w:val="22"/>
        </w:rPr>
        <w:t>.</w:t>
      </w:r>
    </w:p>
    <w:p>
      <w:pPr>
        <w:pStyle w:val="Normal"/>
        <w:widowControl/>
        <w:rPr/>
      </w:pPr>
      <w:r>
        <w:rPr>
          <w:rFonts w:eastAsia="宋体"/>
          <w:b w:val="false"/>
          <w:color w:val="202833"/>
          <w:sz w:val="22"/>
        </w:rPr>
        <w:t>[12] [</w:t>
      </w:r>
      <w:r>
        <w:rPr>
          <w:rFonts w:ascii="Times New Roman" w:hAnsi="Times New Roman"/>
          <w:b w:val="false"/>
          <w:color w:val="202833"/>
          <w:sz w:val="22"/>
        </w:rPr>
        <w:t>国际标准</w:t>
      </w:r>
      <w:r>
        <w:rPr>
          <w:rFonts w:eastAsia="宋体"/>
          <w:b w:val="false"/>
          <w:color w:val="202833"/>
          <w:sz w:val="22"/>
        </w:rPr>
        <w:t xml:space="preserve">] International Organization for Standardization / International Electrotechnical Commission. </w:t>
      </w:r>
      <w:r>
        <w:rPr>
          <w:rFonts w:eastAsia="宋体"/>
          <w:b/>
          <w:color w:val="202833"/>
          <w:sz w:val="22"/>
        </w:rPr>
        <w:t>ISO/IEC 42001:2023 Information technology — Artificial intelligence — Management system</w:t>
      </w:r>
      <w:r>
        <w:rPr>
          <w:rFonts w:eastAsia="宋体"/>
          <w:b w:val="false"/>
          <w:color w:val="202833"/>
          <w:sz w:val="22"/>
        </w:rPr>
        <w:t xml:space="preserve">. Publication date: 2023-12. https://www.iso.org/standard/81230.html </w:t>
      </w:r>
      <w:r>
        <w:rPr>
          <w:rFonts w:ascii="Times New Roman" w:hAnsi="Times New Roman"/>
          <w:b w:val="false"/>
          <w:color w:val="202833"/>
          <w:sz w:val="22"/>
        </w:rPr>
        <w:t>（访问日期：</w:t>
      </w:r>
      <w:r>
        <w:rPr>
          <w:rFonts w:eastAsia="宋体"/>
          <w:b w:val="false"/>
          <w:color w:val="202833"/>
          <w:sz w:val="22"/>
        </w:rPr>
        <w:t>2026-07-19</w:t>
      </w:r>
      <w:r>
        <w:rPr>
          <w:rFonts w:ascii="Times New Roman" w:hAnsi="Times New Roman"/>
          <w:b w:val="false"/>
          <w:color w:val="202833"/>
          <w:sz w:val="22"/>
        </w:rPr>
        <w:t>）</w:t>
      </w:r>
      <w:r>
        <w:rPr>
          <w:rFonts w:eastAsia="宋体"/>
          <w:b w:val="false"/>
          <w:color w:val="202833"/>
          <w:sz w:val="22"/>
        </w:rPr>
        <w:t>.</w:t>
      </w:r>
    </w:p>
    <w:p>
      <w:pPr>
        <w:pStyle w:val="Normal"/>
        <w:widowControl/>
        <w:rPr/>
      </w:pPr>
      <w:r>
        <w:rPr>
          <w:rFonts w:eastAsia="宋体"/>
          <w:b w:val="false"/>
          <w:color w:val="202833"/>
          <w:sz w:val="22"/>
        </w:rPr>
        <w:t>[13] [</w:t>
      </w:r>
      <w:r>
        <w:rPr>
          <w:rFonts w:ascii="Times New Roman" w:hAnsi="Times New Roman"/>
          <w:b w:val="false"/>
          <w:color w:val="202833"/>
          <w:sz w:val="22"/>
        </w:rPr>
        <w:t>国际标准</w:t>
      </w:r>
      <w:r>
        <w:rPr>
          <w:rFonts w:eastAsia="宋体"/>
          <w:b w:val="false"/>
          <w:color w:val="202833"/>
          <w:sz w:val="22"/>
        </w:rPr>
        <w:t xml:space="preserve">] International Organization for Standardization / International Electrotechnical Commission. </w:t>
      </w:r>
      <w:r>
        <w:rPr>
          <w:rFonts w:eastAsia="宋体"/>
          <w:b/>
          <w:color w:val="202833"/>
          <w:sz w:val="22"/>
        </w:rPr>
        <w:t>ISO/IEC 23894:2023 Information technology — Artificial intelligence — Guidance on risk management</w:t>
      </w:r>
      <w:r>
        <w:rPr>
          <w:rFonts w:eastAsia="宋体"/>
          <w:b w:val="false"/>
          <w:color w:val="202833"/>
          <w:sz w:val="22"/>
        </w:rPr>
        <w:t xml:space="preserve">. Publication date: 2023-02. https://www.iso.org/standard/77304.html </w:t>
      </w:r>
      <w:r>
        <w:rPr>
          <w:rFonts w:ascii="Times New Roman" w:hAnsi="Times New Roman"/>
          <w:b w:val="false"/>
          <w:color w:val="202833"/>
          <w:sz w:val="22"/>
        </w:rPr>
        <w:t>（访问日期：</w:t>
      </w:r>
      <w:r>
        <w:rPr>
          <w:rFonts w:eastAsia="宋体"/>
          <w:b w:val="false"/>
          <w:color w:val="202833"/>
          <w:sz w:val="22"/>
        </w:rPr>
        <w:t>2026-07-19</w:t>
      </w:r>
      <w:r>
        <w:rPr>
          <w:rFonts w:ascii="Times New Roman" w:hAnsi="Times New Roman"/>
          <w:b w:val="false"/>
          <w:color w:val="202833"/>
          <w:sz w:val="22"/>
        </w:rPr>
        <w:t>）</w:t>
      </w:r>
      <w:r>
        <w:rPr>
          <w:rFonts w:eastAsia="宋体"/>
          <w:b w:val="false"/>
          <w:color w:val="202833"/>
          <w:sz w:val="22"/>
        </w:rPr>
        <w:t>.</w:t>
      </w:r>
    </w:p>
    <w:p>
      <w:pPr>
        <w:pStyle w:val="Normal"/>
        <w:widowControl/>
        <w:rPr/>
      </w:pPr>
      <w:r>
        <w:rPr>
          <w:rFonts w:eastAsia="宋体"/>
          <w:b w:val="false"/>
          <w:color w:val="202833"/>
          <w:sz w:val="22"/>
        </w:rPr>
        <w:t>[14] [</w:t>
      </w:r>
      <w:r>
        <w:rPr>
          <w:rFonts w:ascii="Times New Roman" w:hAnsi="Times New Roman"/>
          <w:b w:val="false"/>
          <w:color w:val="202833"/>
          <w:sz w:val="22"/>
        </w:rPr>
        <w:t>国际标准</w:t>
      </w:r>
      <w:r>
        <w:rPr>
          <w:rFonts w:eastAsia="宋体"/>
          <w:b w:val="false"/>
          <w:color w:val="202833"/>
          <w:sz w:val="22"/>
        </w:rPr>
        <w:t xml:space="preserve">] International Organization for Standardization / International Electrotechnical Commission. </w:t>
      </w:r>
      <w:r>
        <w:rPr>
          <w:rFonts w:eastAsia="宋体"/>
          <w:b/>
          <w:color w:val="202833"/>
          <w:sz w:val="22"/>
        </w:rPr>
        <w:t>ISO/IEC 25059:2023 Software engineering — Systems and software Quality Requirements and Evaluation (SQuaRE) — Quality model for AI systems</w:t>
      </w:r>
      <w:r>
        <w:rPr>
          <w:rFonts w:eastAsia="宋体"/>
          <w:b w:val="false"/>
          <w:color w:val="202833"/>
          <w:sz w:val="22"/>
        </w:rPr>
        <w:t xml:space="preserve">. Publication date: 2023-06. https://www.iso.org/standard/80655.html </w:t>
      </w:r>
      <w:r>
        <w:rPr>
          <w:rFonts w:ascii="Times New Roman" w:hAnsi="Times New Roman"/>
          <w:b w:val="false"/>
          <w:color w:val="202833"/>
          <w:sz w:val="22"/>
        </w:rPr>
        <w:t>（访问日期：</w:t>
      </w:r>
      <w:r>
        <w:rPr>
          <w:rFonts w:eastAsia="宋体"/>
          <w:b w:val="false"/>
          <w:color w:val="202833"/>
          <w:sz w:val="22"/>
        </w:rPr>
        <w:t>2026-07-19</w:t>
      </w:r>
      <w:r>
        <w:rPr>
          <w:rFonts w:ascii="Times New Roman" w:hAnsi="Times New Roman"/>
          <w:b w:val="false"/>
          <w:color w:val="202833"/>
          <w:sz w:val="22"/>
        </w:rPr>
        <w:t>）</w:t>
      </w:r>
      <w:r>
        <w:rPr>
          <w:rFonts w:eastAsia="宋体"/>
          <w:b w:val="false"/>
          <w:color w:val="202833"/>
          <w:sz w:val="22"/>
        </w:rPr>
        <w:t>.</w:t>
      </w:r>
    </w:p>
    <w:p>
      <w:pPr>
        <w:pStyle w:val="Normal"/>
        <w:widowControl/>
        <w:rPr/>
      </w:pPr>
      <w:r>
        <w:rPr>
          <w:rFonts w:eastAsia="宋体"/>
          <w:b w:val="false"/>
          <w:color w:val="202833"/>
          <w:sz w:val="22"/>
        </w:rPr>
        <w:t>[15] [</w:t>
      </w:r>
      <w:r>
        <w:rPr>
          <w:rFonts w:ascii="Times New Roman" w:hAnsi="Times New Roman"/>
          <w:b w:val="false"/>
          <w:color w:val="202833"/>
          <w:sz w:val="22"/>
        </w:rPr>
        <w:t>法规</w:t>
      </w:r>
      <w:r>
        <w:rPr>
          <w:rFonts w:eastAsia="宋体"/>
          <w:b w:val="false"/>
          <w:color w:val="202833"/>
          <w:sz w:val="22"/>
        </w:rPr>
        <w:t xml:space="preserve">] European Parliament and Council of the European Union. </w:t>
      </w:r>
      <w:r>
        <w:rPr>
          <w:rFonts w:eastAsia="宋体"/>
          <w:b/>
          <w:color w:val="202833"/>
          <w:sz w:val="22"/>
        </w:rPr>
        <w:t>Regulation (EU) 2024/1689 laying down harmonised rules on artificial intelligence</w:t>
      </w:r>
      <w:r>
        <w:rPr>
          <w:rFonts w:eastAsia="宋体"/>
          <w:b w:val="false"/>
          <w:color w:val="202833"/>
          <w:sz w:val="22"/>
        </w:rPr>
        <w:t xml:space="preserve">. Official Journal publication date: 2024-07-12. https://eur-lex.europa.eu/eli/reg/2024/1689/oj </w:t>
      </w:r>
      <w:r>
        <w:rPr>
          <w:rFonts w:ascii="Times New Roman" w:hAnsi="Times New Roman"/>
          <w:b w:val="false"/>
          <w:color w:val="202833"/>
          <w:sz w:val="22"/>
        </w:rPr>
        <w:t>（访问日期：</w:t>
      </w:r>
      <w:r>
        <w:rPr>
          <w:rFonts w:eastAsia="宋体"/>
          <w:b w:val="false"/>
          <w:color w:val="202833"/>
          <w:sz w:val="22"/>
        </w:rPr>
        <w:t>2026-07-19</w:t>
      </w:r>
      <w:r>
        <w:rPr>
          <w:rFonts w:ascii="Times New Roman" w:hAnsi="Times New Roman"/>
          <w:b w:val="false"/>
          <w:color w:val="202833"/>
          <w:sz w:val="22"/>
        </w:rPr>
        <w:t>）</w:t>
      </w:r>
      <w:r>
        <w:rPr>
          <w:rFonts w:eastAsia="宋体"/>
          <w:b w:val="false"/>
          <w:color w:val="202833"/>
          <w:sz w:val="22"/>
        </w:rPr>
        <w:t>.</w:t>
      </w:r>
    </w:p>
    <w:p>
      <w:pPr>
        <w:pStyle w:val="Normal"/>
        <w:widowControl/>
        <w:rPr/>
      </w:pPr>
      <w:r>
        <w:rPr>
          <w:rFonts w:eastAsia="宋体"/>
          <w:b w:val="false"/>
          <w:color w:val="202833"/>
          <w:sz w:val="22"/>
        </w:rPr>
        <w:t>[16] [</w:t>
      </w:r>
      <w:r>
        <w:rPr>
          <w:rFonts w:ascii="Times New Roman" w:hAnsi="Times New Roman"/>
          <w:b w:val="false"/>
          <w:color w:val="202833"/>
          <w:sz w:val="22"/>
        </w:rPr>
        <w:t>政府技术指南</w:t>
      </w:r>
      <w:r>
        <w:rPr>
          <w:rFonts w:eastAsia="宋体"/>
          <w:b w:val="false"/>
          <w:color w:val="202833"/>
          <w:sz w:val="22"/>
        </w:rPr>
        <w:t xml:space="preserve">] Kent K, Souppaya M. National Institute of Standards and Technology. </w:t>
      </w:r>
      <w:r>
        <w:rPr>
          <w:rFonts w:eastAsia="宋体"/>
          <w:b/>
          <w:color w:val="202833"/>
          <w:sz w:val="22"/>
        </w:rPr>
        <w:t>Guide to Computer Security Log Management, NIST SP 800-92</w:t>
      </w:r>
      <w:r>
        <w:rPr>
          <w:rFonts w:eastAsia="宋体"/>
          <w:b w:val="false"/>
          <w:color w:val="202833"/>
          <w:sz w:val="22"/>
        </w:rPr>
        <w:t xml:space="preserve">. 2006-09. DOI: https://doi.org/10.6028/NIST.SP.800-92 </w:t>
      </w:r>
      <w:r>
        <w:rPr>
          <w:rFonts w:ascii="Times New Roman" w:hAnsi="Times New Roman"/>
          <w:b w:val="false"/>
          <w:color w:val="202833"/>
          <w:sz w:val="22"/>
        </w:rPr>
        <w:t>（访问日期：</w:t>
      </w:r>
      <w:r>
        <w:rPr>
          <w:rFonts w:eastAsia="宋体"/>
          <w:b w:val="false"/>
          <w:color w:val="202833"/>
          <w:sz w:val="22"/>
        </w:rPr>
        <w:t>2026-07-19</w:t>
      </w:r>
      <w:r>
        <w:rPr>
          <w:rFonts w:ascii="Times New Roman" w:hAnsi="Times New Roman"/>
          <w:b w:val="false"/>
          <w:color w:val="202833"/>
          <w:sz w:val="22"/>
        </w:rPr>
        <w:t>）</w:t>
      </w:r>
      <w:r>
        <w:rPr>
          <w:rFonts w:eastAsia="宋体"/>
          <w:b w:val="false"/>
          <w:color w:val="202833"/>
          <w:sz w:val="22"/>
        </w:rPr>
        <w:t>.</w:t>
      </w:r>
    </w:p>
    <w:p>
      <w:pPr>
        <w:pStyle w:val="Normal"/>
        <w:widowControl/>
        <w:rPr/>
      </w:pPr>
      <w:r>
        <w:rPr>
          <w:rFonts w:eastAsia="宋体"/>
          <w:b w:val="false"/>
          <w:color w:val="202833"/>
          <w:sz w:val="22"/>
        </w:rPr>
        <w:t>[17] [</w:t>
      </w:r>
      <w:r>
        <w:rPr>
          <w:rFonts w:ascii="Times New Roman" w:hAnsi="Times New Roman"/>
          <w:b w:val="false"/>
          <w:color w:val="202833"/>
          <w:sz w:val="22"/>
        </w:rPr>
        <w:t>开放标准规范</w:t>
      </w:r>
      <w:r>
        <w:rPr>
          <w:rFonts w:eastAsia="宋体"/>
          <w:b w:val="false"/>
          <w:color w:val="202833"/>
          <w:sz w:val="22"/>
        </w:rPr>
        <w:t xml:space="preserve">] OpenTelemetry Project, Cloud Native Computing Foundation. </w:t>
      </w:r>
      <w:r>
        <w:rPr>
          <w:rFonts w:eastAsia="宋体"/>
          <w:b/>
          <w:color w:val="202833"/>
          <w:sz w:val="22"/>
        </w:rPr>
        <w:t>Logs Data Model</w:t>
      </w:r>
      <w:r>
        <w:rPr>
          <w:rFonts w:eastAsia="宋体"/>
          <w:b w:val="false"/>
          <w:color w:val="202833"/>
          <w:sz w:val="22"/>
        </w:rPr>
        <w:t xml:space="preserve">. </w:t>
      </w:r>
      <w:r>
        <w:rPr>
          <w:rFonts w:ascii="Times New Roman" w:hAnsi="Times New Roman"/>
          <w:b w:val="false"/>
          <w:color w:val="202833"/>
          <w:sz w:val="22"/>
        </w:rPr>
        <w:t>持续更新页面，页面未标单次发布日期；实施时需固定规范版本</w:t>
      </w:r>
      <w:r>
        <w:rPr>
          <w:rFonts w:eastAsia="宋体"/>
          <w:b w:val="false"/>
          <w:color w:val="202833"/>
          <w:sz w:val="22"/>
        </w:rPr>
        <w:t xml:space="preserve">. https://opentelemetry.io/docs/specs/otel/logs/data-model/ </w:t>
      </w:r>
      <w:r>
        <w:rPr>
          <w:rFonts w:ascii="Times New Roman" w:hAnsi="Times New Roman"/>
          <w:b w:val="false"/>
          <w:color w:val="202833"/>
          <w:sz w:val="22"/>
        </w:rPr>
        <w:t>（访问日期：</w:t>
      </w:r>
      <w:r>
        <w:rPr>
          <w:rFonts w:eastAsia="宋体"/>
          <w:b w:val="false"/>
          <w:color w:val="202833"/>
          <w:sz w:val="22"/>
        </w:rPr>
        <w:t>2026-07-19</w:t>
      </w:r>
      <w:r>
        <w:rPr>
          <w:rFonts w:ascii="Times New Roman" w:hAnsi="Times New Roman"/>
          <w:b w:val="false"/>
          <w:color w:val="202833"/>
          <w:sz w:val="22"/>
        </w:rPr>
        <w:t>）</w:t>
      </w:r>
      <w:r>
        <w:rPr>
          <w:rFonts w:eastAsia="宋体"/>
          <w:b w:val="false"/>
          <w:color w:val="202833"/>
          <w:sz w:val="22"/>
        </w:rPr>
        <w:t xml:space="preserve">. </w:t>
      </w:r>
      <w:r>
        <w:rPr>
          <w:rFonts w:ascii="Times New Roman" w:hAnsi="Times New Roman"/>
          <w:b w:val="false"/>
          <w:color w:val="202833"/>
          <w:sz w:val="22"/>
        </w:rPr>
        <w:t>证据局限：滚动规范不能单独证明本项目日志模式符合性。</w:t>
      </w:r>
    </w:p>
    <w:p>
      <w:pPr>
        <w:pStyle w:val="Normal"/>
        <w:widowControl/>
        <w:rPr/>
      </w:pPr>
      <w:r>
        <w:rPr>
          <w:rFonts w:eastAsia="宋体"/>
          <w:b w:val="false"/>
          <w:color w:val="202833"/>
          <w:sz w:val="22"/>
        </w:rPr>
        <w:t>[18] [</w:t>
      </w:r>
      <w:r>
        <w:rPr>
          <w:rFonts w:ascii="Times New Roman" w:hAnsi="Times New Roman"/>
          <w:b w:val="false"/>
          <w:color w:val="202833"/>
          <w:sz w:val="22"/>
        </w:rPr>
        <w:t>同行评议会议论文</w:t>
      </w:r>
      <w:r>
        <w:rPr>
          <w:rFonts w:eastAsia="宋体"/>
          <w:b w:val="false"/>
          <w:color w:val="202833"/>
          <w:sz w:val="22"/>
        </w:rPr>
        <w:t xml:space="preserve">] Mitchell M, Wu S, Zaldivar A, et al. </w:t>
      </w:r>
      <w:r>
        <w:rPr>
          <w:rFonts w:eastAsia="宋体"/>
          <w:b/>
          <w:color w:val="202833"/>
          <w:sz w:val="22"/>
        </w:rPr>
        <w:t>Model Cards for Model Reporting</w:t>
      </w:r>
      <w:r>
        <w:rPr>
          <w:rFonts w:eastAsia="宋体"/>
          <w:b w:val="false"/>
          <w:color w:val="202833"/>
          <w:sz w:val="22"/>
        </w:rPr>
        <w:t xml:space="preserve">. Proceedings of the Conference on Fairness, Accountability, and Transparency, ACM, 2019-01-29. DOI: https://doi.org/10.1145/3287560.3287596 </w:t>
      </w:r>
      <w:r>
        <w:rPr>
          <w:rFonts w:ascii="Times New Roman" w:hAnsi="Times New Roman"/>
          <w:b w:val="false"/>
          <w:color w:val="202833"/>
          <w:sz w:val="22"/>
        </w:rPr>
        <w:t>（访问日期：</w:t>
      </w:r>
      <w:r>
        <w:rPr>
          <w:rFonts w:eastAsia="宋体"/>
          <w:b w:val="false"/>
          <w:color w:val="202833"/>
          <w:sz w:val="22"/>
        </w:rPr>
        <w:t>2026-07-19</w:t>
      </w:r>
      <w:r>
        <w:rPr>
          <w:rFonts w:ascii="Times New Roman" w:hAnsi="Times New Roman"/>
          <w:b w:val="false"/>
          <w:color w:val="202833"/>
          <w:sz w:val="22"/>
        </w:rPr>
        <w:t>）</w:t>
      </w:r>
      <w:r>
        <w:rPr>
          <w:rFonts w:eastAsia="宋体"/>
          <w:b w:val="false"/>
          <w:color w:val="202833"/>
          <w:sz w:val="22"/>
        </w:rPr>
        <w:t>.</w:t>
      </w:r>
    </w:p>
    <w:p>
      <w:pPr>
        <w:pStyle w:val="Normal"/>
        <w:widowControl/>
        <w:rPr/>
      </w:pPr>
      <w:r>
        <w:rPr>
          <w:rFonts w:eastAsia="宋体"/>
          <w:b w:val="false"/>
          <w:color w:val="202833"/>
          <w:sz w:val="22"/>
        </w:rPr>
        <w:t>[19] [</w:t>
      </w:r>
      <w:r>
        <w:rPr>
          <w:rFonts w:ascii="Times New Roman" w:hAnsi="Times New Roman"/>
          <w:b w:val="false"/>
          <w:color w:val="202833"/>
          <w:sz w:val="22"/>
        </w:rPr>
        <w:t>同行评议期刊论文</w:t>
      </w:r>
      <w:r>
        <w:rPr>
          <w:rFonts w:eastAsia="宋体"/>
          <w:b w:val="false"/>
          <w:color w:val="202833"/>
          <w:sz w:val="22"/>
        </w:rPr>
        <w:t xml:space="preserve">] Gebru T, Morgenstern J, Vecchione B, et al. </w:t>
      </w:r>
      <w:r>
        <w:rPr>
          <w:rFonts w:eastAsia="宋体"/>
          <w:b/>
          <w:color w:val="202833"/>
          <w:sz w:val="22"/>
        </w:rPr>
        <w:t>Datasheets for Datasets</w:t>
      </w:r>
      <w:r>
        <w:rPr>
          <w:rFonts w:eastAsia="宋体"/>
          <w:b w:val="false"/>
          <w:color w:val="202833"/>
          <w:sz w:val="22"/>
        </w:rPr>
        <w:t xml:space="preserve">. Communications of the ACM, 2021-11-19. DOI: https://doi.org/10.1145/3458723 </w:t>
      </w:r>
      <w:r>
        <w:rPr>
          <w:rFonts w:ascii="Times New Roman" w:hAnsi="Times New Roman"/>
          <w:b w:val="false"/>
          <w:color w:val="202833"/>
          <w:sz w:val="22"/>
        </w:rPr>
        <w:t>（访问日期：</w:t>
      </w:r>
      <w:r>
        <w:rPr>
          <w:rFonts w:eastAsia="宋体"/>
          <w:b w:val="false"/>
          <w:color w:val="202833"/>
          <w:sz w:val="22"/>
        </w:rPr>
        <w:t>2026-07-19</w:t>
      </w:r>
      <w:r>
        <w:rPr>
          <w:rFonts w:ascii="Times New Roman" w:hAnsi="Times New Roman"/>
          <w:b w:val="false"/>
          <w:color w:val="202833"/>
          <w:sz w:val="22"/>
        </w:rPr>
        <w:t>）</w:t>
      </w:r>
      <w:r>
        <w:rPr>
          <w:rFonts w:eastAsia="宋体"/>
          <w:b w:val="false"/>
          <w:color w:val="202833"/>
          <w:sz w:val="22"/>
        </w:rPr>
        <w:t>.</w:t>
      </w:r>
    </w:p>
    <w:p>
      <w:pPr>
        <w:pStyle w:val="Normal"/>
        <w:widowControl/>
        <w:rPr/>
      </w:pPr>
      <w:r>
        <w:rPr>
          <w:rFonts w:eastAsia="宋体"/>
          <w:b w:val="false"/>
          <w:color w:val="202833"/>
          <w:sz w:val="22"/>
        </w:rPr>
        <w:t>[20] [</w:t>
      </w:r>
      <w:r>
        <w:rPr>
          <w:rFonts w:ascii="Times New Roman" w:hAnsi="Times New Roman"/>
          <w:b w:val="false"/>
          <w:color w:val="202833"/>
          <w:sz w:val="22"/>
        </w:rPr>
        <w:t>同行评议会议论文</w:t>
      </w:r>
      <w:r>
        <w:rPr>
          <w:rFonts w:eastAsia="宋体"/>
          <w:b w:val="false"/>
          <w:color w:val="202833"/>
          <w:sz w:val="22"/>
        </w:rPr>
        <w:t xml:space="preserve">] Pushkarna M, Zaldivar A, Kjartansson O. </w:t>
      </w:r>
      <w:r>
        <w:rPr>
          <w:rFonts w:eastAsia="宋体"/>
          <w:b/>
          <w:color w:val="202833"/>
          <w:sz w:val="22"/>
        </w:rPr>
        <w:t>Data Cards: Purposeful and Transparent Dataset Documentation for Responsible AI</w:t>
      </w:r>
      <w:r>
        <w:rPr>
          <w:rFonts w:eastAsia="宋体"/>
          <w:b w:val="false"/>
          <w:color w:val="202833"/>
          <w:sz w:val="22"/>
        </w:rPr>
        <w:t xml:space="preserve">. ACM FAccT, 2022-06-20. DOI: https://doi.org/10.1145/3531146.3533231 </w:t>
      </w:r>
      <w:r>
        <w:rPr>
          <w:rFonts w:ascii="Times New Roman" w:hAnsi="Times New Roman"/>
          <w:b w:val="false"/>
          <w:color w:val="202833"/>
          <w:sz w:val="22"/>
        </w:rPr>
        <w:t>（访问日期：</w:t>
      </w:r>
      <w:r>
        <w:rPr>
          <w:rFonts w:eastAsia="宋体"/>
          <w:b w:val="false"/>
          <w:color w:val="202833"/>
          <w:sz w:val="22"/>
        </w:rPr>
        <w:t>2026-07-19</w:t>
      </w:r>
      <w:r>
        <w:rPr>
          <w:rFonts w:ascii="Times New Roman" w:hAnsi="Times New Roman"/>
          <w:b w:val="false"/>
          <w:color w:val="202833"/>
          <w:sz w:val="22"/>
        </w:rPr>
        <w:t>）</w:t>
      </w:r>
      <w:r>
        <w:rPr>
          <w:rFonts w:eastAsia="宋体"/>
          <w:b w:val="false"/>
          <w:color w:val="202833"/>
          <w:sz w:val="22"/>
        </w:rPr>
        <w:t>.</w:t>
      </w:r>
    </w:p>
    <w:p>
      <w:pPr>
        <w:pStyle w:val="Normal"/>
        <w:widowControl/>
        <w:rPr/>
      </w:pPr>
      <w:r>
        <w:rPr>
          <w:rFonts w:eastAsia="宋体"/>
          <w:b w:val="false"/>
          <w:color w:val="202833"/>
          <w:sz w:val="22"/>
        </w:rPr>
        <w:t>[21] [</w:t>
      </w:r>
      <w:r>
        <w:rPr>
          <w:rFonts w:ascii="Times New Roman" w:hAnsi="Times New Roman"/>
          <w:b w:val="false"/>
          <w:color w:val="202833"/>
          <w:sz w:val="22"/>
        </w:rPr>
        <w:t>同行评议期刊论文</w:t>
      </w:r>
      <w:r>
        <w:rPr>
          <w:rFonts w:eastAsia="宋体"/>
          <w:b w:val="false"/>
          <w:color w:val="202833"/>
          <w:sz w:val="22"/>
        </w:rPr>
        <w:t xml:space="preserve">] Chang Y, Wang X, Wang J, et al. </w:t>
      </w:r>
      <w:r>
        <w:rPr>
          <w:rFonts w:eastAsia="宋体"/>
          <w:b/>
          <w:color w:val="202833"/>
          <w:sz w:val="22"/>
        </w:rPr>
        <w:t>A Survey on Evaluation of Large Language Models</w:t>
      </w:r>
      <w:r>
        <w:rPr>
          <w:rFonts w:eastAsia="宋体"/>
          <w:b w:val="false"/>
          <w:color w:val="202833"/>
          <w:sz w:val="22"/>
        </w:rPr>
        <w:t xml:space="preserve">. ACM Transactions on Intelligent Systems and Technology, 2024-03-29. DOI: https://doi.org/10.1145/3641289 </w:t>
      </w:r>
      <w:r>
        <w:rPr>
          <w:rFonts w:ascii="Times New Roman" w:hAnsi="Times New Roman"/>
          <w:b w:val="false"/>
          <w:color w:val="202833"/>
          <w:sz w:val="22"/>
        </w:rPr>
        <w:t>（访问日期：</w:t>
      </w:r>
      <w:r>
        <w:rPr>
          <w:rFonts w:eastAsia="宋体"/>
          <w:b w:val="false"/>
          <w:color w:val="202833"/>
          <w:sz w:val="22"/>
        </w:rPr>
        <w:t>2026-07-19</w:t>
      </w:r>
      <w:r>
        <w:rPr>
          <w:rFonts w:ascii="Times New Roman" w:hAnsi="Times New Roman"/>
          <w:b w:val="false"/>
          <w:color w:val="202833"/>
          <w:sz w:val="22"/>
        </w:rPr>
        <w:t>）</w:t>
      </w:r>
      <w:r>
        <w:rPr>
          <w:rFonts w:eastAsia="宋体"/>
          <w:b w:val="false"/>
          <w:color w:val="202833"/>
          <w:sz w:val="22"/>
        </w:rPr>
        <w:t>.</w:t>
      </w:r>
    </w:p>
    <w:p>
      <w:pPr>
        <w:pStyle w:val="Normal"/>
        <w:widowControl/>
        <w:rPr/>
      </w:pPr>
      <w:r>
        <w:rPr>
          <w:rFonts w:eastAsia="宋体"/>
          <w:b w:val="false"/>
          <w:color w:val="202833"/>
          <w:sz w:val="22"/>
        </w:rPr>
        <w:t>[22] [</w:t>
      </w:r>
      <w:r>
        <w:rPr>
          <w:rFonts w:ascii="Times New Roman" w:hAnsi="Times New Roman"/>
          <w:b w:val="false"/>
          <w:color w:val="202833"/>
          <w:sz w:val="22"/>
        </w:rPr>
        <w:t>同行评议会议论文</w:t>
      </w:r>
      <w:r>
        <w:rPr>
          <w:rFonts w:eastAsia="宋体"/>
          <w:b w:val="false"/>
          <w:color w:val="202833"/>
          <w:sz w:val="22"/>
        </w:rPr>
        <w:t xml:space="preserve">] Liu Y, Iter D, Xu Y, et al. </w:t>
      </w:r>
      <w:r>
        <w:rPr>
          <w:rFonts w:eastAsia="宋体"/>
          <w:b/>
          <w:color w:val="202833"/>
          <w:sz w:val="22"/>
        </w:rPr>
        <w:t>G-Eval: NLG Evaluation using GPT-4 with Better Human Alignment</w:t>
      </w:r>
      <w:r>
        <w:rPr>
          <w:rFonts w:eastAsia="宋体"/>
          <w:b w:val="false"/>
          <w:color w:val="202833"/>
          <w:sz w:val="22"/>
        </w:rPr>
        <w:t xml:space="preserve">. EMNLP 2023, Association for Computational Linguistics, 2023-12. DOI: https://doi.org/10.18653/v1/2023.emnlp-main.153 ; https://aclanthology.org/2023.emnlp-main.153/ </w:t>
      </w:r>
      <w:r>
        <w:rPr>
          <w:rFonts w:ascii="Times New Roman" w:hAnsi="Times New Roman"/>
          <w:b w:val="false"/>
          <w:color w:val="202833"/>
          <w:sz w:val="22"/>
        </w:rPr>
        <w:t>（访问日期：</w:t>
      </w:r>
      <w:r>
        <w:rPr>
          <w:rFonts w:eastAsia="宋体"/>
          <w:b w:val="false"/>
          <w:color w:val="202833"/>
          <w:sz w:val="22"/>
        </w:rPr>
        <w:t>2026-07-19</w:t>
      </w:r>
      <w:r>
        <w:rPr>
          <w:rFonts w:ascii="Times New Roman" w:hAnsi="Times New Roman"/>
          <w:b w:val="false"/>
          <w:color w:val="202833"/>
          <w:sz w:val="22"/>
        </w:rPr>
        <w:t>）</w:t>
      </w:r>
      <w:r>
        <w:rPr>
          <w:rFonts w:eastAsia="宋体"/>
          <w:b w:val="false"/>
          <w:color w:val="202833"/>
          <w:sz w:val="22"/>
        </w:rPr>
        <w:t xml:space="preserve">. </w:t>
      </w:r>
      <w:r>
        <w:rPr>
          <w:rFonts w:ascii="Times New Roman" w:hAnsi="Times New Roman"/>
          <w:b w:val="false"/>
          <w:color w:val="202833"/>
          <w:sz w:val="22"/>
        </w:rPr>
        <w:t>证据边界：论文使用云端专有模型的方法结果，不能直接外推到本项目的本地模型。</w:t>
      </w:r>
    </w:p>
    <w:p>
      <w:pPr>
        <w:pStyle w:val="Normal"/>
        <w:widowControl/>
        <w:rPr/>
      </w:pPr>
      <w:r>
        <w:rPr>
          <w:rFonts w:eastAsia="宋体"/>
          <w:b w:val="false"/>
          <w:color w:val="202833"/>
          <w:sz w:val="22"/>
        </w:rPr>
        <w:t>[23] [</w:t>
      </w:r>
      <w:r>
        <w:rPr>
          <w:rFonts w:ascii="Times New Roman" w:hAnsi="Times New Roman"/>
          <w:b w:val="false"/>
          <w:color w:val="202833"/>
          <w:sz w:val="22"/>
        </w:rPr>
        <w:t>同行评议会议论文</w:t>
      </w:r>
      <w:r>
        <w:rPr>
          <w:rFonts w:eastAsia="宋体"/>
          <w:b w:val="false"/>
          <w:color w:val="202833"/>
          <w:sz w:val="22"/>
        </w:rPr>
        <w:t xml:space="preserve">] Min S, Krishna K, Lyu X, et al. </w:t>
      </w:r>
      <w:r>
        <w:rPr>
          <w:rFonts w:eastAsia="宋体"/>
          <w:b/>
          <w:color w:val="202833"/>
          <w:sz w:val="22"/>
        </w:rPr>
        <w:t>FActScore: Fine-grained Atomic Evaluation of Factual Precision in Long Form Text Generation</w:t>
      </w:r>
      <w:r>
        <w:rPr>
          <w:rFonts w:eastAsia="宋体"/>
          <w:b w:val="false"/>
          <w:color w:val="202833"/>
          <w:sz w:val="22"/>
        </w:rPr>
        <w:t xml:space="preserve">. EMNLP 2023, Association for Computational Linguistics, 2023-12. DOI: https://doi.org/10.18653/v1/2023.emnlp-main.741 ; https://aclanthology.org/2023.emnlp-main.741/ </w:t>
      </w:r>
      <w:r>
        <w:rPr>
          <w:rFonts w:ascii="Times New Roman" w:hAnsi="Times New Roman"/>
          <w:b w:val="false"/>
          <w:color w:val="202833"/>
          <w:sz w:val="22"/>
        </w:rPr>
        <w:t>（访问日期：</w:t>
      </w:r>
      <w:r>
        <w:rPr>
          <w:rFonts w:eastAsia="宋体"/>
          <w:b w:val="false"/>
          <w:color w:val="202833"/>
          <w:sz w:val="22"/>
        </w:rPr>
        <w:t>2026-07-19</w:t>
      </w:r>
      <w:r>
        <w:rPr>
          <w:rFonts w:ascii="Times New Roman" w:hAnsi="Times New Roman"/>
          <w:b w:val="false"/>
          <w:color w:val="202833"/>
          <w:sz w:val="22"/>
        </w:rPr>
        <w:t>）</w:t>
      </w:r>
      <w:r>
        <w:rPr>
          <w:rFonts w:eastAsia="宋体"/>
          <w:b w:val="false"/>
          <w:color w:val="202833"/>
          <w:sz w:val="22"/>
        </w:rPr>
        <w:t>.</w:t>
      </w:r>
    </w:p>
    <w:p>
      <w:pPr>
        <w:pStyle w:val="Normal"/>
        <w:widowControl/>
        <w:rPr/>
      </w:pPr>
      <w:r>
        <w:rPr>
          <w:rFonts w:eastAsia="宋体"/>
          <w:b w:val="false"/>
          <w:color w:val="202833"/>
          <w:sz w:val="22"/>
        </w:rPr>
        <w:t>[24] [</w:t>
      </w:r>
      <w:r>
        <w:rPr>
          <w:rFonts w:ascii="Times New Roman" w:hAnsi="Times New Roman"/>
          <w:b w:val="false"/>
          <w:color w:val="202833"/>
          <w:sz w:val="22"/>
        </w:rPr>
        <w:t>同行评议会议论文</w:t>
      </w:r>
      <w:r>
        <w:rPr>
          <w:rFonts w:eastAsia="宋体"/>
          <w:b w:val="false"/>
          <w:color w:val="202833"/>
          <w:sz w:val="22"/>
        </w:rPr>
        <w:t xml:space="preserve">] Manakul P, Liusie A, Gales M. </w:t>
      </w:r>
      <w:r>
        <w:rPr>
          <w:rFonts w:eastAsia="宋体"/>
          <w:b/>
          <w:color w:val="202833"/>
          <w:sz w:val="22"/>
        </w:rPr>
        <w:t>SelfCheckGPT: Zero-Resource Black-Box Hallucination Detection for Generative Large Language Models</w:t>
      </w:r>
      <w:r>
        <w:rPr>
          <w:rFonts w:eastAsia="宋体"/>
          <w:b w:val="false"/>
          <w:color w:val="202833"/>
          <w:sz w:val="22"/>
        </w:rPr>
        <w:t xml:space="preserve">. EMNLP 2023, Association for Computational Linguistics, 2023-12. DOI: https://doi.org/10.18653/v1/2023.emnlp-main.557 ; https://aclanthology.org/2023.emnlp-main.557/ </w:t>
      </w:r>
      <w:r>
        <w:rPr>
          <w:rFonts w:ascii="Times New Roman" w:hAnsi="Times New Roman"/>
          <w:b w:val="false"/>
          <w:color w:val="202833"/>
          <w:sz w:val="22"/>
        </w:rPr>
        <w:t>（访问日期：</w:t>
      </w:r>
      <w:r>
        <w:rPr>
          <w:rFonts w:eastAsia="宋体"/>
          <w:b w:val="false"/>
          <w:color w:val="202833"/>
          <w:sz w:val="22"/>
        </w:rPr>
        <w:t>2026-07-19</w:t>
      </w:r>
      <w:r>
        <w:rPr>
          <w:rFonts w:ascii="Times New Roman" w:hAnsi="Times New Roman"/>
          <w:b w:val="false"/>
          <w:color w:val="202833"/>
          <w:sz w:val="22"/>
        </w:rPr>
        <w:t>）</w:t>
      </w:r>
      <w:r>
        <w:rPr>
          <w:rFonts w:eastAsia="宋体"/>
          <w:b w:val="false"/>
          <w:color w:val="202833"/>
          <w:sz w:val="22"/>
        </w:rPr>
        <w:t xml:space="preserve">. </w:t>
      </w:r>
      <w:r>
        <w:rPr>
          <w:rFonts w:ascii="Times New Roman" w:hAnsi="Times New Roman"/>
          <w:b w:val="false"/>
          <w:color w:val="202833"/>
          <w:sz w:val="22"/>
        </w:rPr>
        <w:t>证据边界：采样一致性不能替代外部工程证据，且多次采样增加本地推理成本。</w:t>
      </w:r>
    </w:p>
    <w:p>
      <w:pPr>
        <w:pStyle w:val="Normal"/>
        <w:widowControl/>
        <w:rPr/>
      </w:pPr>
      <w:r>
        <w:rPr>
          <w:rFonts w:eastAsia="宋体"/>
          <w:b w:val="false"/>
          <w:color w:val="202833"/>
          <w:sz w:val="22"/>
        </w:rPr>
        <w:t>[25] [</w:t>
      </w:r>
      <w:r>
        <w:rPr>
          <w:rFonts w:ascii="Times New Roman" w:hAnsi="Times New Roman"/>
          <w:b w:val="false"/>
          <w:color w:val="202833"/>
          <w:sz w:val="22"/>
        </w:rPr>
        <w:t>同行评议会议演示论文</w:t>
      </w:r>
      <w:r>
        <w:rPr>
          <w:rFonts w:eastAsia="宋体"/>
          <w:b w:val="false"/>
          <w:color w:val="202833"/>
          <w:sz w:val="22"/>
        </w:rPr>
        <w:t xml:space="preserve">] Es S, James J, Espinosa Anke L, Schockaert S. </w:t>
      </w:r>
      <w:r>
        <w:rPr>
          <w:rFonts w:eastAsia="宋体"/>
          <w:b/>
          <w:color w:val="202833"/>
          <w:sz w:val="22"/>
        </w:rPr>
        <w:t>RAGAs: Automated Evaluation of Retrieval Augmented Generation</w:t>
      </w:r>
      <w:r>
        <w:rPr>
          <w:rFonts w:eastAsia="宋体"/>
          <w:b w:val="false"/>
          <w:color w:val="202833"/>
          <w:sz w:val="22"/>
        </w:rPr>
        <w:t xml:space="preserve">. EACL 2024 System Demonstrations, Association for Computational Linguistics, 2024-03. DOI: https://doi.org/10.18653/v1/2024.eacl-demo.16 ; https://aclanthology.org/2024.eacl-demo.16/ </w:t>
      </w:r>
      <w:r>
        <w:rPr>
          <w:rFonts w:ascii="Times New Roman" w:hAnsi="Times New Roman"/>
          <w:b w:val="false"/>
          <w:color w:val="202833"/>
          <w:sz w:val="22"/>
        </w:rPr>
        <w:t>（访问日期：</w:t>
      </w:r>
      <w:r>
        <w:rPr>
          <w:rFonts w:eastAsia="宋体"/>
          <w:b w:val="false"/>
          <w:color w:val="202833"/>
          <w:sz w:val="22"/>
        </w:rPr>
        <w:t>2026-07-19</w:t>
      </w:r>
      <w:r>
        <w:rPr>
          <w:rFonts w:ascii="Times New Roman" w:hAnsi="Times New Roman"/>
          <w:b w:val="false"/>
          <w:color w:val="202833"/>
          <w:sz w:val="22"/>
        </w:rPr>
        <w:t>）</w:t>
      </w:r>
      <w:r>
        <w:rPr>
          <w:rFonts w:eastAsia="宋体"/>
          <w:b w:val="false"/>
          <w:color w:val="202833"/>
          <w:sz w:val="22"/>
        </w:rPr>
        <w:t xml:space="preserve">. </w:t>
      </w:r>
      <w:r>
        <w:rPr>
          <w:rFonts w:ascii="Times New Roman" w:hAnsi="Times New Roman"/>
          <w:b w:val="false"/>
          <w:color w:val="202833"/>
          <w:sz w:val="22"/>
        </w:rPr>
        <w:t>证据边界：其评测对象是检索增强生成流程，迁移到试验日志报告需独立标定。</w:t>
      </w:r>
    </w:p>
    <w:p>
      <w:pPr>
        <w:pStyle w:val="Normal"/>
        <w:widowControl/>
        <w:spacing w:before="0" w:after="80"/>
        <w:rPr/>
      </w:pPr>
      <w:r>
        <w:rPr>
          <w:rFonts w:eastAsia="宋体"/>
          <w:b w:val="false"/>
          <w:color w:val="202833"/>
          <w:sz w:val="22"/>
        </w:rPr>
        <w:t>[26] [</w:t>
      </w:r>
      <w:r>
        <w:rPr>
          <w:rFonts w:ascii="Times New Roman" w:hAnsi="Times New Roman"/>
          <w:b w:val="false"/>
          <w:color w:val="202833"/>
          <w:sz w:val="22"/>
        </w:rPr>
        <w:t>同行评议会议论文</w:t>
      </w:r>
      <w:r>
        <w:rPr>
          <w:rFonts w:eastAsia="宋体"/>
          <w:b w:val="false"/>
          <w:color w:val="202833"/>
          <w:sz w:val="22"/>
        </w:rPr>
        <w:t xml:space="preserve">] Wang P, Li L, Chen L, et al. </w:t>
      </w:r>
      <w:r>
        <w:rPr>
          <w:rFonts w:eastAsia="宋体"/>
          <w:b/>
          <w:color w:val="202833"/>
          <w:sz w:val="22"/>
        </w:rPr>
        <w:t>Large Language Models are not Fair Evaluators</w:t>
      </w:r>
      <w:r>
        <w:rPr>
          <w:rFonts w:eastAsia="宋体"/>
          <w:b w:val="false"/>
          <w:color w:val="202833"/>
          <w:sz w:val="22"/>
        </w:rPr>
        <w:t xml:space="preserve">. ACL 2024, Association for Computational Linguistics, 2024-08. DOI: https://doi.org/10.18653/v1/2024.acl-long.511 ; https://aclanthology.org/2024.acl-long.511/ </w:t>
      </w:r>
      <w:r>
        <w:rPr>
          <w:rFonts w:ascii="Times New Roman" w:hAnsi="Times New Roman"/>
          <w:b w:val="false"/>
          <w:color w:val="202833"/>
          <w:sz w:val="22"/>
        </w:rPr>
        <w:t>（访问日期：</w:t>
      </w:r>
      <w:r>
        <w:rPr>
          <w:rFonts w:eastAsia="宋体"/>
          <w:b w:val="false"/>
          <w:color w:val="202833"/>
          <w:sz w:val="22"/>
        </w:rPr>
        <w:t>2026-07-19</w:t>
      </w:r>
      <w:r>
        <w:rPr>
          <w:rFonts w:ascii="Times New Roman" w:hAnsi="Times New Roman"/>
          <w:b w:val="false"/>
          <w:color w:val="202833"/>
          <w:sz w:val="22"/>
        </w:rPr>
        <w:t>）</w:t>
      </w:r>
      <w:r>
        <w:rPr>
          <w:rFonts w:eastAsia="宋体"/>
          <w:b w:val="false"/>
          <w:color w:val="202833"/>
          <w:sz w:val="22"/>
        </w:rPr>
        <w:t>.</w:t>
      </w:r>
    </w:p>
    <w:sectPr>
      <w:type w:val="nextPage"/>
      <w:pgSz w:w="11906" w:h="16838"/>
      <w:pgMar w:left="1276" w:right="1219" w:gutter="0" w:header="0" w:top="1219" w:footer="0" w:bottom="107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Times New Roman">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Consolas">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4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360" w:before="0" w:after="80"/>
      <w:ind w:firstLine="420"/>
      <w:jc w:val="left"/>
    </w:pPr>
    <w:rPr>
      <w:rFonts w:ascii="Times New Roman" w:hAnsi="Times New Roman" w:eastAsia="宋体" w:cs="" w:cstheme="minorBid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pageBreakBefore/>
      <w:spacing w:before="280" w:after="160"/>
      <w:ind w:hanging="0"/>
      <w:outlineLvl w:val="0"/>
    </w:pPr>
    <w:rPr>
      <w:rFonts w:ascii="Calibri" w:hAnsi="Calibri" w:eastAsia="ＭＳ ゴシック" w:cs="" w:asciiTheme="majorHAnsi" w:cstheme="majorBidi" w:eastAsiaTheme="majorEastAsia" w:hAnsiTheme="majorHAnsi"/>
      <w:b/>
      <w:bCs/>
      <w:color w:val="1F4E78"/>
      <w:sz w:val="32"/>
      <w:szCs w:val="28"/>
    </w:rPr>
  </w:style>
  <w:style w:type="paragraph" w:styleId="Heading2">
    <w:name w:val="Heading 2"/>
    <w:basedOn w:val="Normal"/>
    <w:next w:val="Normal"/>
    <w:link w:val="Heading2Char"/>
    <w:uiPriority w:val="9"/>
    <w:unhideWhenUsed/>
    <w:qFormat/>
    <w:rsid w:val="00fc693f"/>
    <w:pPr>
      <w:keepNext w:val="true"/>
      <w:keepLines/>
      <w:spacing w:before="220" w:after="120"/>
      <w:ind w:hanging="0"/>
      <w:outlineLvl w:val="1"/>
    </w:pPr>
    <w:rPr>
      <w:rFonts w:ascii="Calibri" w:hAnsi="Calibri" w:eastAsia="ＭＳ ゴシック" w:cs="" w:asciiTheme="majorHAnsi" w:cstheme="majorBidi" w:eastAsiaTheme="majorEastAsia" w:hAnsiTheme="majorHAnsi"/>
      <w:b/>
      <w:bCs/>
      <w:color w:val="176B73"/>
      <w:sz w:val="28"/>
      <w:szCs w:val="26"/>
    </w:rPr>
  </w:style>
  <w:style w:type="paragraph" w:styleId="Heading3">
    <w:name w:val="Heading 3"/>
    <w:basedOn w:val="Normal"/>
    <w:next w:val="Normal"/>
    <w:link w:val="Heading3Char"/>
    <w:uiPriority w:val="9"/>
    <w:unhideWhenUsed/>
    <w:qFormat/>
    <w:rsid w:val="00fc693f"/>
    <w:pPr>
      <w:keepNext w:val="true"/>
      <w:keepLines/>
      <w:spacing w:before="180" w:after="100"/>
      <w:ind w:hanging="0"/>
      <w:outlineLvl w:val="2"/>
    </w:pPr>
    <w:rPr>
      <w:rFonts w:ascii="Calibri" w:hAnsi="Calibri" w:eastAsia="ＭＳ ゴシック" w:cs="" w:asciiTheme="majorHAnsi" w:cstheme="majorBidi" w:eastAsiaTheme="majorEastAsia" w:hAnsiTheme="majorHAnsi"/>
      <w:b/>
      <w:bCs/>
      <w:color w:val="202833"/>
      <w:sz w:val="24"/>
    </w:rPr>
  </w:style>
  <w:style w:type="paragraph" w:styleId="Heading4">
    <w:name w:val="Heading 4"/>
    <w:basedOn w:val="Normal"/>
    <w:next w:val="Normal"/>
    <w:link w:val="Heading4Char"/>
    <w:uiPriority w:val="9"/>
    <w:semiHidden/>
    <w:unhideWhenUsed/>
    <w:qFormat/>
    <w:rsid w:val="00fc693f"/>
    <w:pPr>
      <w:keepNext w:val="true"/>
      <w:keepLines/>
      <w:spacing w:before="140" w:after="80"/>
      <w:ind w:hanging="0"/>
      <w:outlineLvl w:val="3"/>
    </w:pPr>
    <w:rPr>
      <w:rFonts w:ascii="Calibri" w:hAnsi="Calibri" w:eastAsia="ＭＳ ゴシック" w:cs="" w:asciiTheme="majorHAnsi" w:cstheme="majorBidi" w:eastAsiaTheme="majorEastAsia" w:hAnsiTheme="majorHAnsi"/>
      <w:b/>
      <w:bCs/>
      <w:i/>
      <w:iCs/>
      <w:color w:val="202833"/>
      <w:sz w:val="22"/>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8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keepNext w:val="true"/>
      <w:pBdr>
        <w:bottom w:val="single" w:sz="8" w:space="4" w:color="4F81BD" w:themeColor="accent1"/>
      </w:pBdr>
      <w:spacing w:lineRule="auto" w:line="240" w:before="0" w:after="280"/>
      <w:ind w:hanging="0"/>
      <w:contextualSpacing/>
    </w:pPr>
    <w:rPr>
      <w:rFonts w:ascii="Calibri" w:hAnsi="Calibri" w:eastAsia="ＭＳ ゴシック" w:cs="" w:asciiTheme="majorHAnsi" w:cstheme="majorBidi" w:eastAsiaTheme="majorEastAsia" w:hAnsiTheme="majorHAnsi"/>
      <w:b/>
      <w:color w:val="1F4E78"/>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8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80"/>
      <w:ind w:hanging="360" w:left="720"/>
      <w:contextualSpacing/>
    </w:pPr>
    <w:rPr/>
  </w:style>
  <w:style w:type="paragraph" w:styleId="List3">
    <w:name w:val="List 3"/>
    <w:basedOn w:val="Normal"/>
    <w:uiPriority w:val="99"/>
    <w:unhideWhenUsed/>
    <w:qFormat/>
    <w:rsid w:val="00326f90"/>
    <w:pPr>
      <w:spacing w:before="0" w:after="80"/>
      <w:ind w:hanging="360" w:left="1080"/>
      <w:contextualSpacing/>
    </w:pPr>
    <w:rPr/>
  </w:style>
  <w:style w:type="paragraph" w:styleId="ListBullet">
    <w:name w:val="List Bullet"/>
    <w:basedOn w:val="Normal"/>
    <w:uiPriority w:val="99"/>
    <w:unhideWhenUsed/>
    <w:rsid w:val="00326f90"/>
    <w:pPr>
      <w:numPr>
        <w:ilvl w:val="0"/>
        <w:numId w:val="1"/>
      </w:numPr>
      <w:spacing w:before="0" w:after="80"/>
      <w:contextualSpacing/>
    </w:pPr>
    <w:rPr/>
  </w:style>
  <w:style w:type="paragraph" w:styleId="ListBullet2">
    <w:name w:val="List Bullet 2"/>
    <w:basedOn w:val="Normal"/>
    <w:uiPriority w:val="99"/>
    <w:unhideWhenUsed/>
    <w:rsid w:val="00326f90"/>
    <w:pPr>
      <w:numPr>
        <w:ilvl w:val="0"/>
        <w:numId w:val="2"/>
      </w:numPr>
      <w:spacing w:before="0" w:after="80"/>
      <w:contextualSpacing/>
    </w:pPr>
    <w:rPr/>
  </w:style>
  <w:style w:type="paragraph" w:styleId="ListBullet3">
    <w:name w:val="List Bullet 3"/>
    <w:basedOn w:val="Normal"/>
    <w:uiPriority w:val="99"/>
    <w:unhideWhenUsed/>
    <w:rsid w:val="00326f90"/>
    <w:pPr>
      <w:numPr>
        <w:ilvl w:val="0"/>
        <w:numId w:val="3"/>
      </w:numPr>
      <w:spacing w:before="0" w:after="80"/>
      <w:contextualSpacing/>
    </w:pPr>
    <w:rPr/>
  </w:style>
  <w:style w:type="paragraph" w:styleId="ListNumber">
    <w:name w:val="List Number"/>
    <w:basedOn w:val="Normal"/>
    <w:uiPriority w:val="99"/>
    <w:unhideWhenUsed/>
    <w:rsid w:val="00326f90"/>
    <w:pPr>
      <w:numPr>
        <w:ilvl w:val="0"/>
        <w:numId w:val="4"/>
      </w:numPr>
      <w:spacing w:before="0" w:after="80"/>
      <w:contextualSpacing/>
    </w:pPr>
    <w:rPr/>
  </w:style>
  <w:style w:type="paragraph" w:styleId="ListNumber2">
    <w:name w:val="List Number 2"/>
    <w:basedOn w:val="Normal"/>
    <w:uiPriority w:val="99"/>
    <w:unhideWhenUsed/>
    <w:rsid w:val="0029639d"/>
    <w:pPr>
      <w:numPr>
        <w:ilvl w:val="0"/>
        <w:numId w:val="5"/>
      </w:numPr>
      <w:spacing w:before="0" w:after="80"/>
      <w:contextualSpacing/>
    </w:pPr>
    <w:rPr/>
  </w:style>
  <w:style w:type="paragraph" w:styleId="ListNumber3">
    <w:name w:val="List Number 3"/>
    <w:basedOn w:val="Normal"/>
    <w:uiPriority w:val="99"/>
    <w:unhideWhenUsed/>
    <w:rsid w:val="0029639d"/>
    <w:pPr>
      <w:numPr>
        <w:ilvl w:val="0"/>
        <w:numId w:val="6"/>
      </w:numPr>
      <w:spacing w:before="0" w:after="8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LibreOffice/24.2.7.2$Linux_X86_64 LibreOffice_project/420$Build-2</Application>
  <AppVersion>15.0000</AppVersion>
  <Pages>29</Pages>
  <Words>22083</Words>
  <Characters>28305</Characters>
  <CharactersWithSpaces>28987</CharactersWithSpaces>
  <Paragraphs>450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MSM 项目组</dc:creator>
  <dc:description>由项目建议书Markdown源文档生成</dc:description>
  <cp:keywords>无人机 协同探测 协同拦截 大模型辅助评估</cp:keywords>
  <dc:language>en-US</dc:language>
  <cp:lastModifiedBy/>
  <dcterms:modified xsi:type="dcterms:W3CDTF">2026-07-20T02:17:05Z</dcterms:modified>
  <cp:revision>2</cp:revision>
  <dc:subject>项目建议书</dc:subject>
  <dc:title>大模型辅助评估项目建议书</dc:title>
</cp:coreProperties>
</file>

<file path=docProps/custom.xml><?xml version="1.0" encoding="utf-8"?>
<Properties xmlns="http://schemas.openxmlformats.org/officeDocument/2006/custom-properties" xmlns:vt="http://schemas.openxmlformats.org/officeDocument/2006/docPropsVTypes"/>
</file>