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0"/>
        <w:jc w:val="center"/>
      </w:pPr>
      <w:r>
        <w:rPr>
          <w:rFonts w:ascii="Arial" w:hAnsi="Arial" w:eastAsia="微软雅黑"/>
          <w:b/>
          <w:sz w:val="40"/>
        </w:rPr>
        <w:t>双站光电40至100目标轨迹关联试验汇总</w:t>
      </w:r>
    </w:p>
    <w:p>
      <w:pPr>
        <w:spacing w:before="200" w:after="100"/>
      </w:pPr>
      <w:r>
        <w:rPr>
          <w:rFonts w:ascii="Arial" w:hAnsi="Arial" w:eastAsia="微软雅黑"/>
          <w:b/>
          <w:sz w:val="30"/>
        </w:rPr>
        <w:t>结论</w:t>
      </w:r>
    </w:p>
    <w:p>
      <w:pPr>
        <w:ind w:firstLine="420"/>
      </w:pPr>
      <w:r>
        <w:rPr>
          <w:rFonts w:ascii="Arial" w:hAnsi="Arial" w:eastAsia="微软雅黑"/>
          <w:sz w:val="22"/>
        </w:rPr>
        <w:t>双站光电试验已经完成40目标基线、两组100目标探索，以及轻量方案与图网络的正式对比。早期2个测试种子曾支持图网络继续扩大验证；新增20个未见测试种子后，图网络没有表现出相对轻量标定方案的稳定收益。当前结论以20种子正式对比为准：保留轻量方案，图网络继续作为隔离研究路线。</w:t>
      </w:r>
    </w:p>
    <w:tbl>
      <w:tblPr>
        <w:tblStyle w:val="TableGrid"/>
        <w:tblW w:type="auto" w:w="0"/>
        <w:tblLook w:firstColumn="1" w:firstRow="1" w:lastColumn="0" w:lastRow="0" w:noHBand="0" w:noVBand="1" w:val="04A0"/>
      </w:tblPr>
      <w:tblGrid>
        <w:gridCol w:w="3137"/>
        <w:gridCol w:w="3137"/>
        <w:gridCol w:w="3137"/>
      </w:tblGrid>
      <w:tr>
        <w:tc>
          <w:tcPr>
            <w:tcW w:type="dxa" w:w="3137"/>
            <w:shd w:fill="D9E7F0"/>
          </w:tcPr>
          <w:p>
            <w:r>
              <w:rPr>
                <w:rFonts w:ascii="Arial" w:hAnsi="Arial" w:eastAsia="微软雅黑"/>
                <w:sz w:val="19"/>
              </w:rPr>
              <w:t>试验</w:t>
            </w:r>
          </w:p>
        </w:tc>
        <w:tc>
          <w:tcPr>
            <w:tcW w:type="dxa" w:w="3137"/>
            <w:shd w:fill="D9E7F0"/>
          </w:tcPr>
          <w:p>
            <w:r>
              <w:rPr>
                <w:rFonts w:ascii="Arial" w:hAnsi="Arial" w:eastAsia="微软雅黑"/>
                <w:sz w:val="19"/>
              </w:rPr>
              <w:t>主要结果</w:t>
            </w:r>
          </w:p>
        </w:tc>
        <w:tc>
          <w:tcPr>
            <w:tcW w:type="dxa" w:w="3137"/>
            <w:shd w:fill="D9E7F0"/>
          </w:tcPr>
          <w:p>
            <w:r>
              <w:rPr>
                <w:rFonts w:ascii="Arial" w:hAnsi="Arial" w:eastAsia="微软雅黑"/>
                <w:sz w:val="19"/>
              </w:rPr>
              <w:t>判定</w:t>
            </w:r>
          </w:p>
        </w:tc>
      </w:tr>
      <w:tr>
        <w:tc>
          <w:tcPr>
            <w:tcW w:type="dxa" w:w="3137"/>
          </w:tcPr>
          <w:p>
            <w:r>
              <w:rPr>
                <w:rFonts w:ascii="Arial" w:hAnsi="Arial" w:eastAsia="微软雅黑"/>
                <w:sz w:val="19"/>
              </w:rPr>
              <w:t>40目标确定性基线</w:t>
            </w:r>
          </w:p>
        </w:tc>
        <w:tc>
          <w:tcPr>
            <w:tcW w:type="dxa" w:w="3137"/>
          </w:tcPr>
          <w:p>
            <w:r>
              <w:rPr>
                <w:rFonts w:ascii="Arial" w:hAnsi="Arial" w:eastAsia="微软雅黑"/>
                <w:sz w:val="19"/>
              </w:rPr>
              <w:t>37组正确、0组错误，召回率0.925</w:t>
            </w:r>
          </w:p>
        </w:tc>
        <w:tc>
          <w:tcPr>
            <w:tcW w:type="dxa" w:w="3137"/>
          </w:tcPr>
          <w:p>
            <w:r>
              <w:rPr>
                <w:rFonts w:ascii="Arial" w:hAnsi="Arial" w:eastAsia="微软雅黑"/>
                <w:sz w:val="19"/>
              </w:rPr>
              <w:t>通过本轮门限</w:t>
            </w:r>
          </w:p>
        </w:tc>
      </w:tr>
      <w:tr>
        <w:tc>
          <w:tcPr>
            <w:tcW w:type="dxa" w:w="3137"/>
          </w:tcPr>
          <w:p>
            <w:r>
              <w:rPr>
                <w:rFonts w:ascii="Arial" w:hAnsi="Arial" w:eastAsia="微软雅黑"/>
                <w:sz w:val="19"/>
              </w:rPr>
              <w:t>4公里100目标指南案例</w:t>
            </w:r>
          </w:p>
        </w:tc>
        <w:tc>
          <w:tcPr>
            <w:tcW w:type="dxa" w:w="3137"/>
          </w:tcPr>
          <w:p>
            <w:r>
              <w:rPr>
                <w:rFonts w:ascii="Arial" w:hAnsi="Arial" w:eastAsia="微软雅黑"/>
                <w:sz w:val="19"/>
              </w:rPr>
              <w:t>16910次检测，最终关系0组</w:t>
            </w:r>
          </w:p>
        </w:tc>
        <w:tc>
          <w:tcPr>
            <w:tcW w:type="dxa" w:w="3137"/>
          </w:tcPr>
          <w:p>
            <w:r>
              <w:rPr>
                <w:rFonts w:ascii="Arial" w:hAnsi="Arial" w:eastAsia="微软雅黑"/>
                <w:sz w:val="19"/>
              </w:rPr>
              <w:t>未通过，断点在单站轨迹串号</w:t>
            </w:r>
          </w:p>
        </w:tc>
      </w:tr>
      <w:tr>
        <w:tc>
          <w:tcPr>
            <w:tcW w:type="dxa" w:w="3137"/>
          </w:tcPr>
          <w:p>
            <w:r>
              <w:rPr>
                <w:rFonts w:ascii="Arial" w:hAnsi="Arial" w:eastAsia="微软雅黑"/>
                <w:sz w:val="19"/>
              </w:rPr>
              <w:t>2公里密集100目标基线</w:t>
            </w:r>
          </w:p>
        </w:tc>
        <w:tc>
          <w:tcPr>
            <w:tcW w:type="dxa" w:w="3137"/>
          </w:tcPr>
          <w:p>
            <w:r>
              <w:rPr>
                <w:rFonts w:ascii="Arial" w:hAnsi="Arial" w:eastAsia="微软雅黑"/>
                <w:sz w:val="19"/>
              </w:rPr>
              <w:t>基础89正确/8错误；增强87正确/7错误</w:t>
            </w:r>
          </w:p>
        </w:tc>
        <w:tc>
          <w:tcPr>
            <w:tcW w:type="dxa" w:w="3137"/>
          </w:tcPr>
          <w:p>
            <w:r>
              <w:rPr>
                <w:rFonts w:ascii="Arial" w:hAnsi="Arial" w:eastAsia="微软雅黑"/>
                <w:sz w:val="19"/>
              </w:rPr>
              <w:t>严格验收未通过</w:t>
            </w:r>
          </w:p>
        </w:tc>
      </w:tr>
      <w:tr>
        <w:tc>
          <w:tcPr>
            <w:tcW w:type="dxa" w:w="3137"/>
          </w:tcPr>
          <w:p>
            <w:r>
              <w:rPr>
                <w:rFonts w:ascii="Arial" w:hAnsi="Arial" w:eastAsia="微软雅黑"/>
                <w:sz w:val="19"/>
              </w:rPr>
              <w:t>12种子图网络探索</w:t>
            </w:r>
          </w:p>
        </w:tc>
        <w:tc>
          <w:tcPr>
            <w:tcW w:type="dxa" w:w="3137"/>
          </w:tcPr>
          <w:p>
            <w:r>
              <w:rPr>
                <w:rFonts w:ascii="Arial" w:hAnsi="Arial" w:eastAsia="微软雅黑"/>
                <w:sz w:val="19"/>
              </w:rPr>
              <w:t>2个保留测试种子的混合F1为0.9465</w:t>
            </w:r>
          </w:p>
        </w:tc>
        <w:tc>
          <w:tcPr>
            <w:tcW w:type="dxa" w:w="3137"/>
          </w:tcPr>
          <w:p>
            <w:r>
              <w:rPr>
                <w:rFonts w:ascii="Arial" w:hAnsi="Arial" w:eastAsia="微软雅黑"/>
                <w:sz w:val="19"/>
              </w:rPr>
              <w:t>仅支持扩大隔离验证</w:t>
            </w:r>
          </w:p>
        </w:tc>
      </w:tr>
      <w:tr>
        <w:tc>
          <w:tcPr>
            <w:tcW w:type="dxa" w:w="3137"/>
          </w:tcPr>
          <w:p>
            <w:r>
              <w:rPr>
                <w:rFonts w:ascii="Arial" w:hAnsi="Arial" w:eastAsia="微软雅黑"/>
                <w:sz w:val="19"/>
              </w:rPr>
              <w:t>20种子正式对比</w:t>
            </w:r>
          </w:p>
        </w:tc>
        <w:tc>
          <w:tcPr>
            <w:tcW w:type="dxa" w:w="3137"/>
          </w:tcPr>
          <w:p>
            <w:r>
              <w:rPr>
                <w:rFonts w:ascii="Arial" w:hAnsi="Arial" w:eastAsia="微软雅黑"/>
                <w:sz w:val="19"/>
              </w:rPr>
              <w:t>轻量F1为0.9155，图网络F1为0.9131</w:t>
            </w:r>
          </w:p>
        </w:tc>
        <w:tc>
          <w:tcPr>
            <w:tcW w:type="dxa" w:w="3137"/>
          </w:tcPr>
          <w:p>
            <w:r>
              <w:rPr>
                <w:rFonts w:ascii="Arial" w:hAnsi="Arial" w:eastAsia="微软雅黑"/>
                <w:sz w:val="19"/>
              </w:rPr>
              <w:t>图网络未通过晋级判定</w:t>
            </w:r>
          </w:p>
        </w:tc>
      </w:tr>
    </w:tbl>
    <w:p>
      <w:pPr>
        <w:ind w:firstLine="420"/>
      </w:pPr>
      <w:r>
        <w:rPr>
          <w:rFonts w:ascii="Arial" w:hAnsi="Arial" w:eastAsia="微软雅黑"/>
          <w:sz w:val="22"/>
        </w:rPr>
        <w:t>这些试验只研究双站光电形成匿名本地轨迹后的跨站关联。它们不调用D1至D7，不使用中心全局航迹或任务分配结果。AirSim对象名称和真实身份只用于结果冻结后的离线评分。</w:t>
      </w:r>
    </w:p>
    <w:p>
      <w:pPr>
        <w:spacing w:before="200" w:after="100"/>
      </w:pPr>
      <w:r>
        <w:rPr>
          <w:rFonts w:ascii="Arial" w:hAnsi="Arial" w:eastAsia="微软雅黑"/>
          <w:b/>
          <w:sz w:val="30"/>
        </w:rPr>
        <w:t>试验关系</w:t>
      </w:r>
    </w:p>
    <w:p>
      <w:pPr>
        <w:ind w:firstLine="420"/>
      </w:pPr>
      <w:r>
        <w:rPr>
          <w:rFonts w:ascii="Arial" w:hAnsi="Arial" w:eastAsia="微软雅黑"/>
          <w:sz w:val="22"/>
        </w:rPr>
        <w:t>40目标试验先验证针孔反投影、多时刻共面性、恒速三维拟合和匈牙利一对一分配。4公里指南案例提高目标数量并改变双站几何，用于检查窄视场扫描轨迹能否支撑后续关联。2公里密集100目标试验在较有利几何下建立可运行基线。12个AirSim种子用于图网络初步探索，随后增加20个未见测试种子，在相同候选图上正式比较完整轻量方案和图网络方案。本轮没有重新运行4公里案例。</w:t>
      </w:r>
    </w:p>
    <w:p>
      <w:pPr>
        <w:ind w:firstLine="420"/>
      </w:pPr>
      <w:r>
        <w:rPr>
          <w:rFonts w:ascii="Arial" w:hAnsi="Arial" w:eastAsia="微软雅黑"/>
          <w:sz w:val="22"/>
        </w:rPr>
        <w:t>在线处理链为：检测框中心转为世界视线，单站多次扫描形成匿名轨迹，双站轨迹通过几何硬门控形成候选边，匈牙利算法在允许未匹配的条件下给出一对一关系。图网络只修改候选边代价，不绕过几何硬门控，也不直接发布目标身份。</w:t>
      </w:r>
    </w:p>
    <w:p>
      <w:pPr>
        <w:jc w:val="center"/>
      </w:pPr>
      <w:r>
        <w:drawing>
          <wp:inline xmlns:a="http://schemas.openxmlformats.org/drawingml/2006/main" xmlns:pic="http://schemas.openxmlformats.org/drawingml/2006/picture">
            <wp:extent cx="5472000" cy="2243200"/>
            <wp:docPr id="1" name="Picture 1"/>
            <wp:cNvGraphicFramePr>
              <a:graphicFrameLocks noChangeAspect="1"/>
            </wp:cNvGraphicFramePr>
            <a:graphic>
              <a:graphicData uri="http://schemas.openxmlformats.org/drawingml/2006/picture">
                <pic:pic>
                  <pic:nvPicPr>
                    <pic:cNvPr id="0" name="01_algorithm_flow.png"/>
                    <pic:cNvPicPr/>
                  </pic:nvPicPr>
                  <pic:blipFill>
                    <a:blip r:embed="rId9"/>
                    <a:stretch>
                      <a:fillRect/>
                    </a:stretch>
                  </pic:blipFill>
                  <pic:spPr>
                    <a:xfrm>
                      <a:off x="0" y="0"/>
                      <a:ext cx="5472000" cy="2243200"/>
                    </a:xfrm>
                    <a:prstGeom prst="rect"/>
                  </pic:spPr>
                </pic:pic>
              </a:graphicData>
            </a:graphic>
          </wp:inline>
        </w:drawing>
      </w:r>
    </w:p>
    <w:p>
      <w:pPr>
        <w:jc w:val="center"/>
      </w:pPr>
      <w:r>
        <w:rPr>
          <w:rFonts w:ascii="Arial" w:hAnsi="Arial" w:eastAsia="微软雅黑"/>
          <w:sz w:val="19"/>
        </w:rPr>
        <w:t>图网络与确定性外壳</w:t>
      </w:r>
    </w:p>
    <w:p>
      <w:pPr>
        <w:spacing w:before="200" w:after="100"/>
      </w:pPr>
      <w:r>
        <w:rPr>
          <w:rFonts w:ascii="Arial" w:hAnsi="Arial" w:eastAsia="微软雅黑"/>
          <w:b/>
          <w:sz w:val="30"/>
        </w:rPr>
        <w:t>40目标基线</w:t>
      </w:r>
    </w:p>
    <w:p>
      <w:pPr>
        <w:ind w:firstLine="420"/>
      </w:pPr>
      <w:r>
        <w:rPr>
          <w:rFonts w:ascii="Arial" w:hAnsi="Arial" w:eastAsia="微软雅黑"/>
          <w:sz w:val="22"/>
        </w:rPr>
        <w:t>两台相机分别形成47条和45条稳定本地轨迹。真实目标数为40，但窄视场扫描会把同一目标切成多个前后片段，因此实际候选数为</w:t>
      </w:r>
      <w:r>
        <w:rPr>
          <w:rFonts w:ascii="Arial" w:hAnsi="Arial" w:eastAsia="微软雅黑"/>
          <w:sz w:val="22"/>
        </w:rPr>
        <w:t>47×45=2115</w:t>
      </w:r>
      <w:r>
        <w:rPr>
          <w:rFonts w:ascii="Arial" w:hAnsi="Arial" w:eastAsia="微软雅黑"/>
          <w:sz w:val="22"/>
        </w:rPr>
        <w:t>，不是理想的</w:t>
      </w:r>
      <w:r>
        <w:rPr>
          <w:rFonts w:ascii="Arial" w:hAnsi="Arial" w:eastAsia="微软雅黑"/>
          <w:sz w:val="22"/>
        </w:rPr>
        <w:t>40×40=1600</w:t>
      </w:r>
      <w:r>
        <w:rPr>
          <w:rFonts w:ascii="Arial" w:hAnsi="Arial" w:eastAsia="微软雅黑"/>
          <w:sz w:val="22"/>
        </w:rPr>
        <w:t>。</w:t>
      </w:r>
    </w:p>
    <w:p>
      <w:pPr>
        <w:ind w:firstLine="420"/>
      </w:pPr>
      <w:r>
        <w:rPr>
          <w:rFonts w:ascii="Arial" w:hAnsi="Arial" w:eastAsia="微软雅黑"/>
          <w:sz w:val="22"/>
        </w:rPr>
        <w:t>候选依次经过共面性粗筛、六参数恒速拟合、全局一对一分配和重复片段抑制，数量由2115降为156、59、38和37。最终37组关系全部正确，召回率为0.925；28组满足连续确认条件，9组保持待确认。当前处理仍在episode结束后批量执行，约12.3秒的Python处理耗时不满足0.5秒在线周期。</w:t>
      </w:r>
    </w:p>
    <w:p>
      <w:pPr>
        <w:jc w:val="center"/>
      </w:pPr>
      <w:r>
        <w:drawing>
          <wp:inline xmlns:a="http://schemas.openxmlformats.org/drawingml/2006/main" xmlns:pic="http://schemas.openxmlformats.org/drawingml/2006/picture">
            <wp:extent cx="5472000" cy="2366095"/>
            <wp:docPr id="2" name="Picture 2"/>
            <wp:cNvGraphicFramePr>
              <a:graphicFrameLocks noChangeAspect="1"/>
            </wp:cNvGraphicFramePr>
            <a:graphic>
              <a:graphicData uri="http://schemas.openxmlformats.org/drawingml/2006/picture">
                <pic:pic>
                  <pic:nvPicPr>
                    <pic:cNvPr id="0" name="18_track_pair_expansion.png"/>
                    <pic:cNvPicPr/>
                  </pic:nvPicPr>
                  <pic:blipFill>
                    <a:blip r:embed="rId10"/>
                    <a:stretch>
                      <a:fillRect/>
                    </a:stretch>
                  </pic:blipFill>
                  <pic:spPr>
                    <a:xfrm>
                      <a:off x="0" y="0"/>
                      <a:ext cx="5472000" cy="2366095"/>
                    </a:xfrm>
                    <a:prstGeom prst="rect"/>
                  </pic:spPr>
                </pic:pic>
              </a:graphicData>
            </a:graphic>
          </wp:inline>
        </w:drawing>
      </w:r>
    </w:p>
    <w:p>
      <w:pPr>
        <w:jc w:val="center"/>
      </w:pPr>
      <w:r>
        <w:rPr>
          <w:rFonts w:ascii="Arial" w:hAnsi="Arial" w:eastAsia="微软雅黑"/>
          <w:sz w:val="19"/>
        </w:rPr>
        <w:t>本地轨迹碎片与候选扩张</w:t>
      </w:r>
    </w:p>
    <w:p>
      <w:pPr>
        <w:jc w:val="center"/>
      </w:pPr>
      <w:r>
        <w:drawing>
          <wp:inline xmlns:a="http://schemas.openxmlformats.org/drawingml/2006/main" xmlns:pic="http://schemas.openxmlformats.org/drawingml/2006/picture">
            <wp:extent cx="5472000" cy="2244811"/>
            <wp:docPr id="3" name="Picture 3"/>
            <wp:cNvGraphicFramePr>
              <a:graphicFrameLocks noChangeAspect="1"/>
            </wp:cNvGraphicFramePr>
            <a:graphic>
              <a:graphicData uri="http://schemas.openxmlformats.org/drawingml/2006/picture">
                <pic:pic>
                  <pic:nvPicPr>
                    <pic:cNvPr id="0" name="13_epipolar_candidate_funnel.png"/>
                    <pic:cNvPicPr/>
                  </pic:nvPicPr>
                  <pic:blipFill>
                    <a:blip r:embed="rId11"/>
                    <a:stretch>
                      <a:fillRect/>
                    </a:stretch>
                  </pic:blipFill>
                  <pic:spPr>
                    <a:xfrm>
                      <a:off x="0" y="0"/>
                      <a:ext cx="5472000" cy="2244811"/>
                    </a:xfrm>
                    <a:prstGeom prst="rect"/>
                  </pic:spPr>
                </pic:pic>
              </a:graphicData>
            </a:graphic>
          </wp:inline>
        </w:drawing>
      </w:r>
    </w:p>
    <w:p>
      <w:pPr>
        <w:jc w:val="center"/>
      </w:pPr>
      <w:r>
        <w:rPr>
          <w:rFonts w:ascii="Arial" w:hAnsi="Arial" w:eastAsia="微软雅黑"/>
          <w:sz w:val="19"/>
        </w:rPr>
        <w:t>40目标候选筛选</w:t>
      </w:r>
    </w:p>
    <w:p>
      <w:pPr>
        <w:spacing w:before="200" w:after="100"/>
      </w:pPr>
      <w:r>
        <w:rPr>
          <w:rFonts w:ascii="Arial" w:hAnsi="Arial" w:eastAsia="微软雅黑"/>
          <w:b/>
          <w:sz w:val="30"/>
        </w:rPr>
        <w:t>4公里指南案例</w:t>
      </w:r>
    </w:p>
    <w:p>
      <w:pPr>
        <w:ind w:firstLine="420"/>
      </w:pPr>
      <w:r>
        <w:rPr>
          <w:rFonts w:ascii="Arial" w:hAnsi="Arial" w:eastAsia="微软雅黑"/>
          <w:sz w:val="22"/>
        </w:rPr>
        <w:t>该场景包含100个3米目标、4公里双站基线、40至60米每秒目标速度和10组交叉轨迹。AirSim共返回16910次匿名检测，说明目标生成、扫描和检测接口均已运行。A、B站只形成43条和29条算法稳定轨迹。</w:t>
      </w:r>
    </w:p>
    <w:p>
      <w:pPr>
        <w:ind w:firstLine="420"/>
      </w:pPr>
      <w:r>
        <w:rPr>
          <w:rFonts w:ascii="Arial" w:hAnsi="Arial" w:eastAsia="微软雅黑"/>
          <w:sz w:val="22"/>
        </w:rPr>
        <w:t>离线审计显示，A、B站轨迹纯度中位数分别为0.390和0.345，纯度不低于0.90的轨迹只有1条和0条。多数轨迹已经混入多个目标，后续多时刻几何门控因此拒绝全部候选，最终关系为0。放宽跨站门限会接纳混合轨迹，不能修复该问题。当前应先改进单站扫描成轨，而不是继续调低跨站门限。</w:t>
      </w:r>
    </w:p>
    <w:p>
      <w:pPr>
        <w:jc w:val="center"/>
      </w:pPr>
      <w:r>
        <w:drawing>
          <wp:inline xmlns:a="http://schemas.openxmlformats.org/drawingml/2006/main" xmlns:pic="http://schemas.openxmlformats.org/drawingml/2006/picture">
            <wp:extent cx="5472000" cy="2427221"/>
            <wp:docPr id="4" name="Picture 4"/>
            <wp:cNvGraphicFramePr>
              <a:graphicFrameLocks noChangeAspect="1"/>
            </wp:cNvGraphicFramePr>
            <a:graphic>
              <a:graphicData uri="http://schemas.openxmlformats.org/drawingml/2006/picture">
                <pic:pic>
                  <pic:nvPicPr>
                    <pic:cNvPr id="0" name="10_local_track_purity.png"/>
                    <pic:cNvPicPr/>
                  </pic:nvPicPr>
                  <pic:blipFill>
                    <a:blip r:embed="rId12"/>
                    <a:stretch>
                      <a:fillRect/>
                    </a:stretch>
                  </pic:blipFill>
                  <pic:spPr>
                    <a:xfrm>
                      <a:off x="0" y="0"/>
                      <a:ext cx="5472000" cy="2427221"/>
                    </a:xfrm>
                    <a:prstGeom prst="rect"/>
                  </pic:spPr>
                </pic:pic>
              </a:graphicData>
            </a:graphic>
          </wp:inline>
        </w:drawing>
      </w:r>
    </w:p>
    <w:p>
      <w:pPr>
        <w:jc w:val="center"/>
      </w:pPr>
      <w:r>
        <w:rPr>
          <w:rFonts w:ascii="Arial" w:hAnsi="Arial" w:eastAsia="微软雅黑"/>
          <w:sz w:val="19"/>
        </w:rPr>
        <w:t>4公里案例单站轨迹纯度</w:t>
      </w:r>
    </w:p>
    <w:p>
      <w:pPr>
        <w:spacing w:before="200" w:after="100"/>
      </w:pPr>
      <w:r>
        <w:rPr>
          <w:rFonts w:ascii="Arial" w:hAnsi="Arial" w:eastAsia="微软雅黑"/>
          <w:b/>
          <w:sz w:val="30"/>
        </w:rPr>
        <w:t>2公里密集100目标</w:t>
      </w:r>
    </w:p>
    <w:p>
      <w:pPr>
        <w:ind w:firstLine="420"/>
      </w:pPr>
      <w:r>
        <w:rPr>
          <w:rFonts w:ascii="Arial" w:hAnsi="Arial" w:eastAsia="微软雅黑"/>
          <w:sz w:val="22"/>
        </w:rPr>
        <w:t>正式种子20260813使用2公里双站基线、100个3米目标和50米每秒目标速度。A、B站分别形成115条和117条稳定轨迹，共有13455个轨迹组合。</w:t>
      </w:r>
    </w:p>
    <w:p>
      <w:pPr>
        <w:ind w:firstLine="420"/>
      </w:pPr>
      <w:r>
        <w:rPr>
          <w:rFonts w:ascii="Arial" w:hAnsi="Arial" w:eastAsia="微软雅黑"/>
          <w:sz w:val="22"/>
        </w:rPr>
        <w:t>基础链路输出97组匹配，其中89组正确、8组错误，准确率0.9175，召回率0.8900。增强链路通过共面性粗筛、全局多假设、延迟确认和片段去重输出94组匹配，其中87组正确、7组错误，准确率0.9255，召回率0.8700。增强链路减少1组误配并消除重复身份，但少闭合2个目标，且处理耗时高于基础链路，因此严格验收未通过。</w:t>
      </w:r>
    </w:p>
    <w:p>
      <w:pPr>
        <w:jc w:val="center"/>
      </w:pPr>
      <w:r>
        <w:drawing>
          <wp:inline xmlns:a="http://schemas.openxmlformats.org/drawingml/2006/main" xmlns:pic="http://schemas.openxmlformats.org/drawingml/2006/picture">
            <wp:extent cx="5472000" cy="3319264"/>
            <wp:docPr id="5" name="Picture 5"/>
            <wp:cNvGraphicFramePr>
              <a:graphicFrameLocks noChangeAspect="1"/>
            </wp:cNvGraphicFramePr>
            <a:graphic>
              <a:graphicData uri="http://schemas.openxmlformats.org/drawingml/2006/picture">
                <pic:pic>
                  <pic:nvPicPr>
                    <pic:cNvPr id="0" name="12_truth_association_effect.png"/>
                    <pic:cNvPicPr/>
                  </pic:nvPicPr>
                  <pic:blipFill>
                    <a:blip r:embed="rId13"/>
                    <a:stretch>
                      <a:fillRect/>
                    </a:stretch>
                  </pic:blipFill>
                  <pic:spPr>
                    <a:xfrm>
                      <a:off x="0" y="0"/>
                      <a:ext cx="5472000" cy="3319264"/>
                    </a:xfrm>
                    <a:prstGeom prst="rect"/>
                  </pic:spPr>
                </pic:pic>
              </a:graphicData>
            </a:graphic>
          </wp:inline>
        </w:drawing>
      </w:r>
    </w:p>
    <w:p>
      <w:pPr>
        <w:jc w:val="center"/>
      </w:pPr>
      <w:r>
        <w:rPr>
          <w:rFonts w:ascii="Arial" w:hAnsi="Arial" w:eastAsia="微软雅黑"/>
          <w:sz w:val="19"/>
        </w:rPr>
        <w:t>2公里100目标关联效果</w:t>
      </w:r>
    </w:p>
    <w:p>
      <w:pPr>
        <w:spacing w:before="200" w:after="100"/>
      </w:pPr>
      <w:r>
        <w:rPr>
          <w:rFonts w:ascii="Arial" w:hAnsi="Arial" w:eastAsia="微软雅黑"/>
          <w:b/>
          <w:sz w:val="30"/>
        </w:rPr>
        <w:t>多种子原始记录</w:t>
      </w:r>
    </w:p>
    <w:p>
      <w:pPr>
        <w:ind w:firstLine="420"/>
      </w:pPr>
      <w:r>
        <w:rPr>
          <w:rFonts w:ascii="Arial" w:hAnsi="Arial" w:eastAsia="微软雅黑"/>
          <w:sz w:val="22"/>
        </w:rPr>
        <w:t>20260820至20260831共12个AirSim seed在一次Blocks启动中顺序完成，episode之间执行reset。每个seed均生成100个目标，两站目标检测覆盖率均为1.0，在线真值泄漏累计为0，默认未保存AirSim截图。</w:t>
      </w:r>
    </w:p>
    <w:p>
      <w:pPr>
        <w:ind w:firstLine="420"/>
      </w:pPr>
      <w:r>
        <w:rPr>
          <w:rFonts w:ascii="Arial" w:hAnsi="Arial" w:eastAsia="微软雅黑"/>
          <w:sz w:val="22"/>
        </w:rPr>
        <w:t>未注入额外漏检和虚警时，基础链路12个seed平均准确率为0.9250、平均召回率为0.8625，累计1035组正确、84组错误。增强链路平均准确率为0.9430、平均召回率为0.8592，累计1031组正确、62组错误。增强链路总体减少22组误配，但平均召回率下降0.0033。不同seed之间的误配和召回波动说明，单一种子结果不能代表100目标性能。</w:t>
      </w:r>
    </w:p>
    <w:p>
      <w:pPr>
        <w:spacing w:before="200" w:after="100"/>
      </w:pPr>
      <w:r>
        <w:rPr>
          <w:rFonts w:ascii="Arial" w:hAnsi="Arial" w:eastAsia="微软雅黑"/>
          <w:b/>
          <w:sz w:val="30"/>
        </w:rPr>
        <w:t>早期图网络探索</w:t>
      </w:r>
    </w:p>
    <w:p>
      <w:pPr>
        <w:ind w:firstLine="420"/>
      </w:pPr>
      <w:r>
        <w:rPr>
          <w:rFonts w:ascii="Arial" w:hAnsi="Arial" w:eastAsia="微软雅黑"/>
          <w:sz w:val="22"/>
        </w:rPr>
        <w:t>12个seed按完整场景划分：20260820至20260827用于训练，20260828和20260829用于验证，20260830和20260831用于测试。每个seed从保存后的本地轨迹样本离线生成轻、中、重三档腐化。测试集实际包含2个独立AirSim场景，每档2个样本，共6个样本。</w:t>
      </w:r>
    </w:p>
    <w:p>
      <w:pPr>
        <w:ind w:firstLine="420"/>
      </w:pPr>
      <w:r>
        <w:rPr>
          <w:rFonts w:ascii="Arial" w:hAnsi="Arial" w:eastAsia="微软雅黑"/>
          <w:sz w:val="22"/>
        </w:rPr>
        <w:t>图网络含两层消息传递、64维隐藏特征和68353个参数。模型在第29轮早停，最佳验证损失出现在第19轮。所有方法使用相同的几何候选边和匈牙利一对一约束。</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D9E7F0"/>
          </w:tcPr>
          <w:p>
            <w:r>
              <w:rPr>
                <w:rFonts w:ascii="Arial" w:hAnsi="Arial" w:eastAsia="微软雅黑"/>
                <w:sz w:val="19"/>
              </w:rPr>
              <w:t>方法</w:t>
            </w:r>
          </w:p>
        </w:tc>
        <w:tc>
          <w:tcPr>
            <w:tcW w:type="dxa" w:w="1569"/>
            <w:shd w:fill="D9E7F0"/>
          </w:tcPr>
          <w:p>
            <w:r>
              <w:rPr>
                <w:rFonts w:ascii="Arial" w:hAnsi="Arial" w:eastAsia="微软雅黑"/>
                <w:sz w:val="19"/>
              </w:rPr>
              <w:t>准确率P</w:t>
            </w:r>
          </w:p>
        </w:tc>
        <w:tc>
          <w:tcPr>
            <w:tcW w:type="dxa" w:w="1569"/>
            <w:shd w:fill="D9E7F0"/>
          </w:tcPr>
          <w:p>
            <w:r>
              <w:rPr>
                <w:rFonts w:ascii="Arial" w:hAnsi="Arial" w:eastAsia="微软雅黑"/>
                <w:sz w:val="19"/>
              </w:rPr>
              <w:t>召回率R</w:t>
            </w:r>
          </w:p>
        </w:tc>
        <w:tc>
          <w:tcPr>
            <w:tcW w:type="dxa" w:w="1569"/>
            <w:shd w:fill="D9E7F0"/>
          </w:tcPr>
          <w:p>
            <w:r>
              <w:rPr>
                <w:rFonts w:ascii="Arial" w:hAnsi="Arial" w:eastAsia="微软雅黑"/>
                <w:sz w:val="19"/>
              </w:rPr>
              <w:t>F1综合指标</w:t>
            </w:r>
          </w:p>
        </w:tc>
        <w:tc>
          <w:tcPr>
            <w:tcW w:type="dxa" w:w="1569"/>
            <w:shd w:fill="D9E7F0"/>
          </w:tcPr>
          <w:p>
            <w:r>
              <w:rPr>
                <w:rFonts w:ascii="Arial" w:hAnsi="Arial" w:eastAsia="微软雅黑"/>
                <w:sz w:val="19"/>
              </w:rPr>
              <w:t>错误关联</w:t>
            </w:r>
          </w:p>
        </w:tc>
        <w:tc>
          <w:tcPr>
            <w:tcW w:type="dxa" w:w="1569"/>
            <w:shd w:fill="D9E7F0"/>
          </w:tcPr>
          <w:p>
            <w:r>
              <w:rPr>
                <w:rFonts w:ascii="Arial" w:hAnsi="Arial" w:eastAsia="微软雅黑"/>
                <w:sz w:val="19"/>
              </w:rPr>
              <w:t>身份重复</w:t>
            </w:r>
          </w:p>
        </w:tc>
      </w:tr>
      <w:tr>
        <w:tc>
          <w:tcPr>
            <w:tcW w:type="dxa" w:w="1569"/>
          </w:tcPr>
          <w:p>
            <w:r>
              <w:rPr>
                <w:rFonts w:ascii="Arial" w:hAnsi="Arial" w:eastAsia="微软雅黑"/>
                <w:sz w:val="19"/>
              </w:rPr>
              <w:t>确定性几何</w:t>
            </w:r>
          </w:p>
        </w:tc>
        <w:tc>
          <w:tcPr>
            <w:tcW w:type="dxa" w:w="1569"/>
          </w:tcPr>
          <w:p>
            <w:r>
              <w:rPr>
                <w:rFonts w:ascii="Arial" w:hAnsi="Arial" w:eastAsia="微软雅黑"/>
                <w:sz w:val="19"/>
              </w:rPr>
              <w:t>0.8078</w:t>
            </w:r>
          </w:p>
        </w:tc>
        <w:tc>
          <w:tcPr>
            <w:tcW w:type="dxa" w:w="1569"/>
          </w:tcPr>
          <w:p>
            <w:r>
              <w:rPr>
                <w:rFonts w:ascii="Arial" w:hAnsi="Arial" w:eastAsia="微软雅黑"/>
                <w:sz w:val="19"/>
              </w:rPr>
              <w:t>0.8317</w:t>
            </w:r>
          </w:p>
        </w:tc>
        <w:tc>
          <w:tcPr>
            <w:tcW w:type="dxa" w:w="1569"/>
          </w:tcPr>
          <w:p>
            <w:r>
              <w:rPr>
                <w:rFonts w:ascii="Arial" w:hAnsi="Arial" w:eastAsia="微软雅黑"/>
                <w:sz w:val="19"/>
              </w:rPr>
              <w:t>0.8196</w:t>
            </w:r>
          </w:p>
        </w:tc>
        <w:tc>
          <w:tcPr>
            <w:tcW w:type="dxa" w:w="1569"/>
          </w:tcPr>
          <w:p>
            <w:r>
              <w:rPr>
                <w:rFonts w:ascii="Arial" w:hAnsi="Arial" w:eastAsia="微软雅黑"/>
                <w:sz w:val="19"/>
              </w:rPr>
              <w:t>120</w:t>
            </w:r>
          </w:p>
        </w:tc>
        <w:tc>
          <w:tcPr>
            <w:tcW w:type="dxa" w:w="1569"/>
          </w:tcPr>
          <w:p>
            <w:r>
              <w:rPr>
                <w:rFonts w:ascii="Arial" w:hAnsi="Arial" w:eastAsia="微软雅黑"/>
                <w:sz w:val="19"/>
              </w:rPr>
              <w:t>5</w:t>
            </w:r>
          </w:p>
        </w:tc>
      </w:tr>
      <w:tr>
        <w:tc>
          <w:tcPr>
            <w:tcW w:type="dxa" w:w="1569"/>
          </w:tcPr>
          <w:p>
            <w:r>
              <w:rPr>
                <w:rFonts w:ascii="Arial" w:hAnsi="Arial" w:eastAsia="微软雅黑"/>
                <w:sz w:val="19"/>
              </w:rPr>
              <w:t>学习代价</w:t>
            </w:r>
          </w:p>
        </w:tc>
        <w:tc>
          <w:tcPr>
            <w:tcW w:type="dxa" w:w="1569"/>
          </w:tcPr>
          <w:p>
            <w:r>
              <w:rPr>
                <w:rFonts w:ascii="Arial" w:hAnsi="Arial" w:eastAsia="微软雅黑"/>
                <w:sz w:val="19"/>
              </w:rPr>
              <w:t>0.9877</w:t>
            </w:r>
          </w:p>
        </w:tc>
        <w:tc>
          <w:tcPr>
            <w:tcW w:type="dxa" w:w="1569"/>
          </w:tcPr>
          <w:p>
            <w:r>
              <w:rPr>
                <w:rFonts w:ascii="Arial" w:hAnsi="Arial" w:eastAsia="微软雅黑"/>
                <w:sz w:val="19"/>
              </w:rPr>
              <w:t>0.9133</w:t>
            </w:r>
          </w:p>
        </w:tc>
        <w:tc>
          <w:tcPr>
            <w:tcW w:type="dxa" w:w="1569"/>
          </w:tcPr>
          <w:p>
            <w:r>
              <w:rPr>
                <w:rFonts w:ascii="Arial" w:hAnsi="Arial" w:eastAsia="微软雅黑"/>
                <w:sz w:val="19"/>
              </w:rPr>
              <w:t>0.9490</w:t>
            </w:r>
          </w:p>
        </w:tc>
        <w:tc>
          <w:tcPr>
            <w:tcW w:type="dxa" w:w="1569"/>
          </w:tcPr>
          <w:p>
            <w:r>
              <w:rPr>
                <w:rFonts w:ascii="Arial" w:hAnsi="Arial" w:eastAsia="微软雅黑"/>
                <w:sz w:val="19"/>
              </w:rPr>
              <w:t>7</w:t>
            </w:r>
          </w:p>
        </w:tc>
        <w:tc>
          <w:tcPr>
            <w:tcW w:type="dxa" w:w="1569"/>
          </w:tcPr>
          <w:p>
            <w:r>
              <w:rPr>
                <w:rFonts w:ascii="Arial" w:hAnsi="Arial" w:eastAsia="微软雅黑"/>
                <w:sz w:val="19"/>
              </w:rPr>
              <w:t>8</w:t>
            </w:r>
          </w:p>
        </w:tc>
      </w:tr>
      <w:tr>
        <w:tc>
          <w:tcPr>
            <w:tcW w:type="dxa" w:w="1569"/>
          </w:tcPr>
          <w:p>
            <w:r>
              <w:rPr>
                <w:rFonts w:ascii="Arial" w:hAnsi="Arial" w:eastAsia="微软雅黑"/>
                <w:sz w:val="19"/>
              </w:rPr>
              <w:t>混合代价</w:t>
            </w:r>
          </w:p>
        </w:tc>
        <w:tc>
          <w:tcPr>
            <w:tcW w:type="dxa" w:w="1569"/>
          </w:tcPr>
          <w:p>
            <w:r>
              <w:rPr>
                <w:rFonts w:ascii="Arial" w:hAnsi="Arial" w:eastAsia="微软雅黑"/>
                <w:sz w:val="19"/>
              </w:rPr>
              <w:t>0.9823</w:t>
            </w:r>
          </w:p>
        </w:tc>
        <w:tc>
          <w:tcPr>
            <w:tcW w:type="dxa" w:w="1569"/>
          </w:tcPr>
          <w:p>
            <w:r>
              <w:rPr>
                <w:rFonts w:ascii="Arial" w:hAnsi="Arial" w:eastAsia="微软雅黑"/>
                <w:sz w:val="19"/>
              </w:rPr>
              <w:t>0.9133</w:t>
            </w:r>
          </w:p>
        </w:tc>
        <w:tc>
          <w:tcPr>
            <w:tcW w:type="dxa" w:w="1569"/>
          </w:tcPr>
          <w:p>
            <w:r>
              <w:rPr>
                <w:rFonts w:ascii="Arial" w:hAnsi="Arial" w:eastAsia="微软雅黑"/>
                <w:sz w:val="19"/>
              </w:rPr>
              <w:t>0.9465</w:t>
            </w:r>
          </w:p>
        </w:tc>
        <w:tc>
          <w:tcPr>
            <w:tcW w:type="dxa" w:w="1569"/>
          </w:tcPr>
          <w:p>
            <w:r>
              <w:rPr>
                <w:rFonts w:ascii="Arial" w:hAnsi="Arial" w:eastAsia="微软雅黑"/>
                <w:sz w:val="19"/>
              </w:rPr>
              <w:t>10</w:t>
            </w:r>
          </w:p>
        </w:tc>
        <w:tc>
          <w:tcPr>
            <w:tcW w:type="dxa" w:w="1569"/>
          </w:tcPr>
          <w:p>
            <w:r>
              <w:rPr>
                <w:rFonts w:ascii="Arial" w:hAnsi="Arial" w:eastAsia="微软雅黑"/>
                <w:sz w:val="19"/>
              </w:rPr>
              <w:t>5</w:t>
            </w:r>
          </w:p>
        </w:tc>
      </w:tr>
    </w:tbl>
    <w:p>
      <w:pPr>
        <w:ind w:firstLine="420"/>
      </w:pPr>
      <w:r>
        <w:rPr>
          <w:rFonts w:ascii="Arial" w:hAnsi="Arial" w:eastAsia="微软雅黑"/>
          <w:sz w:val="22"/>
        </w:rPr>
        <w:t>混合方案相对未标定几何基线的F1提高0.1269，错误关联由120降至10，身份重复保持为5。中央处理器和图形处理器前向推理95%分位分别约1.47毫秒和0.87毫秒。这组结果只支持扩大独立测试规模，不能直接支持主线替换。</w:t>
      </w:r>
    </w:p>
    <w:p>
      <w:pPr>
        <w:jc w:val="center"/>
      </w:pPr>
      <w:r>
        <w:drawing>
          <wp:inline xmlns:a="http://schemas.openxmlformats.org/drawingml/2006/main" xmlns:pic="http://schemas.openxmlformats.org/drawingml/2006/picture">
            <wp:extent cx="5472000" cy="3107016"/>
            <wp:docPr id="6" name="Picture 6"/>
            <wp:cNvGraphicFramePr>
              <a:graphicFrameLocks noChangeAspect="1"/>
            </wp:cNvGraphicFramePr>
            <a:graphic>
              <a:graphicData uri="http://schemas.openxmlformats.org/drawingml/2006/picture">
                <pic:pic>
                  <pic:nvPicPr>
                    <pic:cNvPr id="0" name="04_f1_by_corruption.png"/>
                    <pic:cNvPicPr/>
                  </pic:nvPicPr>
                  <pic:blipFill>
                    <a:blip r:embed="rId14"/>
                    <a:stretch>
                      <a:fillRect/>
                    </a:stretch>
                  </pic:blipFill>
                  <pic:spPr>
                    <a:xfrm>
                      <a:off x="0" y="0"/>
                      <a:ext cx="5472000" cy="3107016"/>
                    </a:xfrm>
                    <a:prstGeom prst="rect"/>
                  </pic:spPr>
                </pic:pic>
              </a:graphicData>
            </a:graphic>
          </wp:inline>
        </w:drawing>
      </w:r>
    </w:p>
    <w:p>
      <w:pPr>
        <w:jc w:val="center"/>
      </w:pPr>
      <w:r>
        <w:rPr>
          <w:rFonts w:ascii="Arial" w:hAnsi="Arial" w:eastAsia="微软雅黑"/>
          <w:sz w:val="19"/>
        </w:rPr>
        <w:t>三档腐化结果</w:t>
      </w:r>
    </w:p>
    <w:p>
      <w:pPr>
        <w:jc w:val="center"/>
      </w:pPr>
      <w:r>
        <w:drawing>
          <wp:inline xmlns:a="http://schemas.openxmlformats.org/drawingml/2006/main" xmlns:pic="http://schemas.openxmlformats.org/drawingml/2006/picture">
            <wp:extent cx="5472000" cy="3638645"/>
            <wp:docPr id="7" name="Picture 7"/>
            <wp:cNvGraphicFramePr>
              <a:graphicFrameLocks noChangeAspect="1"/>
            </wp:cNvGraphicFramePr>
            <a:graphic>
              <a:graphicData uri="http://schemas.openxmlformats.org/drawingml/2006/picture">
                <pic:pic>
                  <pic:nvPicPr>
                    <pic:cNvPr id="0" name="07_training_history.png"/>
                    <pic:cNvPicPr/>
                  </pic:nvPicPr>
                  <pic:blipFill>
                    <a:blip r:embed="rId15"/>
                    <a:stretch>
                      <a:fillRect/>
                    </a:stretch>
                  </pic:blipFill>
                  <pic:spPr>
                    <a:xfrm>
                      <a:off x="0" y="0"/>
                      <a:ext cx="5472000" cy="3638645"/>
                    </a:xfrm>
                    <a:prstGeom prst="rect"/>
                  </pic:spPr>
                </pic:pic>
              </a:graphicData>
            </a:graphic>
          </wp:inline>
        </w:drawing>
      </w:r>
    </w:p>
    <w:p>
      <w:pPr>
        <w:jc w:val="center"/>
      </w:pPr>
      <w:r>
        <w:rPr>
          <w:rFonts w:ascii="Arial" w:hAnsi="Arial" w:eastAsia="微软雅黑"/>
          <w:sz w:val="19"/>
        </w:rPr>
        <w:t>训练和早停</w:t>
      </w:r>
    </w:p>
    <w:p>
      <w:pPr>
        <w:spacing w:before="200" w:after="100"/>
      </w:pPr>
      <w:r>
        <w:rPr>
          <w:rFonts w:ascii="Arial" w:hAnsi="Arial" w:eastAsia="微软雅黑"/>
          <w:b/>
          <w:sz w:val="30"/>
        </w:rPr>
        <w:t>20种子正式对比</w:t>
      </w:r>
    </w:p>
    <w:p>
      <w:pPr>
        <w:ind w:firstLine="420"/>
      </w:pPr>
      <w:r>
        <w:rPr>
          <w:rFonts w:ascii="Arial" w:hAnsi="Arial" w:eastAsia="微软雅黑"/>
          <w:sz w:val="22"/>
        </w:rPr>
        <w:t>main新增运行20260901至20260920共20个未见AirSim随机种子。20/20个episode均形成完整记录和指标，每个episode均生成100个目标，在线真实身份泄漏累计为0，没有保存截图。原始确定性基线只有1个episode通过自身严格门限，另19个返回码2表示基线门限未通过，不是AirSim运行失败。训练集仍为20260820至20260827，验证集仍为20260828和20260829，新增20个随机种子全部只用于冻结后的测试。</w:t>
      </w:r>
    </w:p>
    <w:p>
      <w:pPr>
        <w:ind w:firstLine="420"/>
      </w:pPr>
      <w:r>
        <w:rPr>
          <w:rFonts w:ascii="Arial" w:hAnsi="Arial" w:eastAsia="微软雅黑"/>
          <w:sz w:val="22"/>
        </w:rPr>
        <w:t>轻量方案比较非负几何权重重标定、Platt概率标定、单调概率标定和五组二范数逻辑回归。验证集选中非负几何权重重标定，概率门限为0.8。图网络验证集选中40%几何代价与60%学习代价的混合路线，概率门限为0.4。两条路线使用完全相同的候选节点、候选边、几何代价和样本顺序。</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D9E7F0"/>
          </w:tcPr>
          <w:p>
            <w:r>
              <w:rPr>
                <w:rFonts w:ascii="Arial" w:hAnsi="Arial" w:eastAsia="微软雅黑"/>
                <w:sz w:val="19"/>
              </w:rPr>
              <w:t>方法</w:t>
            </w:r>
          </w:p>
        </w:tc>
        <w:tc>
          <w:tcPr>
            <w:tcW w:type="dxa" w:w="1569"/>
            <w:shd w:fill="D9E7F0"/>
          </w:tcPr>
          <w:p>
            <w:r>
              <w:rPr>
                <w:rFonts w:ascii="Arial" w:hAnsi="Arial" w:eastAsia="微软雅黑"/>
                <w:sz w:val="19"/>
              </w:rPr>
              <w:t>准确率</w:t>
            </w:r>
          </w:p>
        </w:tc>
        <w:tc>
          <w:tcPr>
            <w:tcW w:type="dxa" w:w="1569"/>
            <w:shd w:fill="D9E7F0"/>
          </w:tcPr>
          <w:p>
            <w:r>
              <w:rPr>
                <w:rFonts w:ascii="Arial" w:hAnsi="Arial" w:eastAsia="微软雅黑"/>
                <w:sz w:val="19"/>
              </w:rPr>
              <w:t>召回率</w:t>
            </w:r>
          </w:p>
        </w:tc>
        <w:tc>
          <w:tcPr>
            <w:tcW w:type="dxa" w:w="1569"/>
            <w:shd w:fill="D9E7F0"/>
          </w:tcPr>
          <w:p>
            <w:r>
              <w:rPr>
                <w:rFonts w:ascii="Arial" w:hAnsi="Arial" w:eastAsia="微软雅黑"/>
                <w:sz w:val="19"/>
              </w:rPr>
              <w:t>F1综合指标</w:t>
            </w:r>
          </w:p>
        </w:tc>
        <w:tc>
          <w:tcPr>
            <w:tcW w:type="dxa" w:w="1569"/>
            <w:shd w:fill="D9E7F0"/>
          </w:tcPr>
          <w:p>
            <w:r>
              <w:rPr>
                <w:rFonts w:ascii="Arial" w:hAnsi="Arial" w:eastAsia="微软雅黑"/>
                <w:sz w:val="19"/>
              </w:rPr>
              <w:t>错误关联</w:t>
            </w:r>
          </w:p>
        </w:tc>
        <w:tc>
          <w:tcPr>
            <w:tcW w:type="dxa" w:w="1569"/>
            <w:shd w:fill="D9E7F0"/>
          </w:tcPr>
          <w:p>
            <w:r>
              <w:rPr>
                <w:rFonts w:ascii="Arial" w:hAnsi="Arial" w:eastAsia="微软雅黑"/>
                <w:sz w:val="19"/>
              </w:rPr>
              <w:t>身份重复</w:t>
            </w:r>
          </w:p>
        </w:tc>
      </w:tr>
      <w:tr>
        <w:tc>
          <w:tcPr>
            <w:tcW w:type="dxa" w:w="1569"/>
          </w:tcPr>
          <w:p>
            <w:r>
              <w:rPr>
                <w:rFonts w:ascii="Arial" w:hAnsi="Arial" w:eastAsia="微软雅黑"/>
                <w:sz w:val="19"/>
              </w:rPr>
              <w:t>轻量方案</w:t>
            </w:r>
          </w:p>
        </w:tc>
        <w:tc>
          <w:tcPr>
            <w:tcW w:type="dxa" w:w="1569"/>
          </w:tcPr>
          <w:p>
            <w:r>
              <w:rPr>
                <w:rFonts w:ascii="Arial" w:hAnsi="Arial" w:eastAsia="微软雅黑"/>
                <w:sz w:val="19"/>
              </w:rPr>
              <w:t>0.9841</w:t>
            </w:r>
          </w:p>
        </w:tc>
        <w:tc>
          <w:tcPr>
            <w:tcW w:type="dxa" w:w="1569"/>
          </w:tcPr>
          <w:p>
            <w:r>
              <w:rPr>
                <w:rFonts w:ascii="Arial" w:hAnsi="Arial" w:eastAsia="微软雅黑"/>
                <w:sz w:val="19"/>
              </w:rPr>
              <w:t>0.8575</w:t>
            </w:r>
          </w:p>
        </w:tc>
        <w:tc>
          <w:tcPr>
            <w:tcW w:type="dxa" w:w="1569"/>
          </w:tcPr>
          <w:p>
            <w:r>
              <w:rPr>
                <w:rFonts w:ascii="Arial" w:hAnsi="Arial" w:eastAsia="微软雅黑"/>
                <w:sz w:val="19"/>
              </w:rPr>
              <w:t>0.9155</w:t>
            </w:r>
          </w:p>
        </w:tc>
        <w:tc>
          <w:tcPr>
            <w:tcW w:type="dxa" w:w="1569"/>
          </w:tcPr>
          <w:p>
            <w:r>
              <w:rPr>
                <w:rFonts w:ascii="Arial" w:hAnsi="Arial" w:eastAsia="微软雅黑"/>
                <w:sz w:val="19"/>
              </w:rPr>
              <w:t>84</w:t>
            </w:r>
          </w:p>
        </w:tc>
        <w:tc>
          <w:tcPr>
            <w:tcW w:type="dxa" w:w="1569"/>
          </w:tcPr>
          <w:p>
            <w:r>
              <w:rPr>
                <w:rFonts w:ascii="Arial" w:hAnsi="Arial" w:eastAsia="微软雅黑"/>
                <w:sz w:val="19"/>
              </w:rPr>
              <w:t>71</w:t>
            </w:r>
          </w:p>
        </w:tc>
      </w:tr>
      <w:tr>
        <w:tc>
          <w:tcPr>
            <w:tcW w:type="dxa" w:w="1569"/>
          </w:tcPr>
          <w:p>
            <w:r>
              <w:rPr>
                <w:rFonts w:ascii="Arial" w:hAnsi="Arial" w:eastAsia="微软雅黑"/>
                <w:sz w:val="19"/>
              </w:rPr>
              <w:t>图网络选定方案</w:t>
            </w:r>
          </w:p>
        </w:tc>
        <w:tc>
          <w:tcPr>
            <w:tcW w:type="dxa" w:w="1569"/>
          </w:tcPr>
          <w:p>
            <w:r>
              <w:rPr>
                <w:rFonts w:ascii="Arial" w:hAnsi="Arial" w:eastAsia="微软雅黑"/>
                <w:sz w:val="19"/>
              </w:rPr>
              <w:t>0.9786</w:t>
            </w:r>
          </w:p>
        </w:tc>
        <w:tc>
          <w:tcPr>
            <w:tcW w:type="dxa" w:w="1569"/>
          </w:tcPr>
          <w:p>
            <w:r>
              <w:rPr>
                <w:rFonts w:ascii="Arial" w:hAnsi="Arial" w:eastAsia="微软雅黑"/>
                <w:sz w:val="19"/>
              </w:rPr>
              <w:t>0.8572</w:t>
            </w:r>
          </w:p>
        </w:tc>
        <w:tc>
          <w:tcPr>
            <w:tcW w:type="dxa" w:w="1569"/>
          </w:tcPr>
          <w:p>
            <w:r>
              <w:rPr>
                <w:rFonts w:ascii="Arial" w:hAnsi="Arial" w:eastAsia="微软雅黑"/>
                <w:sz w:val="19"/>
              </w:rPr>
              <w:t>0.9131</w:t>
            </w:r>
          </w:p>
        </w:tc>
        <w:tc>
          <w:tcPr>
            <w:tcW w:type="dxa" w:w="1569"/>
          </w:tcPr>
          <w:p>
            <w:r>
              <w:rPr>
                <w:rFonts w:ascii="Arial" w:hAnsi="Arial" w:eastAsia="微软雅黑"/>
                <w:sz w:val="19"/>
              </w:rPr>
              <w:t>112</w:t>
            </w:r>
          </w:p>
        </w:tc>
        <w:tc>
          <w:tcPr>
            <w:tcW w:type="dxa" w:w="1569"/>
          </w:tcPr>
          <w:p>
            <w:r>
              <w:rPr>
                <w:rFonts w:ascii="Arial" w:hAnsi="Arial" w:eastAsia="微软雅黑"/>
                <w:sz w:val="19"/>
              </w:rPr>
              <w:t>68</w:t>
            </w:r>
          </w:p>
        </w:tc>
      </w:tr>
    </w:tbl>
    <w:p>
      <w:pPr>
        <w:ind w:firstLine="420"/>
      </w:pPr>
      <w:r>
        <w:rPr>
          <w:rFonts w:ascii="Arial" w:hAnsi="Arial" w:eastAsia="微软雅黑"/>
          <w:sz w:val="22"/>
        </w:rPr>
        <w:t>图网络相对轻量方案的配对F1差值为-0.0024，按20个完整随机种子成组抽样得到的95%置信区间为[-0.0054, 0.0003]。图网络减少3次身份重复，但增加28次错误关联。F1提升、置信区间和误配不增加三项晋级条件均未通过。</w:t>
      </w:r>
    </w:p>
    <w:p>
      <w:pPr>
        <w:ind w:firstLine="420"/>
      </w:pPr>
      <w:r>
        <w:rPr>
          <w:rFonts w:ascii="Arial" w:hAnsi="Arial" w:eastAsia="微软雅黑"/>
          <w:sz w:val="22"/>
        </w:rPr>
        <w:t>轻量方案中央处理器评分95%分位为0.090毫秒，匈牙利求解95%分位为1.598毫秒。图网络中央处理器和图形处理器推理95%分位分别为1.754毫秒和0.784毫秒。两条路线均满足本轮100毫秒判据，正式选型差异来自关联质量，不是处理时间。</w:t>
      </w:r>
    </w:p>
    <w:p>
      <w:pPr>
        <w:jc w:val="center"/>
      </w:pPr>
      <w:r>
        <w:drawing>
          <wp:inline xmlns:a="http://schemas.openxmlformats.org/drawingml/2006/main" xmlns:pic="http://schemas.openxmlformats.org/drawingml/2006/picture">
            <wp:extent cx="5472000" cy="3026073"/>
            <wp:docPr id="8" name="Picture 8"/>
            <wp:cNvGraphicFramePr>
              <a:graphicFrameLocks noChangeAspect="1"/>
            </wp:cNvGraphicFramePr>
            <a:graphic>
              <a:graphicData uri="http://schemas.openxmlformats.org/drawingml/2006/picture">
                <pic:pic>
                  <pic:nvPicPr>
                    <pic:cNvPr id="0" name="02_aggregate_metrics.png"/>
                    <pic:cNvPicPr/>
                  </pic:nvPicPr>
                  <pic:blipFill>
                    <a:blip r:embed="rId16"/>
                    <a:stretch>
                      <a:fillRect/>
                    </a:stretch>
                  </pic:blipFill>
                  <pic:spPr>
                    <a:xfrm>
                      <a:off x="0" y="0"/>
                      <a:ext cx="5472000" cy="3026073"/>
                    </a:xfrm>
                    <a:prstGeom prst="rect"/>
                  </pic:spPr>
                </pic:pic>
              </a:graphicData>
            </a:graphic>
          </wp:inline>
        </w:drawing>
      </w:r>
    </w:p>
    <w:p>
      <w:pPr>
        <w:jc w:val="center"/>
      </w:pPr>
      <w:r>
        <w:rPr>
          <w:rFonts w:ascii="Arial" w:hAnsi="Arial" w:eastAsia="微软雅黑"/>
          <w:sz w:val="19"/>
        </w:rPr>
        <w:t>正式对比指标</w:t>
      </w:r>
    </w:p>
    <w:p>
      <w:pPr>
        <w:jc w:val="center"/>
      </w:pPr>
      <w:r>
        <w:drawing>
          <wp:inline xmlns:a="http://schemas.openxmlformats.org/drawingml/2006/main" xmlns:pic="http://schemas.openxmlformats.org/drawingml/2006/picture">
            <wp:extent cx="5472000" cy="3601529"/>
            <wp:docPr id="9" name="Picture 9"/>
            <wp:cNvGraphicFramePr>
              <a:graphicFrameLocks noChangeAspect="1"/>
            </wp:cNvGraphicFramePr>
            <a:graphic>
              <a:graphicData uri="http://schemas.openxmlformats.org/drawingml/2006/picture">
                <pic:pic>
                  <pic:nvPicPr>
                    <pic:cNvPr id="0" name="04_seed_paired_f1.png"/>
                    <pic:cNvPicPr/>
                  </pic:nvPicPr>
                  <pic:blipFill>
                    <a:blip r:embed="rId17"/>
                    <a:stretch>
                      <a:fillRect/>
                    </a:stretch>
                  </pic:blipFill>
                  <pic:spPr>
                    <a:xfrm>
                      <a:off x="0" y="0"/>
                      <a:ext cx="5472000" cy="3601529"/>
                    </a:xfrm>
                    <a:prstGeom prst="rect"/>
                  </pic:spPr>
                </pic:pic>
              </a:graphicData>
            </a:graphic>
          </wp:inline>
        </w:drawing>
      </w:r>
    </w:p>
    <w:p>
      <w:pPr>
        <w:jc w:val="center"/>
      </w:pPr>
      <w:r>
        <w:rPr>
          <w:rFonts w:ascii="Arial" w:hAnsi="Arial" w:eastAsia="微软雅黑"/>
          <w:sz w:val="19"/>
        </w:rPr>
        <w:t>逐种子配对结果</w:t>
      </w:r>
    </w:p>
    <w:p>
      <w:pPr>
        <w:spacing w:before="200" w:after="100"/>
      </w:pPr>
      <w:r>
        <w:rPr>
          <w:rFonts w:ascii="Arial" w:hAnsi="Arial" w:eastAsia="微软雅黑"/>
          <w:b/>
          <w:sz w:val="30"/>
        </w:rPr>
        <w:t>结果边界</w:t>
      </w:r>
    </w:p>
    <w:p>
      <w:pPr>
        <w:ind w:firstLine="420"/>
      </w:pPr>
      <w:r>
        <w:rPr>
          <w:rFonts w:ascii="Arial" w:hAnsi="Arial" w:eastAsia="微软雅黑"/>
          <w:sz w:val="22"/>
        </w:rPr>
        <w:t>正式对比包含20个独立AirSim随机种子。每个随机种子的轻、中、重三档输入来自同一原始记录，不能把60个样本解释为60个独立场景。漏检和虚警在保存后的本地轨迹样本层离线注入，用于保证两条算法路线输入一致；它们不是AirSim检测器或真实光电设备产生的误识别分布。</w:t>
      </w:r>
    </w:p>
    <w:p>
      <w:pPr>
        <w:ind w:firstLine="420"/>
      </w:pPr>
      <w:r>
        <w:rPr>
          <w:rFonts w:ascii="Arial" w:hAnsi="Arial" w:eastAsia="微软雅黑"/>
          <w:sz w:val="22"/>
        </w:rPr>
        <w:t>源码和数据文件审计未发现真实身份、Actor名称或真实三维位置进入图网络特征。候选边标签和结果评分使用离线真值。部分稳定轨迹纯度低于0.8，多数身份标签会把混合轨迹压缩成一个监督身份，仍可能产生标签噪声。</w:t>
      </w:r>
    </w:p>
    <w:p>
      <w:pPr>
        <w:ind w:firstLine="420"/>
      </w:pPr>
      <w:r>
        <w:rPr>
          <w:rFonts w:ascii="Arial" w:hAnsi="Arial" w:eastAsia="微软雅黑"/>
          <w:sz w:val="22"/>
        </w:rPr>
        <w:t>正式对比证明，早期图网络相对未标定几何代价的提升主要来自强几何证据和代价标定不足。非负几何权重重标定后，轻量方案的F1和错误关联均优于图网络选定方案。当前证据不支持把图网络消息传递解释为不可替代的收益。</w:t>
      </w:r>
    </w:p>
    <w:p>
      <w:pPr>
        <w:spacing w:before="200" w:after="100"/>
      </w:pPr>
      <w:r>
        <w:rPr>
          <w:rFonts w:ascii="Arial" w:hAnsi="Arial" w:eastAsia="微软雅黑"/>
          <w:b/>
          <w:sz w:val="30"/>
        </w:rPr>
        <w:t>后续工作</w:t>
      </w:r>
    </w:p>
    <w:p>
      <w:pPr>
        <w:ind w:firstLine="420"/>
      </w:pPr>
      <w:r>
        <w:rPr>
          <w:rFonts w:ascii="Arial" w:hAnsi="Arial" w:eastAsia="微软雅黑"/>
          <w:sz w:val="22"/>
        </w:rPr>
        <w:t>1. 保留非负几何权重重标定与匈牙利算法作为本独立试验的默认路线，图网络不并入D1至D7。</w:t>
      </w:r>
    </w:p>
    <w:p>
      <w:pPr>
        <w:ind w:firstLine="420"/>
      </w:pPr>
      <w:r>
        <w:rPr>
          <w:rFonts w:ascii="Arial" w:hAnsi="Arial" w:eastAsia="微软雅黑"/>
          <w:sz w:val="22"/>
        </w:rPr>
        <w:t>2. 接入真实检测器日志，按实测漏检、虚警和检测中心抖动分布重放；建立低纯度轨迹标签的剔除、降权或不确定标记规则。</w:t>
      </w:r>
    </w:p>
    <w:p>
      <w:pPr>
        <w:ind w:firstLine="420"/>
      </w:pPr>
      <w:r>
        <w:rPr>
          <w:rFonts w:ascii="Arial" w:hAnsi="Arial" w:eastAsia="微软雅黑"/>
          <w:sz w:val="22"/>
        </w:rPr>
        <w:t>3. 将episode结束后的批量关联改为因果增量处理，分别测量数据等待、候选更新、评分和匈牙利求解的周期时延。</w:t>
      </w:r>
    </w:p>
    <w:p>
      <w:pPr>
        <w:ind w:firstLine="420"/>
      </w:pPr>
      <w:r>
        <w:rPr>
          <w:rFonts w:ascii="Arial" w:hAnsi="Arial" w:eastAsia="微软雅黑"/>
          <w:sz w:val="22"/>
        </w:rPr>
        <w:t>4. 以后若继续研究图网络，应先改变目标密度、交叉强度、速度和扫描相位，再用冻结协议判断其相对轻量方案的独立收益。</w:t>
      </w:r>
    </w:p>
    <w:p>
      <w:pPr>
        <w:ind w:firstLine="420"/>
      </w:pPr>
      <w:r>
        <w:rPr>
          <w:rFonts w:ascii="Arial" w:hAnsi="Arial" w:eastAsia="微软雅黑"/>
          <w:sz w:val="22"/>
        </w:rPr>
        <w:t>5. 4公里场景暂不继续测试；恢复该支线前先单独解决扫描轨迹串号和重访连续性问题。</w:t>
      </w:r>
    </w:p>
    <w:p>
      <w:pPr>
        <w:spacing w:before="200" w:after="100"/>
      </w:pPr>
      <w:r>
        <w:rPr>
          <w:rFonts w:ascii="Arial" w:hAnsi="Arial" w:eastAsia="微软雅黑"/>
          <w:b/>
          <w:sz w:val="30"/>
        </w:rPr>
        <w:t>文件索引</w:t>
      </w:r>
    </w:p>
    <w:p>
      <w:pPr>
        <w:pStyle w:val="ListBullet"/>
      </w:pPr>
      <w:r>
        <w:rPr>
          <w:rFonts w:ascii="Arial" w:hAnsi="Arial" w:eastAsia="微软雅黑"/>
          <w:sz w:val="22"/>
        </w:rPr>
        <w:t>40目标报告：</w:t>
      </w:r>
      <w:r>
        <w:rPr>
          <w:rFonts w:ascii="Arial" w:hAnsi="Arial" w:eastAsia="微软雅黑"/>
          <w:sz w:val="22"/>
        </w:rPr>
        <w:t>dual_optical_40target/outputs/airsim_seed_20260811_epipolar_mht_run01/DUAL_OPTICAL_40TARGET_AIRSIM_REPORT_CN.md/.docx</w:t>
      </w:r>
    </w:p>
    <w:p>
      <w:pPr>
        <w:pStyle w:val="ListBullet"/>
      </w:pPr>
      <w:r>
        <w:rPr>
          <w:rFonts w:ascii="Arial" w:hAnsi="Arial" w:eastAsia="微软雅黑"/>
          <w:sz w:val="22"/>
        </w:rPr>
        <w:t>4公里指南报告：</w:t>
      </w:r>
      <w:r>
        <w:rPr>
          <w:rFonts w:ascii="Arial" w:hAnsi="Arial" w:eastAsia="微软雅黑"/>
          <w:sz w:val="22"/>
        </w:rPr>
        <w:t>dual_optical_100target_guide_case/outputs/airsim_seed_20260812_guide_run01/DUAL_OPTICAL_100TARGET_GUIDE_AIRSIM_REPORT_CN.md/.docx</w:t>
      </w:r>
    </w:p>
    <w:p>
      <w:pPr>
        <w:pStyle w:val="ListBullet"/>
      </w:pPr>
      <w:r>
        <w:rPr>
          <w:rFonts w:ascii="Arial" w:hAnsi="Arial" w:eastAsia="微软雅黑"/>
          <w:sz w:val="22"/>
        </w:rPr>
        <w:t>2公里100目标报告：</w:t>
      </w:r>
      <w:r>
        <w:rPr>
          <w:rFonts w:ascii="Arial" w:hAnsi="Arial" w:eastAsia="微软雅黑"/>
          <w:sz w:val="22"/>
        </w:rPr>
        <w:t>dual_optical_40target/outputs/airsim_seed_20260813_dense100_run01/DUAL_OPTICAL_100TARGET_AIRSIM_REPORT_CN.md/.docx</w:t>
      </w:r>
    </w:p>
    <w:p>
      <w:pPr>
        <w:pStyle w:val="ListBullet"/>
      </w:pPr>
      <w:r>
        <w:rPr>
          <w:rFonts w:ascii="Arial" w:hAnsi="Arial" w:eastAsia="微软雅黑"/>
          <w:sz w:val="22"/>
        </w:rPr>
        <w:t>图网络报告：</w:t>
      </w:r>
      <w:r>
        <w:rPr>
          <w:rFonts w:ascii="Arial" w:hAnsi="Arial" w:eastAsia="微软雅黑"/>
          <w:sz w:val="22"/>
        </w:rPr>
        <w:t>dual_optical_100target_gnn/outputs/formal_airsim_20260820_20260831_run01/evaluation/DUAL_OPTICAL_100TARGET_GNN_REPORT_CN.md/.docx</w:t>
      </w:r>
    </w:p>
    <w:p>
      <w:pPr>
        <w:pStyle w:val="ListBullet"/>
      </w:pPr>
      <w:r>
        <w:rPr>
          <w:rFonts w:ascii="Arial" w:hAnsi="Arial" w:eastAsia="微软雅黑"/>
          <w:sz w:val="22"/>
        </w:rPr>
        <w:t>12-seed清单：</w:t>
      </w:r>
      <w:r>
        <w:rPr>
          <w:rFonts w:ascii="Arial" w:hAnsi="Arial" w:eastAsia="微软雅黑"/>
          <w:sz w:val="22"/>
        </w:rPr>
        <w:t>dual_optical_100target_gnn/outputs/raw_airsim/batch_summary.json</w:t>
      </w:r>
    </w:p>
    <w:p>
      <w:pPr>
        <w:pStyle w:val="ListBullet"/>
      </w:pPr>
      <w:r>
        <w:rPr>
          <w:rFonts w:ascii="Arial" w:hAnsi="Arial" w:eastAsia="微软雅黑"/>
          <w:sz w:val="22"/>
        </w:rPr>
        <w:t>数据和模型清单：</w:t>
      </w:r>
      <w:r>
        <w:rPr>
          <w:rFonts w:ascii="Arial" w:hAnsi="Arial" w:eastAsia="微软雅黑"/>
          <w:sz w:val="22"/>
        </w:rPr>
        <w:t>dual_optical_100target_gnn/outputs/formal_airsim_20260820_20260831_run01/dataset/dataset_manifest.json</w:t>
      </w:r>
      <w:r>
        <w:rPr>
          <w:rFonts w:ascii="Arial" w:hAnsi="Arial" w:eastAsia="微软雅黑"/>
          <w:sz w:val="22"/>
        </w:rPr>
        <w:t>、</w:t>
      </w:r>
      <w:r>
        <w:rPr>
          <w:rFonts w:ascii="Arial" w:hAnsi="Arial" w:eastAsia="微软雅黑"/>
          <w:sz w:val="22"/>
        </w:rPr>
        <w:t>model/freeze_manifest.json</w:t>
      </w:r>
    </w:p>
    <w:p>
      <w:pPr>
        <w:pStyle w:val="ListBullet"/>
      </w:pPr>
      <w:r>
        <w:rPr>
          <w:rFonts w:ascii="Arial" w:hAnsi="Arial" w:eastAsia="微软雅黑"/>
          <w:sz w:val="22"/>
        </w:rPr>
        <w:t>正式轻量报告：</w:t>
      </w:r>
      <w:r>
        <w:rPr>
          <w:rFonts w:ascii="Arial" w:hAnsi="Arial" w:eastAsia="微软雅黑"/>
          <w:sz w:val="22"/>
        </w:rPr>
        <w:t>dual_optical_100target_lightweight/docs/DUAL_OPTICAL_100TARGET_LIGHTWEIGHT_REPORT_CN.md/.docx</w:t>
      </w:r>
    </w:p>
    <w:p>
      <w:pPr>
        <w:pStyle w:val="ListBullet"/>
      </w:pPr>
      <w:r>
        <w:rPr>
          <w:rFonts w:ascii="Arial" w:hAnsi="Arial" w:eastAsia="微软雅黑"/>
          <w:sz w:val="22"/>
        </w:rPr>
        <w:t>正式图网络报告：</w:t>
      </w:r>
      <w:r>
        <w:rPr>
          <w:rFonts w:ascii="Arial" w:hAnsi="Arial" w:eastAsia="微软雅黑"/>
          <w:sz w:val="22"/>
        </w:rPr>
        <w:t>dual_optical_100target_gnn/docs/DUAL_OPTICAL_100TARGET_GNN_REPORT_CN.md/.docx</w:t>
      </w:r>
    </w:p>
    <w:p>
      <w:pPr>
        <w:pStyle w:val="ListBullet"/>
      </w:pPr>
      <w:r>
        <w:rPr>
          <w:rFonts w:ascii="Arial" w:hAnsi="Arial" w:eastAsia="微软雅黑"/>
          <w:sz w:val="22"/>
        </w:rPr>
        <w:t>20种子正式对比：</w:t>
      </w:r>
      <w:r>
        <w:rPr>
          <w:rFonts w:ascii="Arial" w:hAnsi="Arial" w:eastAsia="微软雅黑"/>
          <w:sz w:val="22"/>
        </w:rPr>
        <w:t>DUAL_OPTICAL_100TARGET_LIGHTWEIGHT_GNN_COMPARISON_CN.md/.docx</w:t>
      </w:r>
    </w:p>
    <w:p>
      <w:pPr>
        <w:pStyle w:val="ListBullet"/>
      </w:pPr>
      <w:r>
        <w:rPr>
          <w:rFonts w:ascii="Arial" w:hAnsi="Arial" w:eastAsia="微软雅黑"/>
          <w:sz w:val="22"/>
        </w:rPr>
        <w:t>20种子AirSim清单：</w:t>
      </w:r>
      <w:r>
        <w:rPr>
          <w:rFonts w:ascii="Arial" w:hAnsi="Arial" w:eastAsia="微软雅黑"/>
          <w:sz w:val="22"/>
        </w:rPr>
        <w:t>dual_optical_100target_gnn/outputs/raw_airsim_expanded_20260901_20260920/batch_summary.json</w:t>
      </w:r>
    </w:p>
    <w:sectPr w:rsidR="00FC693F" w:rsidRPr="0006063C" w:rsidSect="00034616">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Arial" w:hAnsi="Arial"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双站光电40至100目标轨迹关联试验汇总</dc:title>
  <dc:subject>独立AirSim算法验证</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