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 w:eastAsia="微软雅黑"/>
          <w:b/>
          <w:sz w:val="40"/>
        </w:rPr>
        <w:t>双站光电100目标轻量关联试验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结论</w:t>
      </w:r>
    </w:p>
    <w:p>
      <w:pPr>
        <w:ind w:firstLine="420"/>
      </w:pPr>
      <w:r>
        <w:rPr>
          <w:rFonts w:ascii="Arial" w:hAnsi="Arial" w:eastAsia="微软雅黑"/>
          <w:sz w:val="22"/>
        </w:rPr>
        <w:t>轻量路线已经接入双站连续周扫在线协议V2，完成9回合预检、30个校准随机种子和20个保留测试随机种子。路线可以在不使用真实目标编号、AirSim对象名称和真实三维位置的条件下形成非零匹配，冻结隔离和三路线同源输入校验均通过。</w:t>
      </w:r>
    </w:p>
    <w:p>
      <w:pPr>
        <w:ind w:firstLine="420"/>
      </w:pPr>
      <w:r>
        <w:rPr>
          <w:rFonts w:ascii="Arial" w:hAnsi="Arial" w:eastAsia="微软雅黑"/>
          <w:sz w:val="22"/>
        </w:rPr>
        <w:t>保留测试没有收敛。逐圈宏平均F1为0.011777，宏平均精确率为0.023362，宏平均召回率为0.007944，错误关系765个。1000毫秒时限满足率为0.5944，端到端时延95%分位数为2183.95毫秒。该路线目前适合作为在线问题诊断基线，不能作为有效配准方案进入系统主线。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联合冻结中的 </w:t>
      </w:r>
      <w:r>
        <w:rPr>
          <w:rFonts w:ascii="Arial" w:hAnsi="Arial" w:eastAsia="微软雅黑"/>
          <w:sz w:val="22"/>
        </w:rPr>
        <w:t>accepted=true</w:t>
      </w:r>
      <w:r>
        <w:rPr>
          <w:rFonts w:ascii="Arial" w:hAnsi="Arial" w:eastAsia="微软雅黑"/>
          <w:sz w:val="22"/>
        </w:rPr>
        <w:t xml:space="preserve"> 只表示验证集存在非零正确匹配。验证集发布2044个关系，其中正确780个、错误1264个，宏平均F1为0.156884。冻结通过不代表算法达到精度、召回率或实时性要求。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项目</w:t>
            </w:r>
          </w:p>
        </w:tc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配置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光电站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2个，横向基线2千米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目标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100个3米Actor，速度50米/秒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航向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50个0度，50个负30度，空间混排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扫描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同方向连续360度周扫，2秒一圈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时长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12秒，6圈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逻辑采样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100赫兹，AirSim时钟倍率0.1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云台误差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固定偏差均方根0.4毫弧度，逐帧抖动均方根0.3毫弧度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干扰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轻、中、重三档漏检和虚警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校准划分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24个训练随机种子、6个验证随机种子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保留测试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20个未见随机种子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在线时限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每圈端到端不超过1000毫秒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 xml:space="preserve">AirSim </w:t>
      </w:r>
      <w:r>
        <w:rPr>
          <w:rFonts w:ascii="Arial" w:hAnsi="Arial" w:eastAsia="微软雅黑"/>
          <w:sz w:val="22"/>
        </w:rPr>
        <w:t>simGetDetections</w:t>
      </w:r>
      <w:r>
        <w:rPr>
          <w:rFonts w:ascii="Arial" w:hAnsi="Arial" w:eastAsia="微软雅黑"/>
          <w:sz w:val="22"/>
        </w:rPr>
        <w:t xml:space="preserve"> 提供目标框，协议再注入漏检和虚警。离线真实身份只用于预检诊断、训练标签、验证选择和当圈发布后的测试评分。它不进入在线快照和候选特征。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算法</w:t>
      </w:r>
    </w:p>
    <w:p>
      <w:pPr>
        <w:spacing w:before="200" w:after="100"/>
      </w:pPr>
      <w:r>
        <w:rPr>
          <w:rFonts w:ascii="Arial" w:hAnsi="Arial" w:eastAsia="微软雅黑"/>
          <w:b/>
          <w:sz w:val="24"/>
        </w:rPr>
        <w:t>V2输入</w:t>
      </w:r>
    </w:p>
    <w:p>
      <w:pPr>
        <w:ind w:firstLine="420"/>
      </w:pPr>
      <w:r>
        <w:rPr>
          <w:rFonts w:ascii="Arial" w:hAnsi="Arial" w:eastAsia="微软雅黑"/>
          <w:sz w:val="22"/>
        </w:rPr>
        <w:t>main在每圈结束时冻结两站匿名航迹。每条观测保留时间、单位视线、测量协方差、状态向量、状态协方差和新息马氏距离；每条航迹保留确认或滑行状态、近期命中和漏扫次数。快照同时记录协议指纹、共享跟踪器指纹和输入指纹。轻量路线在计算前核对这些字段，防止使用外来跟踪器、被修改的快照或保留测试之外的随机种子。</w:t>
      </w:r>
    </w:p>
    <w:p>
      <w:pPr>
        <w:spacing w:before="200" w:after="100"/>
      </w:pPr>
      <w:r>
        <w:rPr>
          <w:rFonts w:ascii="Arial" w:hAnsi="Arial" w:eastAsia="微软雅黑"/>
          <w:b/>
          <w:sz w:val="24"/>
        </w:rPr>
        <w:t>候选门控</w:t>
      </w:r>
    </w:p>
    <w:p>
      <w:pPr>
        <w:ind w:firstLine="420"/>
      </w:pPr>
      <w:r>
        <w:rPr>
          <w:rFonts w:ascii="Arial" w:hAnsi="Arial" w:eastAsia="微软雅黑"/>
          <w:sz w:val="22"/>
        </w:rPr>
        <w:t>两站每条稳定航迹构成一个潜在组合。算法先用共面残差、时间重叠、重投影误差、交会角和条件数排除明显不可能的组合。这一步只保留几何上可能对应同一目标的候选边，仍允许目标保持未匹配。</w:t>
      </w:r>
    </w:p>
    <w:p>
      <w:pPr>
        <w:ind w:firstLine="420"/>
      </w:pPr>
      <w:r>
        <w:rPr>
          <w:rFonts w:ascii="Arial" w:hAnsi="Arial" w:eastAsia="微软雅黑"/>
          <w:sz w:val="22"/>
        </w:rPr>
        <w:t>V2候选边包含18维特征。前14项描述多时刻共面误差、时间重叠、重投影误差、拟合速度、交会条件和角速度差；后4项利用协方差和近期命中，对运动残差、共面残差、合成视线不确定度及航迹连续性进行归一化。真实身份和真实位置不参与这些特征。</w:t>
      </w:r>
    </w:p>
    <w:p>
      <w:pPr>
        <w:spacing w:before="200" w:after="100"/>
      </w:pPr>
      <w:r>
        <w:rPr>
          <w:rFonts w:ascii="Arial" w:hAnsi="Arial" w:eastAsia="微软雅黑"/>
          <w:b/>
          <w:sz w:val="24"/>
        </w:rPr>
        <w:t>轻量评分</w:t>
      </w:r>
    </w:p>
    <w:p>
      <w:pPr>
        <w:ind w:firstLine="420"/>
      </w:pPr>
      <w:r>
        <w:rPr>
          <w:rFonts w:ascii="Arial" w:hAnsi="Arial" w:eastAsia="微软雅黑"/>
          <w:sz w:val="22"/>
        </w:rPr>
        <w:t>校准阶段比较四类模型：非负几何权重、Platt概率标定、单调概率标定和带二范数约束的逻辑回归。所有参数只在24个训练随机种子上拟合。6个验证随机种子同时选择模型、概率门限和未匹配代价。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V2最终选择 </w:t>
      </w:r>
      <w:r>
        <w:rPr>
          <w:rFonts w:ascii="Arial" w:hAnsi="Arial" w:eastAsia="微软雅黑"/>
          <w:sz w:val="22"/>
        </w:rPr>
        <w:t>logistic_edge_features_C0.1</w:t>
      </w:r>
      <w:r>
        <w:rPr>
          <w:rFonts w:ascii="Arial" w:hAnsi="Arial" w:eastAsia="微软雅黑"/>
          <w:sz w:val="22"/>
        </w:rPr>
        <w:t>。概率门限为0.4，未匹配代价为0.9。低于门限或保留代价不优于未匹配的候选不会进入最终分配。</w:t>
      </w:r>
    </w:p>
    <w:p>
      <w:pPr>
        <w:spacing w:before="200" w:after="100"/>
      </w:pPr>
      <w:r>
        <w:rPr>
          <w:rFonts w:ascii="Arial" w:hAnsi="Arial" w:eastAsia="微软雅黑"/>
          <w:b/>
          <w:sz w:val="24"/>
        </w:rPr>
        <w:t>全局分配与确认</w:t>
      </w:r>
    </w:p>
    <w:p>
      <w:pPr>
        <w:ind w:firstLine="420"/>
      </w:pPr>
      <w:r>
        <w:rPr>
          <w:rFonts w:ascii="Arial" w:hAnsi="Arial" w:eastAsia="微软雅黑"/>
          <w:sz w:val="22"/>
        </w:rPr>
        <w:t>匈牙利算法在当前候选图上寻找总代价最低的一对一组合，避免一条A站航迹同时匹配多条B站航迹。输出关系还需经过时间确认：同一航迹对在连续3圈内至少出现2次，才标为确认关系。超过1000毫秒的结果按失败关闭，不在评分阶段事后补回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预检</w:t>
      </w:r>
    </w:p>
    <w:p>
      <w:pPr>
        <w:ind w:firstLine="420"/>
      </w:pPr>
      <w:r>
        <w:rPr>
          <w:rFonts w:ascii="Arial" w:hAnsi="Arial" w:eastAsia="微软雅黑"/>
          <w:sz w:val="22"/>
        </w:rPr>
        <w:t>预检使用3个随机种子，对理想、仅姿态误差和完整干扰各运行一次，共9回合。默认10米运动残差门和3个全局假设时，完整干扰场景中位航迹纯度为0.8452，低于0.85门槛。离线候选比较随后选中3米运动残差门和单一全局假设，没有降低既定门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场景</w:t>
            </w:r>
          </w:p>
        </w:tc>
        <w:tc>
          <w:tcPr>
            <w:tcW w:type="dxa" w:w="1882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回合数</w:t>
            </w:r>
          </w:p>
        </w:tc>
        <w:tc>
          <w:tcPr>
            <w:tcW w:type="dxa" w:w="1882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平均共同确认率</w:t>
            </w:r>
          </w:p>
        </w:tc>
        <w:tc>
          <w:tcPr>
            <w:tcW w:type="dxa" w:w="1882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中位航迹纯度</w:t>
            </w:r>
          </w:p>
        </w:tc>
        <w:tc>
          <w:tcPr>
            <w:tcW w:type="dxa" w:w="1882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判定</w:t>
            </w:r>
          </w:p>
        </w:tc>
      </w:tr>
      <w:tr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理想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0.7767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1.0000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姿态误差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0.7433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0.9167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完整干扰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0.6833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0.8889</w:t>
            </w:r>
          </w:p>
        </w:tc>
        <w:tc>
          <w:tcPr>
            <w:tcW w:type="dxa" w:w="1882"/>
          </w:tcPr>
          <w:p>
            <w:r>
              <w:rPr>
                <w:rFonts w:ascii="Arial" w:hAnsi="Arial" w:eastAsia="微软雅黑"/>
                <w:sz w:val="19"/>
              </w:rPr>
              <w:t>通过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预检只检查共享局部跟踪器能否形成足够纯净、足够共同可见的匿名航迹，不评价轻量跨站关联模型。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预检按设计只承担小样本早期止损和结构可行性检查，不冻结正式跟踪器配置。9回合预检选中3米运动初始化残差门和单一全局假设，指纹为 </w:t>
      </w:r>
      <w:r>
        <w:rPr>
          <w:rFonts w:ascii="Arial" w:hAnsi="Arial" w:eastAsia="微软雅黑"/>
          <w:sz w:val="22"/>
        </w:rPr>
        <w:t>0b3838...bc9</w:t>
      </w:r>
      <w:r>
        <w:rPr>
          <w:rFonts w:ascii="Arial" w:hAnsi="Arial" w:eastAsia="微软雅黑"/>
          <w:sz w:val="22"/>
        </w:rPr>
        <w:t xml:space="preserve">。正式标定扩大到30个随机种子，并在13个候选配置中独立选择最终配置；只有10米运动初始化残差门和3个全局假设的旧默认候选通过全部正式门槛，最终指纹为 </w:t>
      </w:r>
      <w:r>
        <w:rPr>
          <w:rFonts w:ascii="Arial" w:hAnsi="Arial" w:eastAsia="微软雅黑"/>
          <w:sz w:val="22"/>
        </w:rPr>
        <w:t>867bdf...95d</w:t>
      </w:r>
      <w:r>
        <w:rPr>
          <w:rFonts w:ascii="Arial" w:hAnsi="Arial" w:eastAsia="微软雅黑"/>
          <w:sz w:val="22"/>
        </w:rPr>
        <w:t xml:space="preserve">。两阶段指纹不同符合既定流程，不是合同断链。正式校准、保留测试和三条路线快照均使用 </w:t>
      </w:r>
      <w:r>
        <w:rPr>
          <w:rFonts w:ascii="Arial" w:hAnsi="Arial" w:eastAsia="微软雅黑"/>
          <w:sz w:val="22"/>
        </w:rPr>
        <w:t>867bdf...95d</w:t>
      </w:r>
      <w:r>
        <w:rPr>
          <w:rFonts w:ascii="Arial" w:hAnsi="Arial" w:eastAsia="微软雅黑"/>
          <w:sz w:val="22"/>
        </w:rPr>
        <w:t>，内部一致。小样本预检可以提前拦住明显不可行方案，不能代替正式多随机种子标定。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校准与冻结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训练使用随机种子 </w:t>
      </w:r>
      <w:r>
        <w:rPr>
          <w:rFonts w:ascii="Arial" w:hAnsi="Arial" w:eastAsia="微软雅黑"/>
          <w:sz w:val="22"/>
        </w:rPr>
        <w:t>20270101</w:t>
      </w:r>
      <w:r>
        <w:rPr>
          <w:rFonts w:ascii="Arial" w:hAnsi="Arial" w:eastAsia="微软雅黑"/>
          <w:sz w:val="22"/>
        </w:rPr>
        <w:t xml:space="preserve"> 至 </w:t>
      </w:r>
      <w:r>
        <w:rPr>
          <w:rFonts w:ascii="Arial" w:hAnsi="Arial" w:eastAsia="微软雅黑"/>
          <w:sz w:val="22"/>
        </w:rPr>
        <w:t>20270124</w:t>
      </w:r>
      <w:r>
        <w:rPr>
          <w:rFonts w:ascii="Arial" w:hAnsi="Arial" w:eastAsia="微软雅黑"/>
          <w:sz w:val="22"/>
        </w:rPr>
        <w:t xml:space="preserve">，验证使用 </w:t>
      </w:r>
      <w:r>
        <w:rPr>
          <w:rFonts w:ascii="Arial" w:hAnsi="Arial" w:eastAsia="微软雅黑"/>
          <w:sz w:val="22"/>
        </w:rPr>
        <w:t>20270125</w:t>
      </w:r>
      <w:r>
        <w:rPr>
          <w:rFonts w:ascii="Arial" w:hAnsi="Arial" w:eastAsia="微软雅黑"/>
          <w:sz w:val="22"/>
        </w:rPr>
        <w:t xml:space="preserve"> 至 </w:t>
      </w:r>
      <w:r>
        <w:rPr>
          <w:rFonts w:ascii="Arial" w:hAnsi="Arial" w:eastAsia="微软雅黑"/>
          <w:sz w:val="22"/>
        </w:rPr>
        <w:t>20270130</w:t>
      </w:r>
      <w:r>
        <w:rPr>
          <w:rFonts w:ascii="Arial" w:hAnsi="Arial" w:eastAsia="微软雅黑"/>
          <w:sz w:val="22"/>
        </w:rPr>
        <w:t>。每个随机种子包含3档干扰和6圈，共432份训练快照和108份验证快照。冻结文件写出前没有打开保留测试数据。</w:t>
      </w:r>
    </w:p>
    <w:p>
      <w:pPr>
        <w:ind w:firstLine="420"/>
      </w:pPr>
      <w:r>
        <w:rPr>
          <w:rFonts w:ascii="Arial" w:hAnsi="Arial" w:eastAsia="微软雅黑"/>
          <w:sz w:val="22"/>
        </w:rPr>
        <w:t>验证集选择结果如下：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指标</w:t>
            </w:r>
          </w:p>
        </w:tc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数值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选定模型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逻辑回归，约束强度0.1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概率门限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未匹配代价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0.9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发布关系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2044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正确关系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780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错误关系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1264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宏平均精确率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0.188149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宏平均召回率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0.137554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宏平均F1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0.156884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联合冻结要求三条路线都具有非零验证F1、非零正确关系和非零发布关系。轻量路线满足这一最低保护条件，因此进入保留测试。验证集中错误关系已经多于正确关系，冻结结果只应解释为“具备非零验证能力”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保留测试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保留测试使用随机种子 </w:t>
      </w:r>
      <w:r>
        <w:rPr>
          <w:rFonts w:ascii="Arial" w:hAnsi="Arial" w:eastAsia="微软雅黑"/>
          <w:sz w:val="22"/>
        </w:rPr>
        <w:t>20270201</w:t>
      </w:r>
      <w:r>
        <w:rPr>
          <w:rFonts w:ascii="Arial" w:hAnsi="Arial" w:eastAsia="微软雅黑"/>
          <w:sz w:val="22"/>
        </w:rPr>
        <w:t xml:space="preserve"> 至 </w:t>
      </w:r>
      <w:r>
        <w:rPr>
          <w:rFonts w:ascii="Arial" w:hAnsi="Arial" w:eastAsia="微软雅黑"/>
          <w:sz w:val="22"/>
        </w:rPr>
        <w:t>20270220</w:t>
      </w:r>
      <w:r>
        <w:rPr>
          <w:rFonts w:ascii="Arial" w:hAnsi="Arial" w:eastAsia="微软雅黑"/>
          <w:sz w:val="22"/>
        </w:rPr>
        <w:t>，每个随机种子包含3档干扰和6圈，共360次在线发布。三条路线逐圈输入指纹一致，在线真实身份使用标记为否。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指标</w:t>
            </w:r>
          </w:p>
        </w:tc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数值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宏平均精确率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0.023362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宏平均召回率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0.007944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宏平均F1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0.011777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发布关系总数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1051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正确关系总数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286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错误关系总数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765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重复身份数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可用计算次数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34/360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空候选图次数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180/360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超时次数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146/360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时限满足率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0.5944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端到端时延中位数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298.51毫秒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端到端时延95%分位数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2183.95毫秒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宏平均精确率按全部逐圈样本计算。空候选图和超时圈按零分计入，因此它不同于将286个正确关系除以1051个发布关系得到的总体关系比例。宏平均指标反映连续周扫过程中每一圈都要形成及时、正确结果的要求。</w:t>
      </w:r>
    </w:p>
    <w:p>
      <w:pPr>
        <w:ind w:firstLine="420"/>
      </w:pPr>
      <w:r>
        <w:rPr>
          <w:rFonts w:ascii="Arial" w:hAnsi="Arial" w:eastAsia="微软雅黑"/>
          <w:sz w:val="22"/>
        </w:rPr>
        <w:t>前3圈受至少4圈稳定航迹门限影响，180份样本全部为空。后3圈候选图规模迅速增大，146份样本超过1000毫秒。剩余34份可用计算发布了1051个关系，但其中765个为错配。测试损失同时来自成轨等待、候选规模、计算超时和轻量评分判别不足，不能只调整概率门限处理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历史结果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旧 </w:t>
      </w:r>
      <w:r>
        <w:rPr>
          <w:rFonts w:ascii="Arial" w:hAnsi="Arial" w:eastAsia="微软雅黑"/>
          <w:sz w:val="22"/>
        </w:rPr>
        <w:t>formal_24_6_20</w:t>
      </w:r>
      <w:r>
        <w:rPr>
          <w:rFonts w:ascii="Arial" w:hAnsi="Arial" w:eastAsia="微软雅黑"/>
          <w:sz w:val="22"/>
        </w:rPr>
        <w:t xml:space="preserve"> 使用V1快照和旧共享跟踪器协议。该轮轻量路线在20个保留测试随机种子上零匹配，原因是验证正候选不足、冻结的0.7概率门限拒绝全部候选。旧结果记录在 </w:t>
      </w:r>
      <w:r>
        <w:rPr>
          <w:rFonts w:ascii="Arial" w:hAnsi="Arial" w:eastAsia="微软雅黑"/>
          <w:sz w:val="22"/>
        </w:rPr>
        <w:t>DUAL_OPTICAL_100TARGET_LIGHTWEIGHT_FORMAL_24_6_20_FAILURE_ANALYSIS_CN.md</w:t>
      </w:r>
      <w:r>
        <w:rPr>
          <w:rFonts w:ascii="Arial" w:hAnsi="Arial" w:eastAsia="微软雅黑"/>
          <w:sz w:val="22"/>
        </w:rPr>
        <w:t>。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当前 </w:t>
      </w:r>
      <w:r>
        <w:rPr>
          <w:rFonts w:ascii="Arial" w:hAnsi="Arial" w:eastAsia="微软雅黑"/>
          <w:sz w:val="22"/>
        </w:rPr>
        <w:t>formal_v2_24_6_20</w:t>
      </w:r>
      <w:r>
        <w:rPr>
          <w:rFonts w:ascii="Arial" w:hAnsi="Arial" w:eastAsia="微软雅黑"/>
          <w:sz w:val="22"/>
        </w:rPr>
        <w:t xml:space="preserve"> 增加协方差特征、共享跟踪器冻结、非退化冻结保护和三圈两次确认，已经消除零输出，但没有解决低精度、低召回和超时问题。</w:t>
      </w:r>
    </w:p>
    <w:p>
      <w:pPr>
        <w:ind w:firstLine="420"/>
      </w:pPr>
      <w:r>
        <w:rPr>
          <w:rFonts w:ascii="Arial" w:hAnsi="Arial" w:eastAsia="微软雅黑"/>
          <w:sz w:val="22"/>
        </w:rPr>
        <w:t xml:space="preserve">更早的 </w:t>
      </w:r>
      <w:r>
        <w:rPr>
          <w:rFonts w:ascii="Arial" w:hAnsi="Arial" w:eastAsia="微软雅黑"/>
          <w:sz w:val="22"/>
        </w:rPr>
        <w:t>formal_expanded_20260820_20260920_run01</w:t>
      </w:r>
      <w:r>
        <w:rPr>
          <w:rFonts w:ascii="Arial" w:hAnsi="Arial" w:eastAsia="微软雅黑"/>
          <w:sz w:val="22"/>
        </w:rPr>
        <w:t xml:space="preserve"> 是保存后候选图的离线模型对照。该轮高分没有覆盖连续周扫成轨、逐圈因果发布和1000毫秒端到端时限，不能与本轮在线结果直接比较。原8张结果图属于该历史试验，本报告不引用其性能数据。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后续工作</w:t>
      </w:r>
    </w:p>
    <w:p>
      <w:pPr>
        <w:ind w:firstLine="420"/>
      </w:pPr>
      <w:r>
        <w:rPr>
          <w:rFonts w:ascii="Arial" w:hAnsi="Arial" w:eastAsia="微软雅黑"/>
          <w:sz w:val="22"/>
        </w:rPr>
        <w:t>后续重复实验应继续区分预检和正式标定。预检只负责早期止损，正式阶段仍需使用多随机种子在候选配置中独立选参。正式配置选定后，校准、测试和三条路线必须绑定同一最终指纹；不要求预检指纹与正式指纹相同。</w:t>
      </w:r>
    </w:p>
    <w:p>
      <w:pPr>
        <w:ind w:firstLine="420"/>
      </w:pPr>
      <w:r>
        <w:rPr>
          <w:rFonts w:ascii="Arial" w:hAnsi="Arial" w:eastAsia="微软雅黑"/>
          <w:sz w:val="22"/>
        </w:rPr>
        <w:t>第二步应按圈记录稳定航迹、共同可关联目标、硬门控候选、轻量评分保留边和匈牙利发布关系，分离成轨损失、候选门控损失和评分损失。计算侧需要拆分候选图构建、评分和匈牙利求解时延，先把95%分位时延降到1000毫秒以内。</w:t>
      </w:r>
    </w:p>
    <w:p>
      <w:pPr>
        <w:ind w:firstLine="420"/>
      </w:pPr>
      <w:r>
        <w:rPr>
          <w:rFonts w:ascii="Arial" w:hAnsi="Arial" w:eastAsia="微软雅黑"/>
          <w:sz w:val="22"/>
        </w:rPr>
        <w:t>第三步在新的训练集加入密集平行航迹、交叉航迹和持续虚警构成的困难负样本。验证冻结条件应同时限制宏平均精确率、召回率、错误关系和时限满足率，不能继续只以非零F1放行。新的保留测试随机种子必须在模型和门限冻结后才可打开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证据</w:t>
      </w:r>
    </w:p>
    <w:p>
      <w:pPr>
        <w:pStyle w:val="ListBullet"/>
      </w:pPr>
      <w:r>
        <w:rPr>
          <w:rFonts w:ascii="Arial" w:hAnsi="Arial" w:eastAsia="微软雅黑"/>
          <w:sz w:val="22"/>
        </w:rPr>
        <w:t>当前协议目录：</w:t>
      </w:r>
      <w:r>
        <w:rPr>
          <w:rFonts w:ascii="Arial" w:hAnsi="Arial" w:eastAsia="微软雅黑"/>
          <w:sz w:val="22"/>
        </w:rPr>
        <w:t>formal_v2_24_6_20</w:t>
      </w:r>
    </w:p>
    <w:p>
      <w:pPr>
        <w:pStyle w:val="ListBullet"/>
      </w:pPr>
      <w:r>
        <w:rPr>
          <w:rFonts w:ascii="Arial" w:hAnsi="Arial" w:eastAsia="微软雅黑"/>
          <w:sz w:val="22"/>
        </w:rPr>
        <w:t>联合冻结：</w:t>
      </w:r>
      <w:r>
        <w:rPr>
          <w:rFonts w:ascii="Arial" w:hAnsi="Arial" w:eastAsia="微软雅黑"/>
          <w:sz w:val="22"/>
        </w:rPr>
        <w:t>dataset/freezes/all_routes_frozen.json</w:t>
      </w:r>
    </w:p>
    <w:p>
      <w:pPr>
        <w:pStyle w:val="ListBullet"/>
      </w:pPr>
      <w:r>
        <w:rPr>
          <w:rFonts w:ascii="Arial" w:hAnsi="Arial" w:eastAsia="微软雅黑"/>
          <w:sz w:val="22"/>
        </w:rPr>
        <w:t>轻量冻结：</w:t>
      </w:r>
      <w:r>
        <w:rPr>
          <w:rFonts w:ascii="Arial" w:hAnsi="Arial" w:eastAsia="微软雅黑"/>
          <w:sz w:val="22"/>
        </w:rPr>
        <w:t>dataset/freezes/lightweight/</w:t>
      </w:r>
    </w:p>
    <w:p>
      <w:pPr>
        <w:pStyle w:val="ListBullet"/>
      </w:pPr>
      <w:r>
        <w:rPr>
          <w:rFonts w:ascii="Arial" w:hAnsi="Arial" w:eastAsia="微软雅黑"/>
          <w:sz w:val="22"/>
        </w:rPr>
        <w:t>预检摘要：</w:t>
      </w:r>
      <w:r>
        <w:rPr>
          <w:rFonts w:ascii="Arial" w:hAnsi="Arial" w:eastAsia="微软雅黑"/>
          <w:sz w:val="22"/>
        </w:rPr>
        <w:t>preflight/preflight_summary.json</w:t>
      </w:r>
    </w:p>
    <w:p>
      <w:pPr>
        <w:pStyle w:val="ListBullet"/>
      </w:pPr>
      <w:r>
        <w:rPr>
          <w:rFonts w:ascii="Arial" w:hAnsi="Arial" w:eastAsia="微软雅黑"/>
          <w:sz w:val="22"/>
        </w:rPr>
        <w:t>最终指标：</w:t>
      </w:r>
      <w:r>
        <w:rPr>
          <w:rFonts w:ascii="Arial" w:hAnsi="Arial" w:eastAsia="微软雅黑"/>
          <w:sz w:val="22"/>
        </w:rPr>
        <w:t>results/comparison_metrics.json</w:t>
      </w:r>
    </w:p>
    <w:p>
      <w:pPr>
        <w:pStyle w:val="ListBullet"/>
      </w:pPr>
      <w:r>
        <w:rPr>
          <w:rFonts w:ascii="Arial" w:hAnsi="Arial" w:eastAsia="微软雅黑"/>
          <w:sz w:val="22"/>
        </w:rPr>
        <w:t>统一报告：</w:t>
      </w:r>
      <w:r>
        <w:rPr>
          <w:rFonts w:ascii="Arial" w:hAnsi="Arial" w:eastAsia="微软雅黑"/>
          <w:sz w:val="22"/>
        </w:rPr>
        <w:t>results/DUAL_OPTICAL_100TARGET_ONLINE_COMPARISON_REPORT_CN.md</w:t>
      </w:r>
    </w:p>
    <w:p>
      <w:pPr>
        <w:ind w:firstLine="420"/>
      </w:pPr>
      <w:r>
        <w:rPr>
          <w:rFonts w:ascii="Arial" w:hAnsi="Arial" w:eastAsia="微软雅黑"/>
          <w:sz w:val="22"/>
        </w:rPr>
        <w:t>证据状态：V2在线流程已完成并形成非零输出；冻结仅通过非退化保护；保留测试性能和时延未收敛。</w:t>
      </w:r>
    </w:p>
    <w:sectPr w:rsidR="00FC693F" w:rsidRPr="0006063C" w:rsidSect="00034616"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双站光电100目标轻量关联试验</dc:title>
  <dc:subject>独立AirSim算法验证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