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eastAsia="黑体"/>
          <w:b/>
          <w:color w:val="202833"/>
          <w:sz w:val="52"/>
        </w:rPr>
        <w:t>双光电多目标轨迹配准与交汇定位</w:t>
      </w:r>
    </w:p>
    <w:p>
      <w:pPr>
        <w:jc w:val="center"/>
      </w:pPr>
      <w:r>
        <w:rPr>
          <w:rFonts w:ascii="Times New Roman" w:hAnsi="Times New Roman" w:eastAsia="黑体"/>
          <w:b/>
          <w:color w:val="1F4E78"/>
          <w:sz w:val="30"/>
        </w:rPr>
        <w:t>算法原理、试验配置与结果分析</w:t>
      </w:r>
    </w:p>
    <w:p/>
    <w:p/>
    <w:p/>
    <w:p/>
    <w:p/>
    <w:p/>
    <w:p/>
    <w:p/>
    <w:p/>
    <w:p>
      <w:pPr>
        <w:jc w:val="center"/>
      </w:pPr>
      <w:r>
        <w:rPr>
          <w:rFonts w:ascii="Times New Roman" w:hAnsi="Times New Roman" w:eastAsia="宋体"/>
          <w:color w:val="202833"/>
          <w:sz w:val="24"/>
        </w:rPr>
        <w:t>MSM 项目组</w:t>
      </w:r>
    </w:p>
    <w:p>
      <w:pPr>
        <w:jc w:val="center"/>
      </w:pPr>
      <w:r>
        <w:rPr>
          <w:rFonts w:ascii="Times New Roman" w:hAnsi="Times New Roman" w:eastAsia="宋体"/>
          <w:color w:val="5F6B78"/>
          <w:sz w:val="22"/>
        </w:rPr>
        <w:t>2026 年 8 月</w:t>
      </w:r>
    </w:p>
    <w:p>
      <w:pPr>
        <w:jc w:val="center"/>
      </w:pPr>
      <w:r>
        <w:rPr>
          <w:rFonts w:ascii="Times New Roman" w:hAnsi="Times New Roman" w:eastAsia="宋体"/>
          <w:color w:val="176B73"/>
          <w:sz w:val="19"/>
        </w:rPr>
        <w:t>科研仿真与技术论证材料</w:t>
      </w:r>
    </w:p>
    <w:p>
      <w:pPr>
        <w:sectPr>
          <w:pgSz w:w="11906" w:h="16838"/>
          <w:pgMar w:top="1134" w:right="1332" w:bottom="1077" w:left="1332" w:header="408" w:footer="408" w:gutter="0"/>
          <w:cols w:space="720"/>
          <w:docGrid w:linePitch="360"/>
        </w:sectPr>
      </w:pPr>
    </w:p>
    <w:p>
      <w:pPr>
        <w:widowControl/>
      </w:pPr>
      <w:r>
        <w:rPr>
          <w:rFonts w:ascii="Times New Roman" w:hAnsi="Times New Roman" w:eastAsia="宋体"/>
          <w:color w:val="202833"/>
          <w:sz w:val="24"/>
        </w:rPr>
        <w:t>本报告说明双光电形成单站航迹、建立双站对应关系并完成交汇定位的处理方法。试验结果先列出360度扫描且单站航迹完全正确时需要完成的验证矩阵，再分析360度实际单站航迹下的无干扰和轻、中、重度干扰，随后给出180度扫描结果，最后说明40目标理想条件下的交汇定位演示。各批数据的输入、随机场景和算法冻结状态不同，结果分别列示，不合并计算。</w:t>
      </w:r>
    </w:p>
    <w:p>
      <w:pPr>
        <w:widowControl/>
      </w:pPr>
      <w:r>
        <w:rPr>
          <w:rFonts w:ascii="Times New Roman" w:hAnsi="Times New Roman" w:eastAsia="宋体"/>
          <w:color w:val="202833"/>
          <w:sz w:val="24"/>
        </w:rPr>
        <w:t>双光电配准在几何上可行，现有40目标理想演示也已贯通配准和交汇定位链路。20、40、60目标在360度扫描且单站关联完全正确条件下的三算法完整矩阵尚未试验，因此本报告不填写推算值。实际单站航迹进入链路后，断轨、错误重接和重复建轨会直接减少可供双站比较的正确对象。当前主要问题仍在单站航迹连续性，跨站评分和连续确认还存在少量独立损失。</w:t>
      </w:r>
    </w:p>
    <w:p>
      <w:pPr>
        <w:pStyle w:val="Heading1"/>
        <w:pageBreakBefore/>
      </w:pPr>
      <w:r>
        <w:rPr>
          <w:rFonts w:ascii="Times New Roman" w:hAnsi="Times New Roman" w:eastAsia="宋体"/>
          <w:color w:val="1F4E78"/>
          <w:sz w:val="33"/>
        </w:rPr>
        <w:t>一、算法原理</w:t>
      </w:r>
    </w:p>
    <w:p>
      <w:pPr>
        <w:pStyle w:val="Heading2"/>
      </w:pPr>
      <w:r>
        <w:rPr>
          <w:rFonts w:ascii="Times New Roman" w:hAnsi="Times New Roman" w:eastAsia="宋体"/>
          <w:color w:val="176B73"/>
          <w:sz w:val="28"/>
        </w:rPr>
        <w:t>1.1 处理流程</w:t>
      </w:r>
    </w:p>
    <w:p>
      <w:pPr>
        <w:widowControl/>
      </w:pPr>
      <w:r>
        <w:rPr>
          <w:rFonts w:ascii="Times New Roman" w:hAnsi="Times New Roman" w:eastAsia="宋体"/>
          <w:color w:val="202833"/>
          <w:sz w:val="24"/>
        </w:rPr>
        <w:t>两台光电分别处理图像，把同一目标在连续画面中的检测结果连成单站航迹，并输出观测时间、方位、俯仰、运动趋势和航迹质量。系统随后校正两站观测时刻和设备姿态，用共面关系排除明显不可能的航迹组合。候选关系再由几何方法、图神经网络或增强型图神经网络评分，经过一一分配和连续确认后形成双站对应关系。稳定关系进入双射线交汇定位。</w:t>
      </w:r>
    </w:p>
    <w:p>
      <w:pPr>
        <w:keepLines/>
        <w:spacing w:before="120"/>
        <w:ind w:firstLine="0"/>
        <w:jc w:val="center"/>
      </w:pPr>
      <w:r>
        <w:drawing>
          <wp:inline xmlns:a="http://schemas.openxmlformats.org/drawingml/2006/main" xmlns:pic="http://schemas.openxmlformats.org/drawingml/2006/picture">
            <wp:extent cx="5760000" cy="3241722"/>
            <wp:docPr id="1" name="Picture 1"/>
            <wp:cNvGraphicFramePr>
              <a:graphicFrameLocks noChangeAspect="1"/>
            </wp:cNvGraphicFramePr>
            <a:graphic>
              <a:graphicData uri="http://schemas.openxmlformats.org/drawingml/2006/picture">
                <pic:pic>
                  <pic:nvPicPr>
                    <pic:cNvPr id="0" name="01_algorithm_flow.png"/>
                    <pic:cNvPicPr/>
                  </pic:nvPicPr>
                  <pic:blipFill>
                    <a:blip r:embed="rId11"/>
                    <a:stretch>
                      <a:fillRect/>
                    </a:stretch>
                  </pic:blipFill>
                  <pic:spPr>
                    <a:xfrm>
                      <a:off x="0" y="0"/>
                      <a:ext cx="5760000" cy="3241722"/>
                    </a:xfrm>
                    <a:prstGeom prst="rect"/>
                  </pic:spPr>
                </pic:pic>
              </a:graphicData>
            </a:graphic>
          </wp:inline>
        </w:drawing>
      </w:r>
    </w:p>
    <w:p>
      <w:pPr>
        <w:spacing w:after="100"/>
        <w:ind w:firstLine="0"/>
        <w:jc w:val="center"/>
      </w:pPr>
      <w:r>
        <w:rPr>
          <w:rFonts w:ascii="Times New Roman" w:hAnsi="Times New Roman" w:eastAsia="宋体"/>
          <w:color w:val="5F6B78"/>
          <w:sz w:val="18"/>
        </w:rPr>
        <w:t>图 1  双光电多目标轨迹配准与交汇定位流程</w:t>
      </w:r>
    </w:p>
    <w:p>
      <w:pPr>
        <w:widowControl/>
      </w:pPr>
      <w:r>
        <w:rPr>
          <w:rFonts w:ascii="Times New Roman" w:hAnsi="Times New Roman" w:eastAsia="宋体"/>
          <w:color w:val="202833"/>
          <w:sz w:val="24"/>
        </w:rPr>
        <w:t>配准和定位分两步完成。前一步判断两台光电看到的是否为同一目标，后一步计算该目标的位置和速度。错误配准会把两条不相关视线送入定位环节，因此系统先确认对应关系，再进行距离和位置解算。</w:t>
      </w:r>
    </w:p>
    <w:p>
      <w:pPr>
        <w:pStyle w:val="Heading2"/>
      </w:pPr>
      <w:r>
        <w:rPr>
          <w:rFonts w:ascii="Times New Roman" w:hAnsi="Times New Roman" w:eastAsia="宋体"/>
          <w:color w:val="176B73"/>
          <w:sz w:val="28"/>
        </w:rPr>
        <w:t>1.2 单站航迹</w:t>
      </w:r>
    </w:p>
    <w:p>
      <w:pPr>
        <w:widowControl/>
      </w:pPr>
      <w:r>
        <w:rPr>
          <w:rFonts w:ascii="Times New Roman" w:hAnsi="Times New Roman" w:eastAsia="宋体"/>
          <w:color w:val="202833"/>
          <w:sz w:val="24"/>
        </w:rPr>
        <w:t>窄视场光电扫描时，同一目标只在短时间内进入画面。一次扫过形成若干连续检测点，下一次重访还要判断新片段是否属于原目标。单站航迹器使用方位和俯仰变化、运动方向、时间间隔和预测误差完成连接。短时漏检时保留休眠航迹；目标交叉时暂时保留少量候选，等待后续观测消解。</w:t>
      </w:r>
    </w:p>
    <w:p>
      <w:pPr>
        <w:keepLines/>
        <w:spacing w:before="120"/>
        <w:ind w:firstLine="0"/>
        <w:jc w:val="center"/>
      </w:pPr>
      <w:r>
        <w:drawing>
          <wp:inline xmlns:a="http://schemas.openxmlformats.org/drawingml/2006/main" xmlns:pic="http://schemas.openxmlformats.org/drawingml/2006/picture">
            <wp:extent cx="5760000" cy="2736175"/>
            <wp:docPr id="2" name="Picture 2"/>
            <wp:cNvGraphicFramePr>
              <a:graphicFrameLocks noChangeAspect="1"/>
            </wp:cNvGraphicFramePr>
            <a:graphic>
              <a:graphicData uri="http://schemas.openxmlformats.org/drawingml/2006/picture">
                <pic:pic>
                  <pic:nvPicPr>
                    <pic:cNvPr id="0" name="02_single_station_tracking.png"/>
                    <pic:cNvPicPr/>
                  </pic:nvPicPr>
                  <pic:blipFill>
                    <a:blip r:embed="rId12"/>
                    <a:stretch>
                      <a:fillRect/>
                    </a:stretch>
                  </pic:blipFill>
                  <pic:spPr>
                    <a:xfrm>
                      <a:off x="0" y="0"/>
                      <a:ext cx="5760000" cy="2736175"/>
                    </a:xfrm>
                    <a:prstGeom prst="rect"/>
                  </pic:spPr>
                </pic:pic>
              </a:graphicData>
            </a:graphic>
          </wp:inline>
        </w:drawing>
      </w:r>
    </w:p>
    <w:p>
      <w:pPr>
        <w:spacing w:after="100"/>
        <w:ind w:firstLine="0"/>
        <w:jc w:val="center"/>
      </w:pPr>
      <w:r>
        <w:rPr>
          <w:rFonts w:ascii="Times New Roman" w:hAnsi="Times New Roman" w:eastAsia="宋体"/>
          <w:color w:val="5F6B78"/>
          <w:sz w:val="18"/>
        </w:rPr>
        <w:t>图 2  单站检测点形成连续航迹及断轨风险</w:t>
      </w:r>
    </w:p>
    <w:p>
      <w:pPr>
        <w:widowControl/>
      </w:pPr>
      <w:r>
        <w:rPr>
          <w:rFonts w:ascii="Times New Roman" w:hAnsi="Times New Roman" w:eastAsia="宋体"/>
          <w:color w:val="202833"/>
          <w:sz w:val="24"/>
        </w:rPr>
        <w:t>单站成轨决定双站配准的输入质量。一个目标被拆成多条航迹，或两个目标被错误合成一条航迹，都会改变跨站算法实际处理的对象。双站评分可以拒绝部分错误关系，但无法恢复没有形成的正确局部航迹。</w:t>
      </w:r>
    </w:p>
    <w:p>
      <w:pPr>
        <w:pStyle w:val="Heading2"/>
      </w:pPr>
      <w:r>
        <w:rPr>
          <w:rFonts w:ascii="Times New Roman" w:hAnsi="Times New Roman" w:eastAsia="宋体"/>
          <w:color w:val="176B73"/>
          <w:sz w:val="28"/>
        </w:rPr>
        <w:t>1.3 共面筛选</w:t>
      </w:r>
    </w:p>
    <w:p>
      <w:pPr>
        <w:widowControl/>
      </w:pPr>
      <w:r>
        <w:rPr>
          <w:rFonts w:ascii="Times New Roman" w:hAnsi="Times New Roman" w:eastAsia="宋体"/>
          <w:color w:val="202833"/>
          <w:sz w:val="24"/>
        </w:rPr>
        <w:t>两台光电的位置和姿态已知时，每个检测框中心可由针孔相机模型转换为空间视线。对于同一时刻的同一目标，A站视线、B站视线和两站基线应近似位于同一平面。系统计算归一化共面性残差，并结合姿态误差、时间差和航迹预测不确定度设置门限。残差过大的组合直接剔除。</w:t>
      </w:r>
    </w:p>
    <w:p>
      <w:pPr>
        <w:keepLines/>
        <w:spacing w:before="120"/>
        <w:ind w:firstLine="0"/>
        <w:jc w:val="center"/>
      </w:pPr>
      <w:r>
        <w:drawing>
          <wp:inline xmlns:a="http://schemas.openxmlformats.org/drawingml/2006/main" xmlns:pic="http://schemas.openxmlformats.org/drawingml/2006/picture">
            <wp:extent cx="5444317" cy="4248000"/>
            <wp:docPr id="3" name="Picture 3"/>
            <wp:cNvGraphicFramePr>
              <a:graphicFrameLocks noChangeAspect="1"/>
            </wp:cNvGraphicFramePr>
            <a:graphic>
              <a:graphicData uri="http://schemas.openxmlformats.org/drawingml/2006/picture">
                <pic:pic>
                  <pic:nvPicPr>
                    <pic:cNvPr id="0" name="03_coplanarity_screening_3d.png"/>
                    <pic:cNvPicPr/>
                  </pic:nvPicPr>
                  <pic:blipFill>
                    <a:blip r:embed="rId13"/>
                    <a:stretch>
                      <a:fillRect/>
                    </a:stretch>
                  </pic:blipFill>
                  <pic:spPr>
                    <a:xfrm>
                      <a:off x="0" y="0"/>
                      <a:ext cx="5444317" cy="4248000"/>
                    </a:xfrm>
                    <a:prstGeom prst="rect"/>
                  </pic:spPr>
                </pic:pic>
              </a:graphicData>
            </a:graphic>
          </wp:inline>
        </w:drawing>
      </w:r>
    </w:p>
    <w:p>
      <w:pPr>
        <w:spacing w:after="100"/>
        <w:ind w:firstLine="0"/>
        <w:jc w:val="center"/>
      </w:pPr>
      <w:r>
        <w:rPr>
          <w:rFonts w:ascii="Times New Roman" w:hAnsi="Times New Roman" w:eastAsia="宋体"/>
          <w:color w:val="5F6B78"/>
          <w:sz w:val="18"/>
        </w:rPr>
        <w:t>图 3  双站视线的三维共面筛选</w:t>
      </w:r>
    </w:p>
    <w:p>
      <w:pPr>
        <w:widowControl/>
      </w:pPr>
      <w:r>
        <w:rPr>
          <w:rFonts w:ascii="Times New Roman" w:hAnsi="Times New Roman" w:eastAsia="宋体"/>
          <w:color w:val="202833"/>
          <w:sz w:val="24"/>
        </w:rPr>
        <w:t>共面筛选用于缩小候选范围，不直接判定身份。目标密集、航迹交叉或设备存在小幅姿态误差时，多组航迹可能同时满足共面条件，还需比较一段时间内的运动一致性和候选竞争关系。</w:t>
      </w:r>
    </w:p>
    <w:p>
      <w:pPr>
        <w:pStyle w:val="Heading2"/>
      </w:pPr>
      <w:r>
        <w:rPr>
          <w:rFonts w:ascii="Times New Roman" w:hAnsi="Times New Roman" w:eastAsia="宋体"/>
          <w:color w:val="176B73"/>
          <w:sz w:val="28"/>
        </w:rPr>
        <w:t>1.4 图神经网络与航迹级注意力</w:t>
      </w:r>
    </w:p>
    <w:p>
      <w:pPr>
        <w:widowControl/>
      </w:pPr>
      <w:r>
        <w:rPr>
          <w:rFonts w:ascii="Times New Roman" w:hAnsi="Times New Roman" w:eastAsia="宋体"/>
          <w:color w:val="202833"/>
          <w:sz w:val="24"/>
        </w:rPr>
        <w:t>候选关系可表示为二部图。左侧节点为A站航迹，右侧节点为B站航迹，通过共面筛选的组合形成连线。节点记录方向、角速度、航迹年龄和不确定度；连线记录多时刻共面残差、同步后的运动差、交汇稳定性和历史确认状态。图神经网络在候选图上交换信息，比较一条关系与周边竞争关系的相对合理性。</w:t>
      </w:r>
    </w:p>
    <w:p>
      <w:pPr>
        <w:keepLines/>
        <w:spacing w:before="120"/>
        <w:ind w:firstLine="0"/>
        <w:jc w:val="center"/>
      </w:pPr>
      <w:r>
        <w:drawing>
          <wp:inline xmlns:a="http://schemas.openxmlformats.org/drawingml/2006/main" xmlns:pic="http://schemas.openxmlformats.org/drawingml/2006/picture">
            <wp:extent cx="5760000" cy="3241722"/>
            <wp:docPr id="4" name="Picture 4"/>
            <wp:cNvGraphicFramePr>
              <a:graphicFrameLocks noChangeAspect="1"/>
            </wp:cNvGraphicFramePr>
            <a:graphic>
              <a:graphicData uri="http://schemas.openxmlformats.org/drawingml/2006/picture">
                <pic:pic>
                  <pic:nvPicPr>
                    <pic:cNvPr id="0" name="04a_local_tracks_before_registration.png"/>
                    <pic:cNvPicPr/>
                  </pic:nvPicPr>
                  <pic:blipFill>
                    <a:blip r:embed="rId14"/>
                    <a:stretch>
                      <a:fillRect/>
                    </a:stretch>
                  </pic:blipFill>
                  <pic:spPr>
                    <a:xfrm>
                      <a:off x="0" y="0"/>
                      <a:ext cx="5760000" cy="3241722"/>
                    </a:xfrm>
                    <a:prstGeom prst="rect"/>
                  </pic:spPr>
                </pic:pic>
              </a:graphicData>
            </a:graphic>
          </wp:inline>
        </w:drawing>
      </w:r>
    </w:p>
    <w:p>
      <w:pPr>
        <w:spacing w:after="100"/>
        <w:ind w:firstLine="0"/>
        <w:jc w:val="center"/>
      </w:pPr>
      <w:r>
        <w:rPr>
          <w:rFonts w:ascii="Times New Roman" w:hAnsi="Times New Roman" w:eastAsia="宋体"/>
          <w:color w:val="5F6B78"/>
          <w:sz w:val="18"/>
        </w:rPr>
        <w:t>图 4  双站局部航迹对应关系待确定</w:t>
      </w:r>
    </w:p>
    <w:p>
      <w:pPr>
        <w:keepLines/>
        <w:spacing w:before="120"/>
        <w:ind w:firstLine="0"/>
        <w:jc w:val="center"/>
      </w:pPr>
      <w:r>
        <w:drawing>
          <wp:inline xmlns:a="http://schemas.openxmlformats.org/drawingml/2006/main" xmlns:pic="http://schemas.openxmlformats.org/drawingml/2006/picture">
            <wp:extent cx="5760000" cy="3241722"/>
            <wp:docPr id="5" name="Picture 5"/>
            <wp:cNvGraphicFramePr>
              <a:graphicFrameLocks noChangeAspect="1"/>
            </wp:cNvGraphicFramePr>
            <a:graphic>
              <a:graphicData uri="http://schemas.openxmlformats.org/drawingml/2006/picture">
                <pic:pic>
                  <pic:nvPicPr>
                    <pic:cNvPr id="0" name="04b_candidate_graph_gnn_assignment.png"/>
                    <pic:cNvPicPr/>
                  </pic:nvPicPr>
                  <pic:blipFill>
                    <a:blip r:embed="rId15"/>
                    <a:stretch>
                      <a:fillRect/>
                    </a:stretch>
                  </pic:blipFill>
                  <pic:spPr>
                    <a:xfrm>
                      <a:off x="0" y="0"/>
                      <a:ext cx="5760000" cy="3241722"/>
                    </a:xfrm>
                    <a:prstGeom prst="rect"/>
                  </pic:spPr>
                </pic:pic>
              </a:graphicData>
            </a:graphic>
          </wp:inline>
        </w:drawing>
      </w:r>
    </w:p>
    <w:p>
      <w:pPr>
        <w:spacing w:after="100"/>
        <w:ind w:firstLine="0"/>
        <w:jc w:val="center"/>
      </w:pPr>
      <w:r>
        <w:rPr>
          <w:rFonts w:ascii="Times New Roman" w:hAnsi="Times New Roman" w:eastAsia="宋体"/>
          <w:color w:val="5F6B78"/>
          <w:sz w:val="18"/>
        </w:rPr>
        <w:t>图 5  候选关系经图神经网络评分和一一分配后收敛</w:t>
      </w:r>
    </w:p>
    <w:p>
      <w:pPr>
        <w:widowControl/>
      </w:pPr>
      <w:r>
        <w:rPr>
          <w:rFonts w:ascii="Times New Roman" w:hAnsi="Times New Roman" w:eastAsia="宋体"/>
          <w:color w:val="202833"/>
          <w:sz w:val="24"/>
        </w:rPr>
        <w:t xml:space="preserve">本报告所称“增强型图神经网络”对应实验记录中的 </w:t>
      </w:r>
      <w:r>
        <w:rPr>
          <w:rFonts w:ascii="Times New Roman" w:hAnsi="Times New Roman" w:eastAsia="宋体"/>
          <w:color w:val="1F4E78"/>
          <w:sz w:val="24"/>
        </w:rPr>
        <w:t>track_superglue</w:t>
      </w:r>
      <w:r>
        <w:rPr>
          <w:rFonts w:ascii="Times New Roman" w:hAnsi="Times New Roman" w:eastAsia="宋体"/>
          <w:color w:val="202833"/>
          <w:sz w:val="24"/>
        </w:rPr>
        <w:t xml:space="preserve"> 路线。该路线借鉴SuperGlue的自注意力、交叉注意力和部分匹配思想，在两组航迹之间反复交换信息，再用归一化分配求出可匹配关系。它的输入是单站航迹及其几何和运动特征，不是原始图像关键点，也不是原始图像版SuperGlue。低分关系允许保持空匹配，最终仍由一一分配和连续确认约束输出。</w:t>
      </w:r>
    </w:p>
    <w:p>
      <w:pPr>
        <w:pStyle w:val="Heading2"/>
      </w:pPr>
      <w:r>
        <w:rPr>
          <w:rFonts w:ascii="Times New Roman" w:hAnsi="Times New Roman" w:eastAsia="宋体"/>
          <w:color w:val="176B73"/>
          <w:sz w:val="28"/>
        </w:rPr>
        <w:t>1.5 几何方法和安全边界</w:t>
      </w:r>
    </w:p>
    <w:p>
      <w:pPr>
        <w:widowControl/>
      </w:pPr>
      <w:r>
        <w:rPr>
          <w:rFonts w:ascii="Times New Roman" w:hAnsi="Times New Roman" w:eastAsia="宋体"/>
          <w:color w:val="202833"/>
          <w:sz w:val="24"/>
        </w:rPr>
        <w:t>几何方法把多时刻共面残差、运动方向差、角速度差和交汇稳定性按固定规则合成为代价，再执行匈牙利一一分配和时间确认。这条路线容易解释，适合候选较少和扫描规律稳定的情况，也可作为学习方法不可用时的回退。目标数量增加后，候选组合和多时刻拟合的计算量上升，固定权重和门限需要随扫描协议重新标定。</w:t>
      </w:r>
    </w:p>
    <w:p>
      <w:pPr>
        <w:widowControl/>
      </w:pPr>
      <w:r>
        <w:rPr>
          <w:rFonts w:ascii="Times New Roman" w:hAnsi="Times New Roman" w:eastAsia="宋体"/>
          <w:color w:val="202833"/>
          <w:sz w:val="24"/>
        </w:rPr>
        <w:t>三条路线共用两道确定性边界。共面筛选阻止明显违反成像几何的关系进入评分，一一分配和连续确认阻止一条航迹被多个目标重复占用。学习算法负责比较复杂候选，几何条件负责限制物理上不合理的输出。</w:t>
      </w:r>
    </w:p>
    <w:p>
      <w:pPr>
        <w:pStyle w:val="Heading2"/>
      </w:pPr>
      <w:r>
        <w:rPr>
          <w:rFonts w:ascii="Times New Roman" w:hAnsi="Times New Roman" w:eastAsia="宋体"/>
          <w:color w:val="176B73"/>
          <w:sz w:val="28"/>
        </w:rPr>
        <w:t>1.6 交汇定位</w:t>
      </w:r>
    </w:p>
    <w:p>
      <w:pPr>
        <w:widowControl/>
      </w:pPr>
      <w:r>
        <w:rPr>
          <w:rFonts w:ascii="Times New Roman" w:hAnsi="Times New Roman" w:eastAsia="宋体"/>
          <w:color w:val="202833"/>
          <w:sz w:val="24"/>
        </w:rPr>
        <w:t>双站关系稳定后，系统在相邻时刻取出两台光电对同一目标的视线。理想情况下两条视线相交；存在离散采样和数值误差时，取两条视线最近点的中点作为位置。多个时刻的位置再进行短时运动拟合，得到位置、速度和残差。交会角过小、最近点距离过大或结果跳变时，定位结果保持待确认。</w:t>
      </w:r>
    </w:p>
    <w:p>
      <w:pPr>
        <w:keepLines/>
        <w:spacing w:before="120"/>
        <w:ind w:firstLine="0"/>
        <w:jc w:val="center"/>
      </w:pPr>
      <w:r>
        <w:drawing>
          <wp:inline xmlns:a="http://schemas.openxmlformats.org/drawingml/2006/main" xmlns:pic="http://schemas.openxmlformats.org/drawingml/2006/picture">
            <wp:extent cx="5444317" cy="4248000"/>
            <wp:docPr id="6" name="Picture 6"/>
            <wp:cNvGraphicFramePr>
              <a:graphicFrameLocks noChangeAspect="1"/>
            </wp:cNvGraphicFramePr>
            <a:graphic>
              <a:graphicData uri="http://schemas.openxmlformats.org/drawingml/2006/picture">
                <pic:pic>
                  <pic:nvPicPr>
                    <pic:cNvPr id="0" name="05_multitime_triangulation_3d.png"/>
                    <pic:cNvPicPr/>
                  </pic:nvPicPr>
                  <pic:blipFill>
                    <a:blip r:embed="rId16"/>
                    <a:stretch>
                      <a:fillRect/>
                    </a:stretch>
                  </pic:blipFill>
                  <pic:spPr>
                    <a:xfrm>
                      <a:off x="0" y="0"/>
                      <a:ext cx="5444317" cy="4248000"/>
                    </a:xfrm>
                    <a:prstGeom prst="rect"/>
                  </pic:spPr>
                </pic:pic>
              </a:graphicData>
            </a:graphic>
          </wp:inline>
        </w:drawing>
      </w:r>
    </w:p>
    <w:p>
      <w:pPr>
        <w:spacing w:after="100"/>
        <w:ind w:firstLine="0"/>
        <w:jc w:val="center"/>
      </w:pPr>
      <w:r>
        <w:rPr>
          <w:rFonts w:ascii="Times New Roman" w:hAnsi="Times New Roman" w:eastAsia="宋体"/>
          <w:color w:val="5F6B78"/>
          <w:sz w:val="18"/>
        </w:rPr>
        <w:t>图 6  多时刻双射线交汇定位原理</w:t>
      </w:r>
    </w:p>
    <w:p>
      <w:pPr>
        <w:widowControl/>
      </w:pPr>
      <w:r>
        <w:rPr>
          <w:rFonts w:ascii="Times New Roman" w:hAnsi="Times New Roman" w:eastAsia="宋体"/>
          <w:color w:val="202833"/>
          <w:sz w:val="24"/>
        </w:rPr>
        <w:t>交汇角决定距离解算条件。两台设备与目标近似共线时，小幅角度误差会被放大为较大的距离误差。实际部署需要保证足够基线和侧向观察角，并把设备位置、姿态和时间同步误差纳入不确定度。本文40目标测距结果采用理想位姿和时间条件，只用于验证计算链路。</w:t>
      </w:r>
    </w:p>
    <w:p>
      <w:pPr>
        <w:pStyle w:val="Heading2"/>
      </w:pPr>
      <w:r>
        <w:rPr>
          <w:rFonts w:ascii="Times New Roman" w:hAnsi="Times New Roman" w:eastAsia="宋体"/>
          <w:color w:val="176B73"/>
          <w:sz w:val="28"/>
        </w:rPr>
        <w:t>1.7 评价口径</w:t>
      </w:r>
    </w:p>
    <w:tbl>
      <w:tblPr>
        <w:tblStyle w:val="TableGrid"/>
        <w:tblW w:type="auto" w:w="0"/>
        <w:jc w:val="center"/>
        <w:tblLayout w:type="autofit"/>
        <w:tblLook w:firstColumn="1" w:firstRow="1" w:lastColumn="0" w:lastRow="0" w:noHBand="0" w:noVBand="1" w:val="04A0"/>
      </w:tblPr>
      <w:tblGrid>
        <w:gridCol w:w="3081"/>
        <w:gridCol w:w="3081"/>
        <w:gridCol w:w="3081"/>
      </w:tblGrid>
      <w:tr>
        <w:trPr>
          <w:cantSplit/>
          <w:tblHeader w:val="true"/>
        </w:trPr>
        <w:tc>
          <w:tcPr>
            <w:tcW w:type="dxa" w:w="3081"/>
            <w:vAlign w:val="center"/>
            <w:shd w:fill="1F5F99"/>
          </w:tcPr>
          <w:p>
            <w:pPr>
              <w:spacing w:before="10" w:after="10" w:line="240" w:lineRule="auto"/>
              <w:ind w:firstLine="0"/>
              <w:jc w:val="center"/>
            </w:pPr>
            <w:r>
              <w:rPr>
                <w:rFonts w:ascii="Times New Roman" w:hAnsi="Times New Roman" w:eastAsia="黑体"/>
                <w:b/>
                <w:color w:val="FFFFFF"/>
                <w:sz w:val="18"/>
              </w:rPr>
              <w:t>指标</w:t>
            </w:r>
          </w:p>
        </w:tc>
        <w:tc>
          <w:tcPr>
            <w:tcW w:type="dxa" w:w="3081"/>
            <w:vAlign w:val="center"/>
            <w:shd w:fill="1F5F99"/>
          </w:tcPr>
          <w:p>
            <w:pPr>
              <w:spacing w:before="10" w:after="10" w:line="240" w:lineRule="auto"/>
              <w:ind w:firstLine="0"/>
              <w:jc w:val="center"/>
            </w:pPr>
            <w:r>
              <w:rPr>
                <w:rFonts w:ascii="Times New Roman" w:hAnsi="Times New Roman" w:eastAsia="黑体"/>
                <w:b/>
                <w:color w:val="FFFFFF"/>
                <w:sz w:val="18"/>
              </w:rPr>
              <w:t>计算口径</w:t>
            </w:r>
          </w:p>
        </w:tc>
        <w:tc>
          <w:tcPr>
            <w:tcW w:type="dxa" w:w="3081"/>
            <w:vAlign w:val="center"/>
            <w:shd w:fill="1F5F99"/>
          </w:tcPr>
          <w:p>
            <w:pPr>
              <w:spacing w:before="10" w:after="10" w:line="240" w:lineRule="auto"/>
              <w:ind w:firstLine="0"/>
              <w:jc w:val="center"/>
            </w:pPr>
            <w:r>
              <w:rPr>
                <w:rFonts w:ascii="Times New Roman" w:hAnsi="Times New Roman" w:eastAsia="黑体"/>
                <w:b/>
                <w:color w:val="FFFFFF"/>
                <w:sz w:val="18"/>
              </w:rPr>
              <w:t>说明</w:t>
            </w:r>
          </w:p>
        </w:tc>
      </w:tr>
      <w:tr>
        <w:trPr>
          <w:cantSplit/>
        </w:trPr>
        <w:tc>
          <w:tcPr>
            <w:tcW w:type="dxa" w:w="3081"/>
            <w:vAlign w:val="center"/>
            <w:shd w:fill="FFFFFF"/>
          </w:tcPr>
          <w:p>
            <w:pPr>
              <w:spacing w:before="10" w:after="10" w:line="240" w:lineRule="auto"/>
              <w:ind w:firstLine="0"/>
              <w:jc w:val="center"/>
            </w:pPr>
            <w:r>
              <w:rPr>
                <w:rFonts w:ascii="Times New Roman" w:hAnsi="Times New Roman" w:eastAsia="宋体"/>
                <w:b w:val="0"/>
                <w:color w:val="202833"/>
                <w:sz w:val="18"/>
              </w:rPr>
              <w:t>最后一圈或最后一轮关联精度</w:t>
            </w:r>
          </w:p>
        </w:tc>
        <w:tc>
          <w:tcPr>
            <w:tcW w:type="dxa" w:w="3081"/>
            <w:vAlign w:val="center"/>
            <w:shd w:fill="FFFFFF"/>
          </w:tcPr>
          <w:p>
            <w:pPr>
              <w:spacing w:before="10" w:after="10" w:line="240" w:lineRule="auto"/>
              <w:ind w:firstLine="0"/>
              <w:jc w:val="center"/>
            </w:pPr>
            <w:r>
              <w:rPr>
                <w:rFonts w:ascii="Times New Roman" w:hAnsi="Times New Roman" w:eastAsia="宋体"/>
                <w:b w:val="0"/>
                <w:color w:val="202833"/>
                <w:sz w:val="18"/>
              </w:rPr>
              <w:t>正确双站关系数除以全部已输出关系数</w:t>
            </w:r>
          </w:p>
        </w:tc>
        <w:tc>
          <w:tcPr>
            <w:tcW w:type="dxa" w:w="3081"/>
            <w:vAlign w:val="center"/>
            <w:shd w:fill="FFFFFF"/>
          </w:tcPr>
          <w:p>
            <w:pPr>
              <w:spacing w:before="10" w:after="10" w:line="240" w:lineRule="auto"/>
              <w:ind w:firstLine="0"/>
              <w:jc w:val="center"/>
            </w:pPr>
            <w:r>
              <w:rPr>
                <w:rFonts w:ascii="Times New Roman" w:hAnsi="Times New Roman" w:eastAsia="宋体"/>
                <w:b w:val="0"/>
                <w:color w:val="202833"/>
                <w:sz w:val="18"/>
              </w:rPr>
              <w:t>判断已输出关系中有多少正确</w:t>
            </w:r>
          </w:p>
        </w:tc>
      </w:tr>
      <w:tr>
        <w:trPr>
          <w:cantSplit/>
        </w:trPr>
        <w:tc>
          <w:tcPr>
            <w:tcW w:type="dxa" w:w="3081"/>
            <w:vAlign w:val="center"/>
            <w:shd w:fill="F1F5F8"/>
          </w:tcPr>
          <w:p>
            <w:pPr>
              <w:spacing w:before="10" w:after="10" w:line="240" w:lineRule="auto"/>
              <w:ind w:firstLine="0"/>
              <w:jc w:val="center"/>
            </w:pPr>
            <w:r>
              <w:rPr>
                <w:rFonts w:ascii="Times New Roman" w:hAnsi="Times New Roman" w:eastAsia="宋体"/>
                <w:b w:val="0"/>
                <w:color w:val="202833"/>
                <w:sz w:val="18"/>
              </w:rPr>
              <w:t>最后一圈或最后一轮目标覆盖度</w:t>
            </w:r>
          </w:p>
        </w:tc>
        <w:tc>
          <w:tcPr>
            <w:tcW w:type="dxa" w:w="3081"/>
            <w:vAlign w:val="center"/>
            <w:shd w:fill="F1F5F8"/>
          </w:tcPr>
          <w:p>
            <w:pPr>
              <w:spacing w:before="10" w:after="10" w:line="240" w:lineRule="auto"/>
              <w:ind w:firstLine="0"/>
              <w:jc w:val="center"/>
            </w:pPr>
            <w:r>
              <w:rPr>
                <w:rFonts w:ascii="Times New Roman" w:hAnsi="Times New Roman" w:eastAsia="宋体"/>
                <w:b w:val="0"/>
                <w:color w:val="202833"/>
                <w:sz w:val="18"/>
              </w:rPr>
              <w:t>正确配准目标数除以目标总数</w:t>
            </w:r>
          </w:p>
        </w:tc>
        <w:tc>
          <w:tcPr>
            <w:tcW w:type="dxa" w:w="3081"/>
            <w:vAlign w:val="center"/>
            <w:shd w:fill="F1F5F8"/>
          </w:tcPr>
          <w:p>
            <w:pPr>
              <w:spacing w:before="10" w:after="10" w:line="240" w:lineRule="auto"/>
              <w:ind w:firstLine="0"/>
              <w:jc w:val="center"/>
            </w:pPr>
            <w:r>
              <w:rPr>
                <w:rFonts w:ascii="Times New Roman" w:hAnsi="Times New Roman" w:eastAsia="宋体"/>
                <w:b w:val="0"/>
                <w:color w:val="202833"/>
                <w:sz w:val="18"/>
              </w:rPr>
              <w:t>判断全部目标中有多少完成正确配准</w:t>
            </w:r>
          </w:p>
        </w:tc>
      </w:tr>
      <w:tr>
        <w:trPr>
          <w:cantSplit/>
        </w:trPr>
        <w:tc>
          <w:tcPr>
            <w:tcW w:type="dxa" w:w="3081"/>
            <w:vAlign w:val="center"/>
            <w:shd w:fill="FFFFFF"/>
          </w:tcPr>
          <w:p>
            <w:pPr>
              <w:spacing w:before="10" w:after="10" w:line="240" w:lineRule="auto"/>
              <w:ind w:firstLine="0"/>
              <w:jc w:val="center"/>
            </w:pPr>
            <w:r>
              <w:rPr>
                <w:rFonts w:ascii="Times New Roman" w:hAnsi="Times New Roman" w:eastAsia="宋体"/>
                <w:b w:val="0"/>
                <w:color w:val="202833"/>
                <w:sz w:val="18"/>
              </w:rPr>
              <w:t>处理耗时P95</w:t>
            </w:r>
          </w:p>
        </w:tc>
        <w:tc>
          <w:tcPr>
            <w:tcW w:type="dxa" w:w="3081"/>
            <w:vAlign w:val="center"/>
            <w:shd w:fill="FFFFFF"/>
          </w:tcPr>
          <w:p>
            <w:pPr>
              <w:spacing w:before="10" w:after="10" w:line="240" w:lineRule="auto"/>
              <w:ind w:firstLine="0"/>
              <w:jc w:val="center"/>
            </w:pPr>
            <w:r>
              <w:rPr>
                <w:rFonts w:ascii="Times New Roman" w:hAnsi="Times New Roman" w:eastAsia="宋体"/>
                <w:b w:val="0"/>
                <w:color w:val="202833"/>
                <w:sz w:val="18"/>
              </w:rPr>
              <w:t>五个场景最后一圈或最后一轮端到端耗时的95%分位值</w:t>
            </w:r>
          </w:p>
        </w:tc>
        <w:tc>
          <w:tcPr>
            <w:tcW w:type="dxa" w:w="3081"/>
            <w:vAlign w:val="center"/>
            <w:shd w:fill="FFFFFF"/>
          </w:tcPr>
          <w:p>
            <w:pPr>
              <w:spacing w:before="10" w:after="10" w:line="240" w:lineRule="auto"/>
              <w:ind w:firstLine="0"/>
              <w:jc w:val="center"/>
            </w:pPr>
            <w:r>
              <w:rPr>
                <w:rFonts w:ascii="Times New Roman" w:hAnsi="Times New Roman" w:eastAsia="宋体"/>
                <w:b w:val="0"/>
                <w:color w:val="202833"/>
                <w:sz w:val="18"/>
              </w:rPr>
              <w:t>超时场景仍纳入耗时统计</w:t>
            </w:r>
          </w:p>
        </w:tc>
      </w:tr>
      <w:tr>
        <w:trPr>
          <w:cantSplit/>
        </w:trPr>
        <w:tc>
          <w:tcPr>
            <w:tcW w:type="dxa" w:w="3081"/>
            <w:vAlign w:val="center"/>
            <w:shd w:fill="F1F5F8"/>
          </w:tcPr>
          <w:p>
            <w:pPr>
              <w:spacing w:before="10" w:after="10" w:line="240" w:lineRule="auto"/>
              <w:ind w:firstLine="0"/>
              <w:jc w:val="center"/>
            </w:pPr>
            <w:r>
              <w:rPr>
                <w:rFonts w:ascii="Times New Roman" w:hAnsi="Times New Roman" w:eastAsia="宋体"/>
                <w:b w:val="0"/>
                <w:color w:val="202833"/>
                <w:sz w:val="18"/>
              </w:rPr>
              <w:t>证据状态</w:t>
            </w:r>
          </w:p>
        </w:tc>
        <w:tc>
          <w:tcPr>
            <w:tcW w:type="dxa" w:w="3081"/>
            <w:vAlign w:val="center"/>
            <w:shd w:fill="F1F5F8"/>
          </w:tcPr>
          <w:p>
            <w:pPr>
              <w:spacing w:before="10" w:after="10" w:line="240" w:lineRule="auto"/>
              <w:ind w:firstLine="0"/>
              <w:jc w:val="center"/>
            </w:pPr>
            <w:r>
              <w:rPr>
                <w:rFonts w:ascii="Times New Roman" w:hAnsi="Times New Roman" w:eastAsia="宋体"/>
                <w:b w:val="0"/>
                <w:color w:val="202833"/>
                <w:sz w:val="18"/>
              </w:rPr>
              <w:t>区分正式、诊断、超时、未开展和待测试</w:t>
            </w:r>
          </w:p>
        </w:tc>
        <w:tc>
          <w:tcPr>
            <w:tcW w:type="dxa" w:w="3081"/>
            <w:vAlign w:val="center"/>
            <w:shd w:fill="F1F5F8"/>
          </w:tcPr>
          <w:p>
            <w:pPr>
              <w:spacing w:before="10" w:after="10" w:line="240" w:lineRule="auto"/>
              <w:ind w:firstLine="0"/>
              <w:jc w:val="center"/>
            </w:pPr>
            <w:r>
              <w:rPr>
                <w:rFonts w:ascii="Times New Roman" w:hAnsi="Times New Roman" w:eastAsia="宋体"/>
                <w:b w:val="0"/>
                <w:color w:val="202833"/>
                <w:sz w:val="18"/>
              </w:rPr>
              <w:t>无记录不写成零值</w:t>
            </w:r>
          </w:p>
        </w:tc>
      </w:tr>
    </w:tbl>
    <w:p>
      <w:pPr>
        <w:spacing w:after="20"/>
      </w:pPr>
    </w:p>
    <w:p>
      <w:pPr>
        <w:widowControl/>
      </w:pPr>
      <w:r>
        <w:rPr>
          <w:rFonts w:ascii="Times New Roman" w:hAnsi="Times New Roman" w:eastAsia="宋体"/>
          <w:color w:val="202833"/>
          <w:sz w:val="24"/>
        </w:rPr>
        <w:t xml:space="preserve">180度扫描统计第12轮，360度周扫统计第6圈。每项可用结果合并5个测试场景，未输出和超时场景仍保留在覆盖度分母中。若五个场景均超时且没有确认关系，精度和覆盖度写“超时”，不写0。耗时只读取机器记录中的 </w:t>
      </w:r>
      <w:r>
        <w:rPr>
          <w:rFonts w:ascii="Times New Roman" w:hAnsi="Times New Roman" w:eastAsia="宋体"/>
          <w:color w:val="1F4E78"/>
          <w:sz w:val="24"/>
        </w:rPr>
        <w:t>end_to_end_ms</w:t>
      </w:r>
      <w:r>
        <w:rPr>
          <w:rFonts w:ascii="Times New Roman" w:hAnsi="Times New Roman" w:eastAsia="宋体"/>
          <w:color w:val="202833"/>
          <w:sz w:val="24"/>
        </w:rPr>
        <w:t>，并在对应最终窗口内计算P95。没有机器记录的组合写“未记录”或“待测试”。真实身份只用于试验结束后的离线评分。</w:t>
      </w:r>
    </w:p>
    <w:p>
      <w:pPr>
        <w:pStyle w:val="Heading1"/>
        <w:pageBreakBefore/>
      </w:pPr>
      <w:r>
        <w:rPr>
          <w:rFonts w:ascii="Times New Roman" w:hAnsi="Times New Roman" w:eastAsia="宋体"/>
          <w:color w:val="1F4E78"/>
          <w:sz w:val="33"/>
        </w:rPr>
        <w:t>二、试验配置</w:t>
      </w:r>
    </w:p>
    <w:p>
      <w:pPr>
        <w:pStyle w:val="Heading2"/>
      </w:pPr>
      <w:r>
        <w:rPr>
          <w:rFonts w:ascii="Times New Roman" w:hAnsi="Times New Roman" w:eastAsia="宋体"/>
          <w:color w:val="176B73"/>
          <w:sz w:val="28"/>
        </w:rPr>
        <w:t>2.1 360度扫描及理想单站条件</w:t>
      </w:r>
    </w:p>
    <w:p>
      <w:pPr>
        <w:widowControl/>
      </w:pPr>
      <w:r>
        <w:rPr>
          <w:rFonts w:ascii="Times New Roman" w:hAnsi="Times New Roman" w:eastAsia="宋体"/>
          <w:color w:val="202833"/>
          <w:sz w:val="24"/>
        </w:rPr>
        <w:t>360度连续周扫的基础设置如下。理想单站条件要求每个真实目标在每台光电内各形成一条连续且身份正确的航迹，不出现断轨、错误重接和重复建轨。该条件只隔离检查双站配准，不代表实际单站航迹器已经达到完全正确。</w:t>
      </w:r>
    </w:p>
    <w:tbl>
      <w:tblPr>
        <w:tblStyle w:val="TableGrid"/>
        <w:tblW w:type="auto" w:w="0"/>
        <w:jc w:val="center"/>
        <w:tblLayout w:type="autofit"/>
        <w:tblLook w:firstColumn="1" w:firstRow="1" w:lastColumn="0" w:lastRow="0" w:noHBand="0" w:noVBand="1" w:val="04A0"/>
      </w:tblPr>
      <w:tblGrid>
        <w:gridCol w:w="4621"/>
        <w:gridCol w:w="4621"/>
      </w:tblGrid>
      <w:tr>
        <w:trPr>
          <w:cantSplit/>
          <w:tblHeader w:val="true"/>
        </w:trPr>
        <w:tc>
          <w:tcPr>
            <w:tcW w:type="dxa" w:w="4621"/>
            <w:vAlign w:val="center"/>
            <w:shd w:fill="1F5F99"/>
          </w:tcPr>
          <w:p>
            <w:pPr>
              <w:spacing w:before="10" w:after="10" w:line="240" w:lineRule="auto"/>
              <w:ind w:firstLine="0"/>
              <w:jc w:val="center"/>
            </w:pPr>
            <w:r>
              <w:rPr>
                <w:rFonts w:ascii="Times New Roman" w:hAnsi="Times New Roman" w:eastAsia="黑体"/>
                <w:b/>
                <w:color w:val="FFFFFF"/>
                <w:sz w:val="18"/>
              </w:rPr>
              <w:t>项目</w:t>
            </w:r>
          </w:p>
        </w:tc>
        <w:tc>
          <w:tcPr>
            <w:tcW w:type="dxa" w:w="4621"/>
            <w:vAlign w:val="center"/>
            <w:shd w:fill="1F5F99"/>
          </w:tcPr>
          <w:p>
            <w:pPr>
              <w:spacing w:before="10" w:after="10" w:line="240" w:lineRule="auto"/>
              <w:ind w:firstLine="0"/>
              <w:jc w:val="center"/>
            </w:pPr>
            <w:r>
              <w:rPr>
                <w:rFonts w:ascii="Times New Roman" w:hAnsi="Times New Roman" w:eastAsia="黑体"/>
                <w:b/>
                <w:color w:val="FFFFFF"/>
                <w:sz w:val="18"/>
              </w:rPr>
              <w:t>设置</w:t>
            </w:r>
          </w:p>
        </w:tc>
      </w:tr>
      <w:tr>
        <w:trPr>
          <w:cantSplit/>
        </w:trPr>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光电数量与基线</w:t>
            </w:r>
          </w:p>
        </w:tc>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2台固定光电，横向间隔2千米</w:t>
            </w:r>
          </w:p>
        </w:tc>
      </w:tr>
      <w:tr>
        <w:trPr>
          <w:cantSplit/>
        </w:trPr>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图像分辨率</w:t>
            </w:r>
          </w:p>
        </w:tc>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1280×1024</w:t>
            </w:r>
          </w:p>
        </w:tc>
      </w:tr>
      <w:tr>
        <w:trPr>
          <w:cantSplit/>
        </w:trPr>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等效焦距</w:t>
            </w:r>
          </w:p>
        </w:tc>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300毫米</w:t>
            </w:r>
          </w:p>
        </w:tc>
      </w:tr>
      <w:tr>
        <w:trPr>
          <w:cantSplit/>
        </w:trPr>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水平视场角</w:t>
            </w:r>
          </w:p>
        </w:tc>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2.93度</w:t>
            </w:r>
          </w:p>
        </w:tc>
      </w:tr>
      <w:tr>
        <w:trPr>
          <w:cantSplit/>
        </w:trPr>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仿真等效垂直视场角</w:t>
            </w:r>
          </w:p>
        </w:tc>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2.344度</w:t>
            </w:r>
          </w:p>
        </w:tc>
      </w:tr>
      <w:tr>
        <w:trPr>
          <w:cantSplit/>
        </w:trPr>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目标尺寸与速度</w:t>
            </w:r>
          </w:p>
        </w:tc>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长度3米，速度50米/秒</w:t>
            </w:r>
          </w:p>
        </w:tc>
      </w:tr>
      <w:tr>
        <w:trPr>
          <w:cantSplit/>
        </w:trPr>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扫描方式</w:t>
            </w:r>
          </w:p>
        </w:tc>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2秒连续旋转360度</w:t>
            </w:r>
          </w:p>
        </w:tc>
      </w:tr>
      <w:tr>
        <w:trPr>
          <w:cantSplit/>
        </w:trPr>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场景时长</w:t>
            </w:r>
          </w:p>
        </w:tc>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12秒，共6圈</w:t>
            </w:r>
          </w:p>
        </w:tc>
      </w:tr>
      <w:tr>
        <w:trPr>
          <w:cantSplit/>
        </w:trPr>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目标规模</w:t>
            </w:r>
          </w:p>
        </w:tc>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20、40、60</w:t>
            </w:r>
          </w:p>
        </w:tc>
      </w:tr>
      <w:tr>
        <w:trPr>
          <w:cantSplit/>
        </w:trPr>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统计窗口</w:t>
            </w:r>
          </w:p>
        </w:tc>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5个测试场景的第6圈</w:t>
            </w:r>
          </w:p>
        </w:tc>
      </w:tr>
      <w:tr>
        <w:trPr>
          <w:cantSplit/>
        </w:trPr>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在线期限</w:t>
            </w:r>
          </w:p>
        </w:tc>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每圈1000毫秒</w:t>
            </w:r>
          </w:p>
        </w:tc>
      </w:tr>
    </w:tbl>
    <w:p>
      <w:pPr>
        <w:spacing w:after="20"/>
      </w:pPr>
    </w:p>
    <w:p>
      <w:pPr>
        <w:widowControl/>
      </w:pPr>
      <w:r>
        <w:rPr>
          <w:rFonts w:ascii="Times New Roman" w:hAnsi="Times New Roman" w:eastAsia="宋体"/>
          <w:color w:val="202833"/>
          <w:sz w:val="24"/>
        </w:rPr>
        <w:t>20、40、60目标与三种算法的理想单站完整矩阵目前没有现成机器记录。本报告在结果表中保留九个待测试条目，不使用180度理想数据、实际航迹中的正确子集或40目标交汇演示回填。</w:t>
      </w:r>
    </w:p>
    <w:p>
      <w:pPr>
        <w:pStyle w:val="Heading2"/>
      </w:pPr>
      <w:r>
        <w:rPr>
          <w:rFonts w:ascii="Times New Roman" w:hAnsi="Times New Roman" w:eastAsia="宋体"/>
          <w:color w:val="176B73"/>
          <w:sz w:val="28"/>
        </w:rPr>
        <w:t>2.2 360度实际单站航迹</w:t>
      </w:r>
    </w:p>
    <w:p>
      <w:pPr>
        <w:widowControl/>
      </w:pPr>
      <w:r>
        <w:rPr>
          <w:rFonts w:ascii="Times New Roman" w:hAnsi="Times New Roman" w:eastAsia="宋体"/>
          <w:color w:val="202833"/>
          <w:sz w:val="24"/>
        </w:rPr>
        <w:t>实际航迹试验包含两批封存数据。第一批为20目标无干扰和轻度干扰，同一批匿名单站航迹分别输入几何方法、图神经网络和增强型图神经网络，用于比较评分方法。第二批为20、40、60目标的随机场景，完整保留了图神经网络结果；20目标还运行了几何方法，40和60目标没有运行几何方法，增强型图神经网络也没有进入该分规模批次。两批数据使用不同冻结版本，结果不能拼接。</w:t>
      </w:r>
    </w:p>
    <w:p>
      <w:pPr>
        <w:widowControl/>
      </w:pPr>
      <w:r>
        <w:rPr>
          <w:rFonts w:ascii="Times New Roman" w:hAnsi="Times New Roman" w:eastAsia="宋体"/>
          <w:color w:val="202833"/>
          <w:sz w:val="24"/>
        </w:rPr>
        <w:t>每个场景运行12秒，共6圈。目标初始位置、前后间隔和交叉关系随种子变化，一半目标沿零度航向飞行，另一半沿负30度航向飞行。四档条件均保留0.4毫弧度固定云台偏差和0.3毫弧度逐帧随机抖动。</w:t>
      </w:r>
    </w:p>
    <w:tbl>
      <w:tblPr>
        <w:tblStyle w:val="TableGrid"/>
        <w:tblW w:type="auto" w:w="0"/>
        <w:jc w:val="center"/>
        <w:tblLayout w:type="autofit"/>
        <w:tblLook w:firstColumn="1" w:firstRow="1" w:lastColumn="0" w:lastRow="0" w:noHBand="0" w:noVBand="1" w:val="04A0"/>
      </w:tblPr>
      <w:tblGrid>
        <w:gridCol w:w="2310"/>
        <w:gridCol w:w="2310"/>
        <w:gridCol w:w="2310"/>
        <w:gridCol w:w="2310"/>
      </w:tblGrid>
      <w:tr>
        <w:trPr>
          <w:cantSplit/>
          <w:tblHeader w:val="true"/>
        </w:trPr>
        <w:tc>
          <w:tcPr>
            <w:tcW w:type="dxa" w:w="2310"/>
            <w:vAlign w:val="center"/>
            <w:shd w:fill="1F5F99"/>
          </w:tcPr>
          <w:p>
            <w:pPr>
              <w:spacing w:before="10" w:after="10" w:line="240" w:lineRule="auto"/>
              <w:ind w:firstLine="0"/>
              <w:jc w:val="center"/>
            </w:pPr>
            <w:r>
              <w:rPr>
                <w:rFonts w:ascii="Times New Roman" w:hAnsi="Times New Roman" w:eastAsia="黑体"/>
                <w:b/>
                <w:color w:val="FFFFFF"/>
                <w:sz w:val="18"/>
              </w:rPr>
              <w:t>干扰条件</w:t>
            </w:r>
          </w:p>
        </w:tc>
        <w:tc>
          <w:tcPr>
            <w:tcW w:type="dxa" w:w="2310"/>
            <w:vAlign w:val="center"/>
            <w:shd w:fill="1F5F99"/>
          </w:tcPr>
          <w:p>
            <w:pPr>
              <w:spacing w:before="10" w:after="10" w:line="240" w:lineRule="auto"/>
              <w:ind w:firstLine="0"/>
              <w:jc w:val="center"/>
            </w:pPr>
            <w:r>
              <w:rPr>
                <w:rFonts w:ascii="Times New Roman" w:hAnsi="Times New Roman" w:eastAsia="黑体"/>
                <w:b/>
                <w:color w:val="FFFFFF"/>
                <w:sz w:val="18"/>
              </w:rPr>
              <w:t>随机漏检率</w:t>
            </w:r>
          </w:p>
        </w:tc>
        <w:tc>
          <w:tcPr>
            <w:tcW w:type="dxa" w:w="2310"/>
            <w:vAlign w:val="center"/>
            <w:shd w:fill="1F5F99"/>
          </w:tcPr>
          <w:p>
            <w:pPr>
              <w:spacing w:before="10" w:after="10" w:line="240" w:lineRule="auto"/>
              <w:ind w:firstLine="0"/>
              <w:jc w:val="center"/>
            </w:pPr>
            <w:r>
              <w:rPr>
                <w:rFonts w:ascii="Times New Roman" w:hAnsi="Times New Roman" w:eastAsia="黑体"/>
                <w:b/>
                <w:color w:val="FFFFFF"/>
                <w:sz w:val="18"/>
              </w:rPr>
              <w:t>每台每秒瞬时虚警</w:t>
            </w:r>
          </w:p>
        </w:tc>
        <w:tc>
          <w:tcPr>
            <w:tcW w:type="dxa" w:w="2310"/>
            <w:vAlign w:val="center"/>
            <w:shd w:fill="1F5F99"/>
          </w:tcPr>
          <w:p>
            <w:pPr>
              <w:spacing w:before="10" w:after="10" w:line="240" w:lineRule="auto"/>
              <w:ind w:firstLine="0"/>
              <w:jc w:val="center"/>
            </w:pPr>
            <w:r>
              <w:rPr>
                <w:rFonts w:ascii="Times New Roman" w:hAnsi="Times New Roman" w:eastAsia="黑体"/>
                <w:b/>
                <w:color w:val="FFFFFF"/>
                <w:sz w:val="18"/>
              </w:rPr>
              <w:t>每台持续虚警</w:t>
            </w:r>
          </w:p>
        </w:tc>
      </w:tr>
      <w:tr>
        <w:trPr>
          <w:cantSplit/>
        </w:trPr>
        <w:tc>
          <w:tcPr>
            <w:tcW w:type="dxa" w:w="2310"/>
            <w:vAlign w:val="center"/>
            <w:shd w:fill="FFFFFF"/>
          </w:tcPr>
          <w:p>
            <w:pPr>
              <w:spacing w:before="10" w:after="10" w:line="240" w:lineRule="auto"/>
              <w:ind w:firstLine="0"/>
              <w:jc w:val="center"/>
            </w:pPr>
            <w:r>
              <w:rPr>
                <w:rFonts w:ascii="Times New Roman" w:hAnsi="Times New Roman" w:eastAsia="宋体"/>
                <w:b w:val="0"/>
                <w:color w:val="202833"/>
                <w:sz w:val="18"/>
              </w:rPr>
              <w:t>无干扰</w:t>
            </w:r>
          </w:p>
        </w:tc>
        <w:tc>
          <w:tcPr>
            <w:tcW w:type="dxa" w:w="2310"/>
            <w:vAlign w:val="center"/>
            <w:shd w:fill="FFFFFF"/>
          </w:tcPr>
          <w:p>
            <w:pPr>
              <w:spacing w:before="10" w:after="10" w:line="240" w:lineRule="auto"/>
              <w:ind w:firstLine="0"/>
              <w:jc w:val="center"/>
            </w:pPr>
            <w:r>
              <w:rPr>
                <w:rFonts w:ascii="Times New Roman" w:hAnsi="Times New Roman" w:eastAsia="宋体"/>
                <w:b w:val="0"/>
                <w:color w:val="202833"/>
                <w:sz w:val="18"/>
              </w:rPr>
              <w:t>0</w:t>
            </w:r>
          </w:p>
        </w:tc>
        <w:tc>
          <w:tcPr>
            <w:tcW w:type="dxa" w:w="2310"/>
            <w:vAlign w:val="center"/>
            <w:shd w:fill="FFFFFF"/>
          </w:tcPr>
          <w:p>
            <w:pPr>
              <w:spacing w:before="10" w:after="10" w:line="240" w:lineRule="auto"/>
              <w:ind w:firstLine="0"/>
              <w:jc w:val="center"/>
            </w:pPr>
            <w:r>
              <w:rPr>
                <w:rFonts w:ascii="Times New Roman" w:hAnsi="Times New Roman" w:eastAsia="宋体"/>
                <w:b w:val="0"/>
                <w:color w:val="202833"/>
                <w:sz w:val="18"/>
              </w:rPr>
              <w:t>0</w:t>
            </w:r>
          </w:p>
        </w:tc>
        <w:tc>
          <w:tcPr>
            <w:tcW w:type="dxa" w:w="2310"/>
            <w:vAlign w:val="center"/>
            <w:shd w:fill="FFFFFF"/>
          </w:tcPr>
          <w:p>
            <w:pPr>
              <w:spacing w:before="10" w:after="10" w:line="240" w:lineRule="auto"/>
              <w:ind w:firstLine="0"/>
              <w:jc w:val="center"/>
            </w:pPr>
            <w:r>
              <w:rPr>
                <w:rFonts w:ascii="Times New Roman" w:hAnsi="Times New Roman" w:eastAsia="宋体"/>
                <w:b w:val="0"/>
                <w:color w:val="202833"/>
                <w:sz w:val="18"/>
              </w:rPr>
              <w:t>0</w:t>
            </w:r>
          </w:p>
        </w:tc>
      </w:tr>
      <w:tr>
        <w:trPr>
          <w:cantSplit/>
        </w:trPr>
        <w:tc>
          <w:tcPr>
            <w:tcW w:type="dxa" w:w="2310"/>
            <w:vAlign w:val="center"/>
            <w:shd w:fill="F1F5F8"/>
          </w:tcPr>
          <w:p>
            <w:pPr>
              <w:spacing w:before="10" w:after="10" w:line="240" w:lineRule="auto"/>
              <w:ind w:firstLine="0"/>
              <w:jc w:val="center"/>
            </w:pPr>
            <w:r>
              <w:rPr>
                <w:rFonts w:ascii="Times New Roman" w:hAnsi="Times New Roman" w:eastAsia="宋体"/>
                <w:b w:val="0"/>
                <w:color w:val="202833"/>
                <w:sz w:val="18"/>
              </w:rPr>
              <w:t>轻度干扰</w:t>
            </w:r>
          </w:p>
        </w:tc>
        <w:tc>
          <w:tcPr>
            <w:tcW w:type="dxa" w:w="2310"/>
            <w:vAlign w:val="center"/>
            <w:shd w:fill="F1F5F8"/>
          </w:tcPr>
          <w:p>
            <w:pPr>
              <w:spacing w:before="10" w:after="10" w:line="240" w:lineRule="auto"/>
              <w:ind w:firstLine="0"/>
              <w:jc w:val="center"/>
            </w:pPr>
            <w:r>
              <w:rPr>
                <w:rFonts w:ascii="Times New Roman" w:hAnsi="Times New Roman" w:eastAsia="宋体"/>
                <w:b w:val="0"/>
                <w:color w:val="202833"/>
                <w:sz w:val="18"/>
              </w:rPr>
              <w:t>3%</w:t>
            </w:r>
          </w:p>
        </w:tc>
        <w:tc>
          <w:tcPr>
            <w:tcW w:type="dxa" w:w="2310"/>
            <w:vAlign w:val="center"/>
            <w:shd w:fill="F1F5F8"/>
          </w:tcPr>
          <w:p>
            <w:pPr>
              <w:spacing w:before="10" w:after="10" w:line="240" w:lineRule="auto"/>
              <w:ind w:firstLine="0"/>
              <w:jc w:val="center"/>
            </w:pPr>
            <w:r>
              <w:rPr>
                <w:rFonts w:ascii="Times New Roman" w:hAnsi="Times New Roman" w:eastAsia="宋体"/>
                <w:b w:val="0"/>
                <w:color w:val="202833"/>
                <w:sz w:val="18"/>
              </w:rPr>
              <w:t>2个</w:t>
            </w:r>
          </w:p>
        </w:tc>
        <w:tc>
          <w:tcPr>
            <w:tcW w:type="dxa" w:w="2310"/>
            <w:vAlign w:val="center"/>
            <w:shd w:fill="F1F5F8"/>
          </w:tcPr>
          <w:p>
            <w:pPr>
              <w:spacing w:before="10" w:after="10" w:line="240" w:lineRule="auto"/>
              <w:ind w:firstLine="0"/>
              <w:jc w:val="center"/>
            </w:pPr>
            <w:r>
              <w:rPr>
                <w:rFonts w:ascii="Times New Roman" w:hAnsi="Times New Roman" w:eastAsia="宋体"/>
                <w:b w:val="0"/>
                <w:color w:val="202833"/>
                <w:sz w:val="18"/>
              </w:rPr>
              <w:t>0</w:t>
            </w:r>
          </w:p>
        </w:tc>
      </w:tr>
      <w:tr>
        <w:trPr>
          <w:cantSplit/>
        </w:trPr>
        <w:tc>
          <w:tcPr>
            <w:tcW w:type="dxa" w:w="2310"/>
            <w:vAlign w:val="center"/>
            <w:shd w:fill="FFFFFF"/>
          </w:tcPr>
          <w:p>
            <w:pPr>
              <w:spacing w:before="10" w:after="10" w:line="240" w:lineRule="auto"/>
              <w:ind w:firstLine="0"/>
              <w:jc w:val="center"/>
            </w:pPr>
            <w:r>
              <w:rPr>
                <w:rFonts w:ascii="Times New Roman" w:hAnsi="Times New Roman" w:eastAsia="宋体"/>
                <w:b w:val="0"/>
                <w:color w:val="202833"/>
                <w:sz w:val="18"/>
              </w:rPr>
              <w:t>中度干扰</w:t>
            </w:r>
          </w:p>
        </w:tc>
        <w:tc>
          <w:tcPr>
            <w:tcW w:type="dxa" w:w="2310"/>
            <w:vAlign w:val="center"/>
            <w:shd w:fill="FFFFFF"/>
          </w:tcPr>
          <w:p>
            <w:pPr>
              <w:spacing w:before="10" w:after="10" w:line="240" w:lineRule="auto"/>
              <w:ind w:firstLine="0"/>
              <w:jc w:val="center"/>
            </w:pPr>
            <w:r>
              <w:rPr>
                <w:rFonts w:ascii="Times New Roman" w:hAnsi="Times New Roman" w:eastAsia="宋体"/>
                <w:b w:val="0"/>
                <w:color w:val="202833"/>
                <w:sz w:val="18"/>
              </w:rPr>
              <w:t>7%</w:t>
            </w:r>
          </w:p>
        </w:tc>
        <w:tc>
          <w:tcPr>
            <w:tcW w:type="dxa" w:w="2310"/>
            <w:vAlign w:val="center"/>
            <w:shd w:fill="FFFFFF"/>
          </w:tcPr>
          <w:p>
            <w:pPr>
              <w:spacing w:before="10" w:after="10" w:line="240" w:lineRule="auto"/>
              <w:ind w:firstLine="0"/>
              <w:jc w:val="center"/>
            </w:pPr>
            <w:r>
              <w:rPr>
                <w:rFonts w:ascii="Times New Roman" w:hAnsi="Times New Roman" w:eastAsia="宋体"/>
                <w:b w:val="0"/>
                <w:color w:val="202833"/>
                <w:sz w:val="18"/>
              </w:rPr>
              <w:t>4个</w:t>
            </w:r>
          </w:p>
        </w:tc>
        <w:tc>
          <w:tcPr>
            <w:tcW w:type="dxa" w:w="2310"/>
            <w:vAlign w:val="center"/>
            <w:shd w:fill="FFFFFF"/>
          </w:tcPr>
          <w:p>
            <w:pPr>
              <w:spacing w:before="10" w:after="10" w:line="240" w:lineRule="auto"/>
              <w:ind w:firstLine="0"/>
              <w:jc w:val="center"/>
            </w:pPr>
            <w:r>
              <w:rPr>
                <w:rFonts w:ascii="Times New Roman" w:hAnsi="Times New Roman" w:eastAsia="宋体"/>
                <w:b w:val="0"/>
                <w:color w:val="202833"/>
                <w:sz w:val="18"/>
              </w:rPr>
              <w:t>1个</w:t>
            </w:r>
          </w:p>
        </w:tc>
      </w:tr>
      <w:tr>
        <w:trPr>
          <w:cantSplit/>
        </w:trPr>
        <w:tc>
          <w:tcPr>
            <w:tcW w:type="dxa" w:w="2310"/>
            <w:vAlign w:val="center"/>
            <w:shd w:fill="F1F5F8"/>
          </w:tcPr>
          <w:p>
            <w:pPr>
              <w:spacing w:before="10" w:after="10" w:line="240" w:lineRule="auto"/>
              <w:ind w:firstLine="0"/>
              <w:jc w:val="center"/>
            </w:pPr>
            <w:r>
              <w:rPr>
                <w:rFonts w:ascii="Times New Roman" w:hAnsi="Times New Roman" w:eastAsia="宋体"/>
                <w:b w:val="0"/>
                <w:color w:val="202833"/>
                <w:sz w:val="18"/>
              </w:rPr>
              <w:t>重度干扰</w:t>
            </w:r>
          </w:p>
        </w:tc>
        <w:tc>
          <w:tcPr>
            <w:tcW w:type="dxa" w:w="2310"/>
            <w:vAlign w:val="center"/>
            <w:shd w:fill="F1F5F8"/>
          </w:tcPr>
          <w:p>
            <w:pPr>
              <w:spacing w:before="10" w:after="10" w:line="240" w:lineRule="auto"/>
              <w:ind w:firstLine="0"/>
              <w:jc w:val="center"/>
            </w:pPr>
            <w:r>
              <w:rPr>
                <w:rFonts w:ascii="Times New Roman" w:hAnsi="Times New Roman" w:eastAsia="宋体"/>
                <w:b w:val="0"/>
                <w:color w:val="202833"/>
                <w:sz w:val="18"/>
              </w:rPr>
              <w:t>12%</w:t>
            </w:r>
          </w:p>
        </w:tc>
        <w:tc>
          <w:tcPr>
            <w:tcW w:type="dxa" w:w="2310"/>
            <w:vAlign w:val="center"/>
            <w:shd w:fill="F1F5F8"/>
          </w:tcPr>
          <w:p>
            <w:pPr>
              <w:spacing w:before="10" w:after="10" w:line="240" w:lineRule="auto"/>
              <w:ind w:firstLine="0"/>
              <w:jc w:val="center"/>
            </w:pPr>
            <w:r>
              <w:rPr>
                <w:rFonts w:ascii="Times New Roman" w:hAnsi="Times New Roman" w:eastAsia="宋体"/>
                <w:b w:val="0"/>
                <w:color w:val="202833"/>
                <w:sz w:val="18"/>
              </w:rPr>
              <w:t>8个</w:t>
            </w:r>
          </w:p>
        </w:tc>
        <w:tc>
          <w:tcPr>
            <w:tcW w:type="dxa" w:w="2310"/>
            <w:vAlign w:val="center"/>
            <w:shd w:fill="F1F5F8"/>
          </w:tcPr>
          <w:p>
            <w:pPr>
              <w:spacing w:before="10" w:after="10" w:line="240" w:lineRule="auto"/>
              <w:ind w:firstLine="0"/>
              <w:jc w:val="center"/>
            </w:pPr>
            <w:r>
              <w:rPr>
                <w:rFonts w:ascii="Times New Roman" w:hAnsi="Times New Roman" w:eastAsia="宋体"/>
                <w:b w:val="0"/>
                <w:color w:val="202833"/>
                <w:sz w:val="18"/>
              </w:rPr>
              <w:t>2个</w:t>
            </w:r>
          </w:p>
        </w:tc>
      </w:tr>
    </w:tbl>
    <w:p>
      <w:pPr>
        <w:spacing w:after="20"/>
      </w:pPr>
    </w:p>
    <w:p>
      <w:pPr>
        <w:pStyle w:val="Heading2"/>
      </w:pPr>
      <w:r>
        <w:rPr>
          <w:rFonts w:ascii="Times New Roman" w:hAnsi="Times New Roman" w:eastAsia="宋体"/>
          <w:color w:val="176B73"/>
          <w:sz w:val="28"/>
        </w:rPr>
        <w:t>2.3 180度扫描</w:t>
      </w:r>
    </w:p>
    <w:p>
      <w:pPr>
        <w:widowControl/>
      </w:pPr>
      <w:r>
        <w:rPr>
          <w:rFonts w:ascii="Times New Roman" w:hAnsi="Times New Roman" w:eastAsia="宋体"/>
          <w:color w:val="202833"/>
          <w:sz w:val="24"/>
        </w:rPr>
        <w:t>180度试验把单程扫描时间缩短为1秒，机械往返周期仍为2秒。场景持续12秒，每秒形成一次双站关联结果。20、40和60目标分别使用8个训练种子、2个验证种子和5个保留测试种子，结果只取5个测试场景的第12轮。</w:t>
      </w:r>
    </w:p>
    <w:tbl>
      <w:tblPr>
        <w:tblStyle w:val="TableGrid"/>
        <w:tblW w:type="auto" w:w="0"/>
        <w:jc w:val="center"/>
        <w:tblLayout w:type="autofit"/>
        <w:tblLook w:firstColumn="1" w:firstRow="1" w:lastColumn="0" w:lastRow="0" w:noHBand="0" w:noVBand="1" w:val="04A0"/>
      </w:tblPr>
      <w:tblGrid>
        <w:gridCol w:w="4621"/>
        <w:gridCol w:w="4621"/>
      </w:tblGrid>
      <w:tr>
        <w:trPr>
          <w:cantSplit/>
          <w:tblHeader w:val="true"/>
        </w:trPr>
        <w:tc>
          <w:tcPr>
            <w:tcW w:type="dxa" w:w="4621"/>
            <w:vAlign w:val="center"/>
            <w:shd w:fill="1F5F99"/>
          </w:tcPr>
          <w:p>
            <w:pPr>
              <w:spacing w:before="10" w:after="10" w:line="240" w:lineRule="auto"/>
              <w:ind w:firstLine="0"/>
              <w:jc w:val="center"/>
            </w:pPr>
            <w:r>
              <w:rPr>
                <w:rFonts w:ascii="Times New Roman" w:hAnsi="Times New Roman" w:eastAsia="黑体"/>
                <w:b/>
                <w:color w:val="FFFFFF"/>
                <w:sz w:val="18"/>
              </w:rPr>
              <w:t>项目</w:t>
            </w:r>
          </w:p>
        </w:tc>
        <w:tc>
          <w:tcPr>
            <w:tcW w:type="dxa" w:w="4621"/>
            <w:vAlign w:val="center"/>
            <w:shd w:fill="1F5F99"/>
          </w:tcPr>
          <w:p>
            <w:pPr>
              <w:spacing w:before="10" w:after="10" w:line="240" w:lineRule="auto"/>
              <w:ind w:firstLine="0"/>
              <w:jc w:val="center"/>
            </w:pPr>
            <w:r>
              <w:rPr>
                <w:rFonts w:ascii="Times New Roman" w:hAnsi="Times New Roman" w:eastAsia="黑体"/>
                <w:b/>
                <w:color w:val="FFFFFF"/>
                <w:sz w:val="18"/>
              </w:rPr>
              <w:t>设置</w:t>
            </w:r>
          </w:p>
        </w:tc>
      </w:tr>
      <w:tr>
        <w:trPr>
          <w:cantSplit/>
        </w:trPr>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光电数量与基线</w:t>
            </w:r>
          </w:p>
        </w:tc>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2台固定光电，横向间隔2千米</w:t>
            </w:r>
          </w:p>
        </w:tc>
      </w:tr>
      <w:tr>
        <w:trPr>
          <w:cantSplit/>
        </w:trPr>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目标尺寸与速度</w:t>
            </w:r>
          </w:p>
        </w:tc>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长度3米，速度50米/秒</w:t>
            </w:r>
          </w:p>
        </w:tc>
      </w:tr>
      <w:tr>
        <w:trPr>
          <w:cantSplit/>
        </w:trPr>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扫描方式</w:t>
            </w:r>
          </w:p>
        </w:tc>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1秒单程180度，2秒机械往返</w:t>
            </w:r>
          </w:p>
        </w:tc>
      </w:tr>
      <w:tr>
        <w:trPr>
          <w:cantSplit/>
        </w:trPr>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场景时长</w:t>
            </w:r>
          </w:p>
        </w:tc>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12秒，共12轮</w:t>
            </w:r>
          </w:p>
        </w:tc>
      </w:tr>
      <w:tr>
        <w:trPr>
          <w:cantSplit/>
        </w:trPr>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目标规模</w:t>
            </w:r>
          </w:p>
        </w:tc>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20、40、60</w:t>
            </w:r>
          </w:p>
        </w:tc>
      </w:tr>
      <w:tr>
        <w:trPr>
          <w:cantSplit/>
        </w:trPr>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固定姿态偏差</w:t>
            </w:r>
          </w:p>
        </w:tc>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均方根0.4毫弧度</w:t>
            </w:r>
          </w:p>
        </w:tc>
      </w:tr>
      <w:tr>
        <w:trPr>
          <w:cantSplit/>
        </w:trPr>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随机姿态抖动</w:t>
            </w:r>
          </w:p>
        </w:tc>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均方根0.3毫弧度</w:t>
            </w:r>
          </w:p>
        </w:tc>
      </w:tr>
      <w:tr>
        <w:trPr>
          <w:cantSplit/>
        </w:trPr>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轻度干扰</w:t>
            </w:r>
          </w:p>
        </w:tc>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3%漏检，每台相机每秒2个虚警</w:t>
            </w:r>
          </w:p>
        </w:tc>
      </w:tr>
      <w:tr>
        <w:trPr>
          <w:cantSplit/>
        </w:trPr>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在线期限</w:t>
            </w:r>
          </w:p>
        </w:tc>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每轮1000毫秒</w:t>
            </w:r>
          </w:p>
        </w:tc>
      </w:tr>
    </w:tbl>
    <w:p>
      <w:pPr>
        <w:spacing w:after="20"/>
      </w:pPr>
    </w:p>
    <w:p>
      <w:pPr>
        <w:widowControl/>
      </w:pPr>
      <w:r>
        <w:rPr>
          <w:rFonts w:ascii="Times New Roman" w:hAnsi="Times New Roman" w:eastAsia="宋体"/>
          <w:color w:val="202833"/>
          <w:sz w:val="24"/>
        </w:rPr>
        <w:t>三条路线共享同一批匿名单站航迹和候选关系。20目标共享航迹器通过验收；40目标错误重接率超过门限，60目标同时存在错误重接率和航迹器耗时问题，因此40和60目标只作为诊断。</w:t>
      </w:r>
    </w:p>
    <w:p>
      <w:pPr>
        <w:pStyle w:val="Heading2"/>
      </w:pPr>
      <w:r>
        <w:rPr>
          <w:rFonts w:ascii="Times New Roman" w:hAnsi="Times New Roman" w:eastAsia="宋体"/>
          <w:color w:val="176B73"/>
          <w:sz w:val="28"/>
        </w:rPr>
        <w:t>2.4 40目标交汇定位演示</w:t>
      </w:r>
    </w:p>
    <w:p>
      <w:pPr>
        <w:widowControl/>
      </w:pPr>
      <w:r>
        <w:rPr>
          <w:rFonts w:ascii="Times New Roman" w:hAnsi="Times New Roman" w:eastAsia="宋体"/>
          <w:color w:val="202833"/>
          <w:sz w:val="24"/>
        </w:rPr>
        <w:t>交汇定位演示采用AirSim计算机视觉模式。两台光电横向间隔2千米，40个无人机网格目标在三维空间以50米/秒运动，目标之间最近间隔约27.1米。扫描范围为正负45度，0.5秒完成单程，1秒完成往返。检测使用仿真元数据，真实编号只用于离线核对。</w:t>
      </w:r>
    </w:p>
    <w:p>
      <w:pPr>
        <w:keepLines/>
        <w:spacing w:before="120"/>
        <w:ind w:firstLine="0"/>
        <w:jc w:val="center"/>
      </w:pPr>
      <w:r>
        <w:drawing>
          <wp:inline xmlns:a="http://schemas.openxmlformats.org/drawingml/2006/main" xmlns:pic="http://schemas.openxmlformats.org/drawingml/2006/picture">
            <wp:extent cx="5353427" cy="4248000"/>
            <wp:docPr id="7" name="Picture 7"/>
            <wp:cNvGraphicFramePr>
              <a:graphicFrameLocks noChangeAspect="1"/>
            </wp:cNvGraphicFramePr>
            <a:graphic>
              <a:graphicData uri="http://schemas.openxmlformats.org/drawingml/2006/picture">
                <pic:pic>
                  <pic:nvPicPr>
                    <pic:cNvPr id="0" name="06_airsim_scene_40_targets_cn.png"/>
                    <pic:cNvPicPr/>
                  </pic:nvPicPr>
                  <pic:blipFill>
                    <a:blip r:embed="rId17"/>
                    <a:stretch>
                      <a:fillRect/>
                    </a:stretch>
                  </pic:blipFill>
                  <pic:spPr>
                    <a:xfrm>
                      <a:off x="0" y="0"/>
                      <a:ext cx="5353427" cy="4248000"/>
                    </a:xfrm>
                    <a:prstGeom prst="rect"/>
                  </pic:spPr>
                </pic:pic>
              </a:graphicData>
            </a:graphic>
          </wp:inline>
        </w:drawing>
      </w:r>
    </w:p>
    <w:p>
      <w:pPr>
        <w:spacing w:after="100"/>
        <w:ind w:firstLine="0"/>
        <w:jc w:val="center"/>
      </w:pPr>
      <w:r>
        <w:rPr>
          <w:rFonts w:ascii="Times New Roman" w:hAnsi="Times New Roman" w:eastAsia="宋体"/>
          <w:color w:val="5F6B78"/>
          <w:sz w:val="18"/>
        </w:rPr>
        <w:t>图 7  40目标三维AirSim场景</w:t>
      </w:r>
    </w:p>
    <w:p>
      <w:pPr>
        <w:keepLines/>
        <w:spacing w:before="120"/>
        <w:ind w:firstLine="0"/>
        <w:jc w:val="center"/>
      </w:pPr>
      <w:r>
        <w:drawing>
          <wp:inline xmlns:a="http://schemas.openxmlformats.org/drawingml/2006/main" xmlns:pic="http://schemas.openxmlformats.org/drawingml/2006/picture">
            <wp:extent cx="5760000" cy="2802306"/>
            <wp:docPr id="8" name="Picture 8"/>
            <wp:cNvGraphicFramePr>
              <a:graphicFrameLocks noChangeAspect="1"/>
            </wp:cNvGraphicFramePr>
            <a:graphic>
              <a:graphicData uri="http://schemas.openxmlformats.org/drawingml/2006/picture">
                <pic:pic>
                  <pic:nvPicPr>
                    <pic:cNvPr id="0" name="07_airsim_optical_observations_cn.png"/>
                    <pic:cNvPicPr/>
                  </pic:nvPicPr>
                  <pic:blipFill>
                    <a:blip r:embed="rId18"/>
                    <a:stretch>
                      <a:fillRect/>
                    </a:stretch>
                  </pic:blipFill>
                  <pic:spPr>
                    <a:xfrm>
                      <a:off x="0" y="0"/>
                      <a:ext cx="5760000" cy="2802306"/>
                    </a:xfrm>
                    <a:prstGeom prst="rect"/>
                  </pic:spPr>
                </pic:pic>
              </a:graphicData>
            </a:graphic>
          </wp:inline>
        </w:drawing>
      </w:r>
    </w:p>
    <w:p>
      <w:pPr>
        <w:spacing w:after="100"/>
        <w:ind w:firstLine="0"/>
        <w:jc w:val="center"/>
      </w:pPr>
      <w:r>
        <w:rPr>
          <w:rFonts w:ascii="Times New Roman" w:hAnsi="Times New Roman" w:eastAsia="宋体"/>
          <w:color w:val="5F6B78"/>
          <w:sz w:val="18"/>
        </w:rPr>
        <w:t>图 8  两台光电在同一扫描时刻看到的目标子集</w:t>
      </w:r>
    </w:p>
    <w:p>
      <w:pPr>
        <w:widowControl/>
      </w:pPr>
      <w:r>
        <w:rPr>
          <w:rFonts w:ascii="Times New Roman" w:hAnsi="Times New Roman" w:eastAsia="宋体"/>
          <w:color w:val="202833"/>
          <w:sz w:val="24"/>
        </w:rPr>
        <w:t>该演示采用单个种子，设备位姿、时间同步和检测结果为理想条件，没有注入姿态误差、漏检和虚警。它用于确认“单站航迹、双站配准、交汇定位、速度拟合、离线评分”能够贯通，不能替代360度理想单站规模矩阵，也不能作为实际装备精度指标。</w:t>
      </w:r>
    </w:p>
    <w:p>
      <w:pPr>
        <w:pStyle w:val="Heading2"/>
      </w:pPr>
      <w:r>
        <w:rPr>
          <w:rFonts w:ascii="Times New Roman" w:hAnsi="Times New Roman" w:eastAsia="宋体"/>
          <w:color w:val="176B73"/>
          <w:sz w:val="28"/>
        </w:rPr>
        <w:t>2.5 证据边界</w:t>
      </w:r>
    </w:p>
    <w:p>
      <w:pPr>
        <w:widowControl/>
      </w:pPr>
      <w:r>
        <w:rPr>
          <w:rFonts w:ascii="Times New Roman" w:hAnsi="Times New Roman" w:eastAsia="宋体"/>
          <w:color w:val="202833"/>
          <w:sz w:val="24"/>
        </w:rPr>
        <w:t>三组关联试验只报告最后一圈或最后一轮的关联精度、目标覆盖度和端到端耗时P95。360度20目标三路线同输入对照是封存回放诊断；分规模批次中没有运行的算法写“未开展”。180度20目标结果使用通过验收的共享航迹器，40和60目标结果因航迹器未通过验收而标为诊断。不同目标规模采用不同随机场景和分别冻结的模型，不能据此推导目标数量与精度之间的单变量关系。</w:t>
      </w:r>
    </w:p>
    <w:p>
      <w:pPr>
        <w:pStyle w:val="Heading1"/>
        <w:pageBreakBefore/>
      </w:pPr>
      <w:r>
        <w:rPr>
          <w:rFonts w:ascii="Times New Roman" w:hAnsi="Times New Roman" w:eastAsia="宋体"/>
          <w:color w:val="1F4E78"/>
          <w:sz w:val="33"/>
        </w:rPr>
        <w:t>三、试验结果</w:t>
      </w:r>
    </w:p>
    <w:p>
      <w:pPr>
        <w:pStyle w:val="Heading2"/>
      </w:pPr>
      <w:r>
        <w:rPr>
          <w:rFonts w:ascii="Times New Roman" w:hAnsi="Times New Roman" w:eastAsia="宋体"/>
          <w:color w:val="176B73"/>
          <w:sz w:val="28"/>
        </w:rPr>
        <w:t>3.1 360度理想单站条件</w:t>
      </w:r>
    </w:p>
    <w:p>
      <w:pPr>
        <w:widowControl/>
      </w:pPr>
      <w:r>
        <w:rPr>
          <w:rFonts w:ascii="Times New Roman" w:hAnsi="Times New Roman" w:eastAsia="宋体"/>
          <w:color w:val="202833"/>
          <w:sz w:val="24"/>
        </w:rPr>
        <w:t>理想单站条件用于回答一个独立问题：单站航迹身份全部正确时，双站几何和关系评分能否在20、40、60目标下稳定完成配准。所需九个组合尚未形成完整试验记录，表中全部保留为待测试。</w:t>
      </w:r>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cantSplit/>
          <w:tblHeader w:val="true"/>
        </w:trPr>
        <w:tc>
          <w:tcPr>
            <w:tcW w:type="dxa" w:w="1540"/>
            <w:vAlign w:val="center"/>
            <w:shd w:fill="1F5F99"/>
          </w:tcPr>
          <w:p>
            <w:pPr>
              <w:spacing w:before="10" w:after="10" w:line="240" w:lineRule="auto"/>
              <w:ind w:firstLine="0"/>
              <w:jc w:val="center"/>
            </w:pPr>
            <w:r>
              <w:rPr>
                <w:rFonts w:ascii="Times New Roman" w:hAnsi="Times New Roman" w:eastAsia="黑体"/>
                <w:b/>
                <w:color w:val="FFFFFF"/>
                <w:sz w:val="18"/>
              </w:rPr>
              <w:t>目标数</w:t>
            </w:r>
          </w:p>
        </w:tc>
        <w:tc>
          <w:tcPr>
            <w:tcW w:type="dxa" w:w="1540"/>
            <w:vAlign w:val="center"/>
            <w:shd w:fill="1F5F99"/>
          </w:tcPr>
          <w:p>
            <w:pPr>
              <w:spacing w:before="10" w:after="10" w:line="240" w:lineRule="auto"/>
              <w:ind w:firstLine="0"/>
              <w:jc w:val="center"/>
            </w:pPr>
            <w:r>
              <w:rPr>
                <w:rFonts w:ascii="Times New Roman" w:hAnsi="Times New Roman" w:eastAsia="黑体"/>
                <w:b/>
                <w:color w:val="FFFFFF"/>
                <w:sz w:val="18"/>
              </w:rPr>
              <w:t>方法</w:t>
            </w:r>
          </w:p>
        </w:tc>
        <w:tc>
          <w:tcPr>
            <w:tcW w:type="dxa" w:w="1540"/>
            <w:vAlign w:val="center"/>
            <w:shd w:fill="1F5F99"/>
          </w:tcPr>
          <w:p>
            <w:pPr>
              <w:spacing w:before="10" w:after="10" w:line="240" w:lineRule="auto"/>
              <w:ind w:firstLine="0"/>
              <w:jc w:val="center"/>
            </w:pPr>
            <w:r>
              <w:rPr>
                <w:rFonts w:ascii="Times New Roman" w:hAnsi="Times New Roman" w:eastAsia="黑体"/>
                <w:b/>
                <w:color w:val="FFFFFF"/>
                <w:sz w:val="18"/>
              </w:rPr>
              <w:t>最后一圈关联精度</w:t>
            </w:r>
          </w:p>
        </w:tc>
        <w:tc>
          <w:tcPr>
            <w:tcW w:type="dxa" w:w="1540"/>
            <w:vAlign w:val="center"/>
            <w:shd w:fill="1F5F99"/>
          </w:tcPr>
          <w:p>
            <w:pPr>
              <w:spacing w:before="10" w:after="10" w:line="240" w:lineRule="auto"/>
              <w:ind w:firstLine="0"/>
              <w:jc w:val="center"/>
            </w:pPr>
            <w:r>
              <w:rPr>
                <w:rFonts w:ascii="Times New Roman" w:hAnsi="Times New Roman" w:eastAsia="黑体"/>
                <w:b/>
                <w:color w:val="FFFFFF"/>
                <w:sz w:val="18"/>
              </w:rPr>
              <w:t>最后一圈目标覆盖度</w:t>
            </w:r>
          </w:p>
        </w:tc>
        <w:tc>
          <w:tcPr>
            <w:tcW w:type="dxa" w:w="1540"/>
            <w:vAlign w:val="center"/>
            <w:shd w:fill="1F5F99"/>
          </w:tcPr>
          <w:p>
            <w:pPr>
              <w:spacing w:before="10" w:after="10" w:line="240" w:lineRule="auto"/>
              <w:ind w:firstLine="0"/>
              <w:jc w:val="center"/>
            </w:pPr>
            <w:r>
              <w:rPr>
                <w:rFonts w:ascii="Times New Roman" w:hAnsi="Times New Roman" w:eastAsia="黑体"/>
                <w:b/>
                <w:color w:val="FFFFFF"/>
                <w:sz w:val="18"/>
              </w:rPr>
              <w:t>处理耗时P95</w:t>
            </w:r>
          </w:p>
        </w:tc>
        <w:tc>
          <w:tcPr>
            <w:tcW w:type="dxa" w:w="1540"/>
            <w:vAlign w:val="center"/>
            <w:shd w:fill="1F5F99"/>
          </w:tcPr>
          <w:p>
            <w:pPr>
              <w:spacing w:before="10" w:after="10" w:line="240" w:lineRule="auto"/>
              <w:ind w:firstLine="0"/>
              <w:jc w:val="center"/>
            </w:pPr>
            <w:r>
              <w:rPr>
                <w:rFonts w:ascii="Times New Roman" w:hAnsi="Times New Roman" w:eastAsia="黑体"/>
                <w:b/>
                <w:color w:val="FFFFFF"/>
                <w:sz w:val="18"/>
              </w:rPr>
              <w:t>证据状态</w:t>
            </w:r>
          </w:p>
        </w:tc>
      </w:tr>
      <w:tr>
        <w:trPr>
          <w:cantSplit/>
        </w:trPr>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20</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几何方法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待测试；无机器记录</w:t>
            </w:r>
          </w:p>
        </w:tc>
      </w:tr>
      <w:tr>
        <w:trPr>
          <w:cantSplit/>
        </w:trPr>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20</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图神经网络</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待测试；无机器记录</w:t>
            </w:r>
          </w:p>
        </w:tc>
      </w:tr>
      <w:tr>
        <w:trPr>
          <w:cantSplit/>
        </w:trPr>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20</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增强型图神经网络（航迹级注意力）</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待测试；无机器记录</w:t>
            </w:r>
          </w:p>
        </w:tc>
      </w:tr>
      <w:tr>
        <w:trPr>
          <w:cantSplit/>
        </w:trPr>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40</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几何方法</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待测试；无机器记录</w:t>
            </w:r>
          </w:p>
        </w:tc>
      </w:tr>
      <w:tr>
        <w:trPr>
          <w:cantSplit/>
        </w:trPr>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40</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图神经网络</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待测试；无机器记录</w:t>
            </w:r>
          </w:p>
        </w:tc>
      </w:tr>
      <w:tr>
        <w:trPr>
          <w:cantSplit/>
        </w:trPr>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40</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增强型图神经网络（航迹级注意力）</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待测试；无机器记录</w:t>
            </w:r>
          </w:p>
        </w:tc>
      </w:tr>
      <w:tr>
        <w:trPr>
          <w:cantSplit/>
        </w:trPr>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60</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几何方法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待测试；无机器记录</w:t>
            </w:r>
          </w:p>
        </w:tc>
      </w:tr>
      <w:tr>
        <w:trPr>
          <w:cantSplit/>
        </w:trPr>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60</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图神经网络</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待测试；无机器记录</w:t>
            </w:r>
          </w:p>
        </w:tc>
      </w:tr>
      <w:tr>
        <w:trPr>
          <w:cantSplit/>
        </w:trPr>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60</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增强型图神经网络（航迹级注意力）</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待测试；无机器记录</w:t>
            </w:r>
          </w:p>
        </w:tc>
      </w:tr>
    </w:tbl>
    <w:p>
      <w:pPr>
        <w:spacing w:after="20"/>
      </w:pPr>
    </w:p>
    <w:p>
      <w:pPr>
        <w:widowControl/>
      </w:pPr>
      <w:r>
        <w:rPr>
          <w:rFonts w:ascii="Times New Roman" w:hAnsi="Times New Roman" w:eastAsia="宋体"/>
          <w:color w:val="202833"/>
          <w:sz w:val="24"/>
        </w:rPr>
        <w:t>“待测试”表示没有可引用的精度、覆盖度和耗时记录，不表示结果为0。共面约束、一一分配和双射线交汇给出了理论处理路径，40目标理想演示也形成36条正确关系，但该演示采用正负45度扫描、单个种子和独立处理链，不能证明上述360度规模矩阵已经完成验证。</w:t>
      </w:r>
    </w:p>
    <w:p>
      <w:pPr>
        <w:pStyle w:val="Heading2"/>
      </w:pPr>
      <w:r>
        <w:rPr>
          <w:rFonts w:ascii="Times New Roman" w:hAnsi="Times New Roman" w:eastAsia="宋体"/>
          <w:color w:val="176B73"/>
          <w:sz w:val="28"/>
        </w:rPr>
        <w:t>3.2 360度实际单站航迹</w:t>
      </w:r>
    </w:p>
    <w:p>
      <w:pPr>
        <w:pStyle w:val="Heading3"/>
      </w:pPr>
      <w:r>
        <w:rPr>
          <w:rFonts w:ascii="Times New Roman" w:hAnsi="Times New Roman" w:eastAsia="宋体"/>
          <w:color w:val="202833"/>
          <w:sz w:val="25"/>
        </w:rPr>
        <w:t>3.2.1 20目标三种方法同输入对照</w:t>
      </w:r>
    </w:p>
    <w:p>
      <w:pPr>
        <w:widowControl/>
      </w:pPr>
      <w:r>
        <w:rPr>
          <w:rFonts w:ascii="Times New Roman" w:hAnsi="Times New Roman" w:eastAsia="宋体"/>
          <w:color w:val="202833"/>
          <w:sz w:val="24"/>
        </w:rPr>
        <w:t>本组使用同一批20目标匿名单站航迹和5个测试场景，分别运行三种方法。表中只统计第6圈。</w:t>
      </w:r>
    </w:p>
    <w:tbl>
      <w:tblPr>
        <w:tblStyle w:val="TableGrid"/>
        <w:tblW w:type="auto" w:w="0"/>
        <w:jc w:val="center"/>
        <w:tblLayout w:type="autofit"/>
        <w:tblLook w:firstColumn="1" w:firstRow="1" w:lastColumn="0" w:lastRow="0" w:noHBand="0" w:noVBand="1" w:val="04A0"/>
      </w:tblPr>
      <w:tblGrid>
        <w:gridCol w:w="1540"/>
        <w:gridCol w:w="1540"/>
        <w:gridCol w:w="1540"/>
        <w:gridCol w:w="1540"/>
        <w:gridCol w:w="1540"/>
        <w:gridCol w:w="1540"/>
      </w:tblGrid>
      <w:tr>
        <w:trPr>
          <w:cantSplit/>
          <w:tblHeader w:val="true"/>
        </w:trPr>
        <w:tc>
          <w:tcPr>
            <w:tcW w:type="dxa" w:w="1540"/>
            <w:vAlign w:val="center"/>
            <w:shd w:fill="1F5F99"/>
          </w:tcPr>
          <w:p>
            <w:pPr>
              <w:spacing w:before="10" w:after="10" w:line="240" w:lineRule="auto"/>
              <w:ind w:firstLine="0"/>
              <w:jc w:val="center"/>
            </w:pPr>
            <w:r>
              <w:rPr>
                <w:rFonts w:ascii="Times New Roman" w:hAnsi="Times New Roman" w:eastAsia="黑体"/>
                <w:b/>
                <w:color w:val="FFFFFF"/>
                <w:sz w:val="18"/>
              </w:rPr>
              <w:t>方法</w:t>
            </w:r>
          </w:p>
        </w:tc>
        <w:tc>
          <w:tcPr>
            <w:tcW w:type="dxa" w:w="1540"/>
            <w:vAlign w:val="center"/>
            <w:shd w:fill="1F5F99"/>
          </w:tcPr>
          <w:p>
            <w:pPr>
              <w:spacing w:before="10" w:after="10" w:line="240" w:lineRule="auto"/>
              <w:ind w:firstLine="0"/>
              <w:jc w:val="center"/>
            </w:pPr>
            <w:r>
              <w:rPr>
                <w:rFonts w:ascii="Times New Roman" w:hAnsi="Times New Roman" w:eastAsia="黑体"/>
                <w:b/>
                <w:color w:val="FFFFFF"/>
                <w:sz w:val="18"/>
              </w:rPr>
              <w:t>条件</w:t>
            </w:r>
          </w:p>
        </w:tc>
        <w:tc>
          <w:tcPr>
            <w:tcW w:type="dxa" w:w="1540"/>
            <w:vAlign w:val="center"/>
            <w:shd w:fill="1F5F99"/>
          </w:tcPr>
          <w:p>
            <w:pPr>
              <w:spacing w:before="10" w:after="10" w:line="240" w:lineRule="auto"/>
              <w:ind w:firstLine="0"/>
              <w:jc w:val="center"/>
            </w:pPr>
            <w:r>
              <w:rPr>
                <w:rFonts w:ascii="Times New Roman" w:hAnsi="Times New Roman" w:eastAsia="黑体"/>
                <w:b/>
                <w:color w:val="FFFFFF"/>
                <w:sz w:val="18"/>
              </w:rPr>
              <w:t>最后一圈关联精度</w:t>
            </w:r>
          </w:p>
        </w:tc>
        <w:tc>
          <w:tcPr>
            <w:tcW w:type="dxa" w:w="1540"/>
            <w:vAlign w:val="center"/>
            <w:shd w:fill="1F5F99"/>
          </w:tcPr>
          <w:p>
            <w:pPr>
              <w:spacing w:before="10" w:after="10" w:line="240" w:lineRule="auto"/>
              <w:ind w:firstLine="0"/>
              <w:jc w:val="center"/>
            </w:pPr>
            <w:r>
              <w:rPr>
                <w:rFonts w:ascii="Times New Roman" w:hAnsi="Times New Roman" w:eastAsia="黑体"/>
                <w:b/>
                <w:color w:val="FFFFFF"/>
                <w:sz w:val="18"/>
              </w:rPr>
              <w:t>最后一圈目标覆盖度</w:t>
            </w:r>
          </w:p>
        </w:tc>
        <w:tc>
          <w:tcPr>
            <w:tcW w:type="dxa" w:w="1540"/>
            <w:vAlign w:val="center"/>
            <w:shd w:fill="1F5F99"/>
          </w:tcPr>
          <w:p>
            <w:pPr>
              <w:spacing w:before="10" w:after="10" w:line="240" w:lineRule="auto"/>
              <w:ind w:firstLine="0"/>
              <w:jc w:val="center"/>
            </w:pPr>
            <w:r>
              <w:rPr>
                <w:rFonts w:ascii="Times New Roman" w:hAnsi="Times New Roman" w:eastAsia="黑体"/>
                <w:b/>
                <w:color w:val="FFFFFF"/>
                <w:sz w:val="18"/>
              </w:rPr>
              <w:t>处理耗时P95</w:t>
            </w:r>
          </w:p>
        </w:tc>
        <w:tc>
          <w:tcPr>
            <w:tcW w:type="dxa" w:w="1540"/>
            <w:vAlign w:val="center"/>
            <w:shd w:fill="1F5F99"/>
          </w:tcPr>
          <w:p>
            <w:pPr>
              <w:spacing w:before="10" w:after="10" w:line="240" w:lineRule="auto"/>
              <w:ind w:firstLine="0"/>
              <w:jc w:val="center"/>
            </w:pPr>
            <w:r>
              <w:rPr>
                <w:rFonts w:ascii="Times New Roman" w:hAnsi="Times New Roman" w:eastAsia="黑体"/>
                <w:b/>
                <w:color w:val="FFFFFF"/>
                <w:sz w:val="18"/>
              </w:rPr>
              <w:t>证据状态</w:t>
            </w:r>
          </w:p>
        </w:tc>
      </w:tr>
      <w:tr>
        <w:trPr>
          <w:cantSplit/>
        </w:trPr>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几何方法</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无干扰</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98.8%</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85.0%</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867.9毫秒</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封存回放（诊断）</w:t>
            </w:r>
          </w:p>
        </w:tc>
      </w:tr>
      <w:tr>
        <w:trPr>
          <w:cantSplit/>
        </w:trPr>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几何方法</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轻度干扰</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85.5%</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47.0%</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997.9毫秒</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封存回放（诊断）；1/5超时</w:t>
            </w:r>
          </w:p>
        </w:tc>
      </w:tr>
      <w:tr>
        <w:trPr>
          <w:cantSplit/>
        </w:trPr>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图神经网络</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无干扰</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91.5%</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75.0%</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75.2毫秒</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封存回放（诊断）</w:t>
            </w:r>
          </w:p>
        </w:tc>
      </w:tr>
      <w:tr>
        <w:trPr>
          <w:cantSplit/>
        </w:trPr>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图神经网络</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轻度干扰</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77.2%</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61.0%</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88.5毫秒</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封存回放（诊断）</w:t>
            </w:r>
          </w:p>
        </w:tc>
      </w:tr>
      <w:tr>
        <w:trPr>
          <w:cantSplit/>
        </w:trPr>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增强型图神经网络（航迹级注意力）</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无干扰</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92.2%</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71.0%</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241.2毫秒</w:t>
            </w:r>
          </w:p>
        </w:tc>
        <w:tc>
          <w:tcPr>
            <w:tcW w:type="dxa" w:w="1540"/>
            <w:vAlign w:val="center"/>
            <w:shd w:fill="FFFFFF"/>
          </w:tcPr>
          <w:p>
            <w:pPr>
              <w:spacing w:before="10" w:after="10" w:line="240" w:lineRule="auto"/>
              <w:ind w:firstLine="0"/>
              <w:jc w:val="center"/>
            </w:pPr>
            <w:r>
              <w:rPr>
                <w:rFonts w:ascii="Times New Roman" w:hAnsi="Times New Roman" w:eastAsia="宋体"/>
                <w:b w:val="0"/>
                <w:color w:val="202833"/>
                <w:sz w:val="18"/>
              </w:rPr>
              <w:t>封存回放（诊断）</w:t>
            </w:r>
          </w:p>
        </w:tc>
      </w:tr>
      <w:tr>
        <w:trPr>
          <w:cantSplit/>
        </w:trPr>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增强型图神经网络（航迹级注意力）</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轻度干扰</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89.0%</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65.0%</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288.5毫秒</w:t>
            </w:r>
          </w:p>
        </w:tc>
        <w:tc>
          <w:tcPr>
            <w:tcW w:type="dxa" w:w="1540"/>
            <w:vAlign w:val="center"/>
            <w:shd w:fill="F1F5F8"/>
          </w:tcPr>
          <w:p>
            <w:pPr>
              <w:spacing w:before="10" w:after="10" w:line="240" w:lineRule="auto"/>
              <w:ind w:firstLine="0"/>
              <w:jc w:val="center"/>
            </w:pPr>
            <w:r>
              <w:rPr>
                <w:rFonts w:ascii="Times New Roman" w:hAnsi="Times New Roman" w:eastAsia="宋体"/>
                <w:b w:val="0"/>
                <w:color w:val="202833"/>
                <w:sz w:val="18"/>
              </w:rPr>
              <w:t>封存回放（诊断）</w:t>
            </w:r>
          </w:p>
        </w:tc>
      </w:tr>
    </w:tbl>
    <w:p>
      <w:pPr>
        <w:spacing w:after="20"/>
      </w:pPr>
    </w:p>
    <w:p>
      <w:pPr>
        <w:widowControl/>
      </w:pPr>
      <w:r>
        <w:rPr>
          <w:rFonts w:ascii="Times New Roman" w:hAnsi="Times New Roman" w:eastAsia="宋体"/>
          <w:color w:val="202833"/>
          <w:sz w:val="24"/>
        </w:rPr>
        <w:t>无干扰条件下，几何方法的精度和覆盖度最高，分别为98.8%和85.0%，端到端耗时P95为867.9毫秒。轻度干扰下，增强型图神经网络的精度和覆盖度最高，分别为89.0%和65.0%；图神经网络耗时最低，为88.5毫秒。几何方法在轻度干扰下有1个场景超过1000毫秒期限，表中保留该超时事实。</w:t>
      </w:r>
    </w:p>
    <w:p>
      <w:pPr>
        <w:keepLines/>
        <w:spacing w:before="120"/>
        <w:ind w:firstLine="0"/>
        <w:jc w:val="center"/>
      </w:pPr>
      <w:r>
        <w:drawing>
          <wp:inline xmlns:a="http://schemas.openxmlformats.org/drawingml/2006/main" xmlns:pic="http://schemas.openxmlformats.org/drawingml/2006/picture">
            <wp:extent cx="5760000" cy="2803983"/>
            <wp:docPr id="9" name="Picture 9"/>
            <wp:cNvGraphicFramePr>
              <a:graphicFrameLocks noChangeAspect="1"/>
            </wp:cNvGraphicFramePr>
            <a:graphic>
              <a:graphicData uri="http://schemas.openxmlformats.org/drawingml/2006/picture">
                <pic:pic>
                  <pic:nvPicPr>
                    <pic:cNvPr id="0" name="11_360_clean_light_route_comparison.png"/>
                    <pic:cNvPicPr/>
                  </pic:nvPicPr>
                  <pic:blipFill>
                    <a:blip r:embed="rId19"/>
                    <a:stretch>
                      <a:fillRect/>
                    </a:stretch>
                  </pic:blipFill>
                  <pic:spPr>
                    <a:xfrm>
                      <a:off x="0" y="0"/>
                      <a:ext cx="5760000" cy="2803983"/>
                    </a:xfrm>
                    <a:prstGeom prst="rect"/>
                  </pic:spPr>
                </pic:pic>
              </a:graphicData>
            </a:graphic>
          </wp:inline>
        </w:drawing>
      </w:r>
    </w:p>
    <w:p>
      <w:pPr>
        <w:spacing w:after="100"/>
        <w:ind w:firstLine="0"/>
        <w:jc w:val="center"/>
      </w:pPr>
      <w:r>
        <w:rPr>
          <w:rFonts w:ascii="Times New Roman" w:hAnsi="Times New Roman" w:eastAsia="宋体"/>
          <w:color w:val="5F6B78"/>
          <w:sz w:val="18"/>
        </w:rPr>
        <w:t>图 9  20目标360度周扫第6圈的无干扰与轻度干扰对比</w:t>
      </w:r>
    </w:p>
    <w:p>
      <w:pPr>
        <w:widowControl/>
      </w:pPr>
      <w:r>
        <w:rPr>
          <w:rFonts w:ascii="Times New Roman" w:hAnsi="Times New Roman" w:eastAsia="宋体"/>
          <w:color w:val="202833"/>
          <w:sz w:val="24"/>
        </w:rPr>
        <w:t>本组没有一种方法在两种条件下同时占优。几何方法适合干扰较轻、候选较少的场景；增强型图神经网络在本组轻度干扰下更稳；基础图神经网络处理速度更快。三者需要在相同输入和时限下继续对照，不能只依据一个干扰等级确定最终方案。</w:t>
      </w:r>
    </w:p>
    <w:p>
      <w:pPr>
        <w:pStyle w:val="Heading3"/>
      </w:pPr>
      <w:r>
        <w:rPr>
          <w:rFonts w:ascii="Times New Roman" w:hAnsi="Times New Roman" w:eastAsia="宋体"/>
          <w:color w:val="202833"/>
          <w:sz w:val="25"/>
        </w:rPr>
        <w:t>3.2.2 20、40、60目标随机干扰</w:t>
      </w:r>
    </w:p>
    <w:p>
      <w:pPr>
        <w:widowControl/>
      </w:pPr>
      <w:r>
        <w:rPr>
          <w:rFonts w:ascii="Times New Roman" w:hAnsi="Times New Roman" w:eastAsia="宋体"/>
          <w:color w:val="202833"/>
          <w:sz w:val="24"/>
        </w:rPr>
        <w:t>本组按目标规模分别冻结模型并使用5个随机测试场景。表中列出无干扰、轻度、中度和重度干扰的第6圈结果。未进入该批次的算法明确写“未开展”；已经运行但五个场景全部超时的组合写“超时”。</w:t>
      </w:r>
    </w:p>
    <w:tbl>
      <w:tblPr>
        <w:tblStyle w:val="TableGrid"/>
        <w:tblW w:type="auto" w:w="0"/>
        <w:jc w:val="center"/>
        <w:tblLayout w:type="autofit"/>
        <w:tblLook w:firstColumn="1" w:firstRow="1" w:lastColumn="0" w:lastRow="0" w:noHBand="0" w:noVBand="1" w:val="04A0"/>
      </w:tblPr>
      <w:tblGrid>
        <w:gridCol w:w="1320"/>
        <w:gridCol w:w="1320"/>
        <w:gridCol w:w="1320"/>
        <w:gridCol w:w="1320"/>
        <w:gridCol w:w="1320"/>
        <w:gridCol w:w="1320"/>
        <w:gridCol w:w="1320"/>
      </w:tblGrid>
      <w:tr>
        <w:trPr>
          <w:cantSplit/>
          <w:tblHeader w:val="true"/>
        </w:trPr>
        <w:tc>
          <w:tcPr>
            <w:tcW w:type="dxa" w:w="1320"/>
            <w:vAlign w:val="center"/>
            <w:shd w:fill="1F5F99"/>
          </w:tcPr>
          <w:p>
            <w:pPr>
              <w:spacing w:before="10" w:after="10" w:line="240" w:lineRule="auto"/>
              <w:ind w:firstLine="0"/>
              <w:jc w:val="center"/>
            </w:pPr>
            <w:r>
              <w:rPr>
                <w:rFonts w:ascii="Times New Roman" w:hAnsi="Times New Roman" w:eastAsia="黑体"/>
                <w:b/>
                <w:color w:val="FFFFFF"/>
                <w:sz w:val="16"/>
              </w:rPr>
              <w:t>目标数</w:t>
            </w:r>
          </w:p>
        </w:tc>
        <w:tc>
          <w:tcPr>
            <w:tcW w:type="dxa" w:w="1320"/>
            <w:vAlign w:val="center"/>
            <w:shd w:fill="1F5F99"/>
          </w:tcPr>
          <w:p>
            <w:pPr>
              <w:spacing w:before="10" w:after="10" w:line="240" w:lineRule="auto"/>
              <w:ind w:firstLine="0"/>
              <w:jc w:val="center"/>
            </w:pPr>
            <w:r>
              <w:rPr>
                <w:rFonts w:ascii="Times New Roman" w:hAnsi="Times New Roman" w:eastAsia="黑体"/>
                <w:b/>
                <w:color w:val="FFFFFF"/>
                <w:sz w:val="16"/>
              </w:rPr>
              <w:t>条件</w:t>
            </w:r>
          </w:p>
        </w:tc>
        <w:tc>
          <w:tcPr>
            <w:tcW w:type="dxa" w:w="1320"/>
            <w:vAlign w:val="center"/>
            <w:shd w:fill="1F5F99"/>
          </w:tcPr>
          <w:p>
            <w:pPr>
              <w:spacing w:before="10" w:after="10" w:line="240" w:lineRule="auto"/>
              <w:ind w:firstLine="0"/>
              <w:jc w:val="center"/>
            </w:pPr>
            <w:r>
              <w:rPr>
                <w:rFonts w:ascii="Times New Roman" w:hAnsi="Times New Roman" w:eastAsia="黑体"/>
                <w:b/>
                <w:color w:val="FFFFFF"/>
                <w:sz w:val="16"/>
              </w:rPr>
              <w:t>方法</w:t>
            </w:r>
          </w:p>
        </w:tc>
        <w:tc>
          <w:tcPr>
            <w:tcW w:type="dxa" w:w="1320"/>
            <w:vAlign w:val="center"/>
            <w:shd w:fill="1F5F99"/>
          </w:tcPr>
          <w:p>
            <w:pPr>
              <w:spacing w:before="10" w:after="10" w:line="240" w:lineRule="auto"/>
              <w:ind w:firstLine="0"/>
              <w:jc w:val="center"/>
            </w:pPr>
            <w:r>
              <w:rPr>
                <w:rFonts w:ascii="Times New Roman" w:hAnsi="Times New Roman" w:eastAsia="黑体"/>
                <w:b/>
                <w:color w:val="FFFFFF"/>
                <w:sz w:val="16"/>
              </w:rPr>
              <w:t>最后一圈关联精度</w:t>
            </w:r>
          </w:p>
        </w:tc>
        <w:tc>
          <w:tcPr>
            <w:tcW w:type="dxa" w:w="1320"/>
            <w:vAlign w:val="center"/>
            <w:shd w:fill="1F5F99"/>
          </w:tcPr>
          <w:p>
            <w:pPr>
              <w:spacing w:before="10" w:after="10" w:line="240" w:lineRule="auto"/>
              <w:ind w:firstLine="0"/>
              <w:jc w:val="center"/>
            </w:pPr>
            <w:r>
              <w:rPr>
                <w:rFonts w:ascii="Times New Roman" w:hAnsi="Times New Roman" w:eastAsia="黑体"/>
                <w:b/>
                <w:color w:val="FFFFFF"/>
                <w:sz w:val="16"/>
              </w:rPr>
              <w:t>最后一圈目标覆盖度</w:t>
            </w:r>
          </w:p>
        </w:tc>
        <w:tc>
          <w:tcPr>
            <w:tcW w:type="dxa" w:w="1320"/>
            <w:vAlign w:val="center"/>
            <w:shd w:fill="1F5F99"/>
          </w:tcPr>
          <w:p>
            <w:pPr>
              <w:spacing w:before="10" w:after="10" w:line="240" w:lineRule="auto"/>
              <w:ind w:firstLine="0"/>
              <w:jc w:val="center"/>
            </w:pPr>
            <w:r>
              <w:rPr>
                <w:rFonts w:ascii="Times New Roman" w:hAnsi="Times New Roman" w:eastAsia="黑体"/>
                <w:b/>
                <w:color w:val="FFFFFF"/>
                <w:sz w:val="16"/>
              </w:rPr>
              <w:t>处理耗时P95</w:t>
            </w:r>
          </w:p>
        </w:tc>
        <w:tc>
          <w:tcPr>
            <w:tcW w:type="dxa" w:w="1320"/>
            <w:vAlign w:val="center"/>
            <w:shd w:fill="1F5F99"/>
          </w:tcPr>
          <w:p>
            <w:pPr>
              <w:spacing w:before="10" w:after="10" w:line="240" w:lineRule="auto"/>
              <w:ind w:firstLine="0"/>
              <w:jc w:val="center"/>
            </w:pPr>
            <w:r>
              <w:rPr>
                <w:rFonts w:ascii="Times New Roman" w:hAnsi="Times New Roman" w:eastAsia="黑体"/>
                <w:b/>
                <w:color w:val="FFFFFF"/>
                <w:sz w:val="16"/>
              </w:rPr>
              <w:t>证据状态</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85.7%</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78.0%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952.7毫秒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84.0%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63.0%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78.3毫秒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1083.7毫秒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诊断；5/5超时</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82.2%</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60.0%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96.7毫秒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中度干扰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1373.4毫秒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诊断；5/5超时</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中度干扰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76.6%</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49.0%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121.8毫秒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中度干扰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重度干扰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1805.1毫秒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诊断；5/5超时</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重度干扰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69.4%</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43.0%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171.8毫秒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重度干扰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91.7%</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60.5%</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193.3毫秒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80.0%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50.0%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204.2毫秒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中度干扰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中度干扰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76.1%</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35.0%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229.9毫秒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中度干扰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重度干扰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重度干扰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67.1%</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27.5%</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270.3毫秒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重度干扰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94.3%</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55.0%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305.2毫秒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77.3%</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39.7%</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337.6毫秒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中度干扰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中度干扰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77.6%</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40.3%</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366.2毫秒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中度干扰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重度干扰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重度干扰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72.3%</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28.7%</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403.9毫秒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重度干扰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未记录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未开展</w:t>
            </w:r>
          </w:p>
        </w:tc>
      </w:tr>
    </w:tbl>
    <w:p>
      <w:pPr>
        <w:spacing w:after="20"/>
      </w:pPr>
    </w:p>
    <w:p>
      <w:pPr>
        <w:widowControl/>
      </w:pPr>
      <w:r>
        <w:rPr>
          <w:rFonts w:ascii="Times New Roman" w:hAnsi="Times New Roman" w:eastAsia="宋体"/>
          <w:color w:val="202833"/>
          <w:sz w:val="24"/>
        </w:rPr>
        <w:t>图神经网络是该批次唯一覆盖20、40和60目标四档条件的方法。无干扰时，20、40、60目标的覆盖度分别为63.0%、60.5%和55.0%；重度干扰时分别降至43.0%、27.5%和28.7%。目标数量和干扰增加后，端到端耗时P95从20目标无干扰的78.3毫秒增加到60目标重度干扰的403.9毫秒，仍低于本批次1000毫秒期限。</w:t>
      </w:r>
    </w:p>
    <w:p>
      <w:pPr>
        <w:keepLines/>
        <w:spacing w:before="120"/>
        <w:ind w:firstLine="0"/>
        <w:jc w:val="center"/>
      </w:pPr>
      <w:r>
        <w:drawing>
          <wp:inline xmlns:a="http://schemas.openxmlformats.org/drawingml/2006/main" xmlns:pic="http://schemas.openxmlformats.org/drawingml/2006/picture">
            <wp:extent cx="5760000" cy="2809166"/>
            <wp:docPr id="10" name="Picture 10"/>
            <wp:cNvGraphicFramePr>
              <a:graphicFrameLocks noChangeAspect="1"/>
            </wp:cNvGraphicFramePr>
            <a:graphic>
              <a:graphicData uri="http://schemas.openxmlformats.org/drawingml/2006/picture">
                <pic:pic>
                  <pic:nvPicPr>
                    <pic:cNvPr id="0" name="12_360_multiseed_cascade.png"/>
                    <pic:cNvPicPr/>
                  </pic:nvPicPr>
                  <pic:blipFill>
                    <a:blip r:embed="rId20"/>
                    <a:stretch>
                      <a:fillRect/>
                    </a:stretch>
                  </pic:blipFill>
                  <pic:spPr>
                    <a:xfrm>
                      <a:off x="0" y="0"/>
                      <a:ext cx="5760000" cy="2809166"/>
                    </a:xfrm>
                    <a:prstGeom prst="rect"/>
                  </pic:spPr>
                </pic:pic>
              </a:graphicData>
            </a:graphic>
          </wp:inline>
        </w:drawing>
      </w:r>
    </w:p>
    <w:p>
      <w:pPr>
        <w:spacing w:after="100"/>
        <w:ind w:firstLine="0"/>
        <w:jc w:val="center"/>
      </w:pPr>
      <w:r>
        <w:rPr>
          <w:rFonts w:ascii="Times New Roman" w:hAnsi="Times New Roman" w:eastAsia="宋体"/>
          <w:color w:val="5F6B78"/>
          <w:sz w:val="18"/>
        </w:rPr>
        <w:t>图 10  360度周扫无干扰及轻、中、重度随机干扰结果</w:t>
      </w:r>
    </w:p>
    <w:p>
      <w:pPr>
        <w:widowControl/>
      </w:pPr>
      <w:r>
        <w:rPr>
          <w:rFonts w:ascii="Times New Roman" w:hAnsi="Times New Roman" w:eastAsia="宋体"/>
          <w:color w:val="202833"/>
          <w:sz w:val="24"/>
        </w:rPr>
        <w:t>故障记录显示，目标交叉、姿态抖动、漏检和虚警先造成单站断轨、错误重接和重复建轨，随后才表现为双站精度和覆盖度下降。两站没有形成对应的正确局部航迹时，跨站图网络无法从后端补回。个别场景在单站航迹基本完整时仍出现双站覆盖损失，说明跨站评分和连续确认也需要单独校准。</w:t>
      </w:r>
    </w:p>
    <w:p>
      <w:pPr>
        <w:pStyle w:val="Heading2"/>
      </w:pPr>
      <w:r>
        <w:rPr>
          <w:rFonts w:ascii="Times New Roman" w:hAnsi="Times New Roman" w:eastAsia="宋体"/>
          <w:color w:val="176B73"/>
          <w:sz w:val="28"/>
        </w:rPr>
        <w:t>3.3 180度扫描</w:t>
      </w:r>
    </w:p>
    <w:p>
      <w:pPr>
        <w:widowControl/>
      </w:pPr>
      <w:r>
        <w:rPr>
          <w:rFonts w:ascii="Times New Roman" w:hAnsi="Times New Roman" w:eastAsia="宋体"/>
          <w:color w:val="202833"/>
          <w:sz w:val="24"/>
        </w:rPr>
        <w:t>180度扫描每秒形成一次关联结果，重访频率高于2秒周扫360度。每个规模和条件使用5个测试场景，表中只统计第12轮。</w:t>
      </w:r>
    </w:p>
    <w:tbl>
      <w:tblPr>
        <w:tblStyle w:val="TableGrid"/>
        <w:tblW w:type="auto" w:w="0"/>
        <w:jc w:val="center"/>
        <w:tblLayout w:type="autofit"/>
        <w:tblLook w:firstColumn="1" w:firstRow="1" w:lastColumn="0" w:lastRow="0" w:noHBand="0" w:noVBand="1" w:val="04A0"/>
      </w:tblPr>
      <w:tblGrid>
        <w:gridCol w:w="1320"/>
        <w:gridCol w:w="1320"/>
        <w:gridCol w:w="1320"/>
        <w:gridCol w:w="1320"/>
        <w:gridCol w:w="1320"/>
        <w:gridCol w:w="1320"/>
        <w:gridCol w:w="1320"/>
      </w:tblGrid>
      <w:tr>
        <w:trPr>
          <w:cantSplit/>
          <w:tblHeader w:val="true"/>
        </w:trPr>
        <w:tc>
          <w:tcPr>
            <w:tcW w:type="dxa" w:w="1320"/>
            <w:vAlign w:val="center"/>
            <w:shd w:fill="1F5F99"/>
          </w:tcPr>
          <w:p>
            <w:pPr>
              <w:spacing w:before="10" w:after="10" w:line="240" w:lineRule="auto"/>
              <w:ind w:firstLine="0"/>
              <w:jc w:val="center"/>
            </w:pPr>
            <w:r>
              <w:rPr>
                <w:rFonts w:ascii="Times New Roman" w:hAnsi="Times New Roman" w:eastAsia="黑体"/>
                <w:b/>
                <w:color w:val="FFFFFF"/>
                <w:sz w:val="16"/>
              </w:rPr>
              <w:t>目标数</w:t>
            </w:r>
          </w:p>
        </w:tc>
        <w:tc>
          <w:tcPr>
            <w:tcW w:type="dxa" w:w="1320"/>
            <w:vAlign w:val="center"/>
            <w:shd w:fill="1F5F99"/>
          </w:tcPr>
          <w:p>
            <w:pPr>
              <w:spacing w:before="10" w:after="10" w:line="240" w:lineRule="auto"/>
              <w:ind w:firstLine="0"/>
              <w:jc w:val="center"/>
            </w:pPr>
            <w:r>
              <w:rPr>
                <w:rFonts w:ascii="Times New Roman" w:hAnsi="Times New Roman" w:eastAsia="黑体"/>
                <w:b/>
                <w:color w:val="FFFFFF"/>
                <w:sz w:val="16"/>
              </w:rPr>
              <w:t>条件</w:t>
            </w:r>
          </w:p>
        </w:tc>
        <w:tc>
          <w:tcPr>
            <w:tcW w:type="dxa" w:w="1320"/>
            <w:vAlign w:val="center"/>
            <w:shd w:fill="1F5F99"/>
          </w:tcPr>
          <w:p>
            <w:pPr>
              <w:spacing w:before="10" w:after="10" w:line="240" w:lineRule="auto"/>
              <w:ind w:firstLine="0"/>
              <w:jc w:val="center"/>
            </w:pPr>
            <w:r>
              <w:rPr>
                <w:rFonts w:ascii="Times New Roman" w:hAnsi="Times New Roman" w:eastAsia="黑体"/>
                <w:b/>
                <w:color w:val="FFFFFF"/>
                <w:sz w:val="16"/>
              </w:rPr>
              <w:t>方法</w:t>
            </w:r>
          </w:p>
        </w:tc>
        <w:tc>
          <w:tcPr>
            <w:tcW w:type="dxa" w:w="1320"/>
            <w:vAlign w:val="center"/>
            <w:shd w:fill="1F5F99"/>
          </w:tcPr>
          <w:p>
            <w:pPr>
              <w:spacing w:before="10" w:after="10" w:line="240" w:lineRule="auto"/>
              <w:ind w:firstLine="0"/>
              <w:jc w:val="center"/>
            </w:pPr>
            <w:r>
              <w:rPr>
                <w:rFonts w:ascii="Times New Roman" w:hAnsi="Times New Roman" w:eastAsia="黑体"/>
                <w:b/>
                <w:color w:val="FFFFFF"/>
                <w:sz w:val="16"/>
              </w:rPr>
              <w:t>最后一轮关联精度</w:t>
            </w:r>
          </w:p>
        </w:tc>
        <w:tc>
          <w:tcPr>
            <w:tcW w:type="dxa" w:w="1320"/>
            <w:vAlign w:val="center"/>
            <w:shd w:fill="1F5F99"/>
          </w:tcPr>
          <w:p>
            <w:pPr>
              <w:spacing w:before="10" w:after="10" w:line="240" w:lineRule="auto"/>
              <w:ind w:firstLine="0"/>
              <w:jc w:val="center"/>
            </w:pPr>
            <w:r>
              <w:rPr>
                <w:rFonts w:ascii="Times New Roman" w:hAnsi="Times New Roman" w:eastAsia="黑体"/>
                <w:b/>
                <w:color w:val="FFFFFF"/>
                <w:sz w:val="16"/>
              </w:rPr>
              <w:t>最后一轮目标覆盖度</w:t>
            </w:r>
          </w:p>
        </w:tc>
        <w:tc>
          <w:tcPr>
            <w:tcW w:type="dxa" w:w="1320"/>
            <w:vAlign w:val="center"/>
            <w:shd w:fill="1F5F99"/>
          </w:tcPr>
          <w:p>
            <w:pPr>
              <w:spacing w:before="10" w:after="10" w:line="240" w:lineRule="auto"/>
              <w:ind w:firstLine="0"/>
              <w:jc w:val="center"/>
            </w:pPr>
            <w:r>
              <w:rPr>
                <w:rFonts w:ascii="Times New Roman" w:hAnsi="Times New Roman" w:eastAsia="黑体"/>
                <w:b/>
                <w:color w:val="FFFFFF"/>
                <w:sz w:val="16"/>
              </w:rPr>
              <w:t>处理耗时P95</w:t>
            </w:r>
          </w:p>
        </w:tc>
        <w:tc>
          <w:tcPr>
            <w:tcW w:type="dxa" w:w="1320"/>
            <w:vAlign w:val="center"/>
            <w:shd w:fill="1F5F99"/>
          </w:tcPr>
          <w:p>
            <w:pPr>
              <w:spacing w:before="10" w:after="10" w:line="240" w:lineRule="auto"/>
              <w:ind w:firstLine="0"/>
              <w:jc w:val="center"/>
            </w:pPr>
            <w:r>
              <w:rPr>
                <w:rFonts w:ascii="Times New Roman" w:hAnsi="Times New Roman" w:eastAsia="黑体"/>
                <w:b/>
                <w:color w:val="FFFFFF"/>
                <w:sz w:val="16"/>
              </w:rPr>
              <w:t>证据状态</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2067.5毫秒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正式；5/5超时</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97.8%</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89.0%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100.4毫秒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正式</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88.5%</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77.0%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379.9毫秒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正式</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1950.6毫秒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正式；5/5超时</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83.9%</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73.0%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108.8毫秒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正式</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20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88.8%</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79.0%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401.3毫秒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正式</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5174.2毫秒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诊断；5/5超时</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89.6%</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81.5%</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292.3毫秒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77.5%</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58.5%</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972.7毫秒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5022.3毫秒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诊断；5/5超时</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89.3%</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71.0%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270.2毫秒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40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79.1%</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58.5%</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955.0毫秒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9257.9毫秒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诊断；5/5超时</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95.8%</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90.7%</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509.5毫秒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无干扰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1683.9毫秒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诊断；5/5超时</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几何方法</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9063.3毫秒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诊断；5/5超时</w:t>
            </w:r>
          </w:p>
        </w:tc>
      </w:tr>
      <w:tr>
        <w:trPr>
          <w:cantSplit/>
        </w:trPr>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图神经网络</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94.6%</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82.0%</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504.9毫秒</w:t>
            </w:r>
          </w:p>
        </w:tc>
        <w:tc>
          <w:tcPr>
            <w:tcW w:type="dxa" w:w="1320"/>
            <w:vAlign w:val="center"/>
            <w:shd w:fill="FFFFFF"/>
          </w:tcPr>
          <w:p>
            <w:pPr>
              <w:spacing w:before="10" w:after="10" w:line="240" w:lineRule="auto"/>
              <w:ind w:firstLine="0"/>
              <w:jc w:val="center"/>
            </w:pPr>
            <w:r>
              <w:rPr>
                <w:rFonts w:ascii="Times New Roman" w:hAnsi="Times New Roman" w:eastAsia="宋体"/>
                <w:b w:val="0"/>
                <w:color w:val="202833"/>
                <w:sz w:val="16"/>
              </w:rPr>
              <w:t>诊断</w:t>
            </w:r>
          </w:p>
        </w:tc>
      </w:tr>
      <w:tr>
        <w:trPr>
          <w:cantSplit/>
        </w:trPr>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60</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轻度干扰</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增强型图神经网络（航迹级注意力）</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超时</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1686.2毫秒</w:t>
            </w:r>
          </w:p>
        </w:tc>
        <w:tc>
          <w:tcPr>
            <w:tcW w:type="dxa" w:w="1320"/>
            <w:vAlign w:val="center"/>
            <w:shd w:fill="F1F5F8"/>
          </w:tcPr>
          <w:p>
            <w:pPr>
              <w:spacing w:before="10" w:after="10" w:line="240" w:lineRule="auto"/>
              <w:ind w:firstLine="0"/>
              <w:jc w:val="center"/>
            </w:pPr>
            <w:r>
              <w:rPr>
                <w:rFonts w:ascii="Times New Roman" w:hAnsi="Times New Roman" w:eastAsia="宋体"/>
                <w:b w:val="0"/>
                <w:color w:val="202833"/>
                <w:sz w:val="16"/>
              </w:rPr>
              <w:t>诊断；5/5超时</w:t>
            </w:r>
          </w:p>
        </w:tc>
      </w:tr>
    </w:tbl>
    <w:p>
      <w:pPr>
        <w:spacing w:after="20"/>
      </w:pPr>
    </w:p>
    <w:p>
      <w:pPr>
        <w:widowControl/>
      </w:pPr>
      <w:r>
        <w:rPr>
          <w:rFonts w:ascii="Times New Roman" w:hAnsi="Times New Roman" w:eastAsia="宋体"/>
          <w:color w:val="202833"/>
          <w:sz w:val="24"/>
        </w:rPr>
        <w:t>图神经网络在六组场景均按时形成结果，精度为83.9%至97.8%，覆盖度为71.0%至90.7%，耗时P95为100.4至509.5毫秒。几何方法六组均超过1000毫秒期限。增强型图神经网络在20和40目标形成结果，60目标五个场景全部超时。</w:t>
      </w:r>
    </w:p>
    <w:p>
      <w:pPr>
        <w:keepLines/>
        <w:spacing w:before="120"/>
        <w:ind w:firstLine="0"/>
        <w:jc w:val="center"/>
      </w:pPr>
      <w:r>
        <w:drawing>
          <wp:inline xmlns:a="http://schemas.openxmlformats.org/drawingml/2006/main" xmlns:pic="http://schemas.openxmlformats.org/drawingml/2006/picture">
            <wp:extent cx="5760000" cy="3516954"/>
            <wp:docPr id="11" name="Picture 11"/>
            <wp:cNvGraphicFramePr>
              <a:graphicFrameLocks noChangeAspect="1"/>
            </wp:cNvGraphicFramePr>
            <a:graphic>
              <a:graphicData uri="http://schemas.openxmlformats.org/drawingml/2006/picture">
                <pic:pic>
                  <pic:nvPicPr>
                    <pic:cNvPr id="0" name="08_s180_selected_results.png"/>
                    <pic:cNvPicPr/>
                  </pic:nvPicPr>
                  <pic:blipFill>
                    <a:blip r:embed="rId21"/>
                    <a:stretch>
                      <a:fillRect/>
                    </a:stretch>
                  </pic:blipFill>
                  <pic:spPr>
                    <a:xfrm>
                      <a:off x="0" y="0"/>
                      <a:ext cx="5760000" cy="3516954"/>
                    </a:xfrm>
                    <a:prstGeom prst="rect"/>
                  </pic:spPr>
                </pic:pic>
              </a:graphicData>
            </a:graphic>
          </wp:inline>
        </w:drawing>
      </w:r>
    </w:p>
    <w:p>
      <w:pPr>
        <w:spacing w:after="100"/>
        <w:ind w:firstLine="0"/>
        <w:jc w:val="center"/>
      </w:pPr>
      <w:r>
        <w:rPr>
          <w:rFonts w:ascii="Times New Roman" w:hAnsi="Times New Roman" w:eastAsia="宋体"/>
          <w:color w:val="5F6B78"/>
          <w:sz w:val="18"/>
        </w:rPr>
        <w:t>图 11  180度扫描三种方法的最终一轮结果</w:t>
      </w:r>
    </w:p>
    <w:p>
      <w:pPr>
        <w:keepLines/>
        <w:spacing w:before="120"/>
        <w:ind w:firstLine="0"/>
        <w:jc w:val="center"/>
      </w:pPr>
      <w:r>
        <w:drawing>
          <wp:inline xmlns:a="http://schemas.openxmlformats.org/drawingml/2006/main" xmlns:pic="http://schemas.openxmlformats.org/drawingml/2006/picture">
            <wp:extent cx="5760000" cy="2885585"/>
            <wp:docPr id="12" name="Picture 12"/>
            <wp:cNvGraphicFramePr>
              <a:graphicFrameLocks noChangeAspect="1"/>
            </wp:cNvGraphicFramePr>
            <a:graphic>
              <a:graphicData uri="http://schemas.openxmlformats.org/drawingml/2006/picture">
                <pic:pic>
                  <pic:nvPicPr>
                    <pic:cNvPr id="0" name="09_tracking_and_registration_loss.png"/>
                    <pic:cNvPicPr/>
                  </pic:nvPicPr>
                  <pic:blipFill>
                    <a:blip r:embed="rId22"/>
                    <a:stretch>
                      <a:fillRect/>
                    </a:stretch>
                  </pic:blipFill>
                  <pic:spPr>
                    <a:xfrm>
                      <a:off x="0" y="0"/>
                      <a:ext cx="5760000" cy="2885585"/>
                    </a:xfrm>
                    <a:prstGeom prst="rect"/>
                  </pic:spPr>
                </pic:pic>
              </a:graphicData>
            </a:graphic>
          </wp:inline>
        </w:drawing>
      </w:r>
    </w:p>
    <w:p>
      <w:pPr>
        <w:spacing w:after="100"/>
        <w:ind w:firstLine="0"/>
        <w:jc w:val="center"/>
      </w:pPr>
      <w:r>
        <w:rPr>
          <w:rFonts w:ascii="Times New Roman" w:hAnsi="Times New Roman" w:eastAsia="宋体"/>
          <w:color w:val="5F6B78"/>
          <w:sz w:val="18"/>
        </w:rPr>
        <w:t>图 12  图神经网络在180度扫描中的最终一轮精度与覆盖度</w:t>
      </w:r>
    </w:p>
    <w:p>
      <w:pPr>
        <w:widowControl/>
      </w:pPr>
      <w:r>
        <w:rPr>
          <w:rFonts w:ascii="Times New Roman" w:hAnsi="Times New Roman" w:eastAsia="宋体"/>
          <w:color w:val="202833"/>
          <w:sz w:val="24"/>
        </w:rPr>
        <w:t>20目标轻度干扰下，180度图神经网络的最后一轮精度和覆盖度为83.9%和73.0%；360度同输入诊断批次相应数值为77.2%和61.0%。现有对照支持“提高重访频率有利于维持关联”的判断，但两组数据并非同一随机种子、同一冻结模型的严格消融试验，不能把差值全部归因于扫描范围变化。40和60目标180度结果还受单站航迹器未通过验收的限制。</w:t>
      </w:r>
    </w:p>
    <w:p>
      <w:pPr>
        <w:widowControl/>
      </w:pPr>
      <w:r>
        <w:rPr>
          <w:rFonts w:ascii="Times New Roman" w:hAnsi="Times New Roman" w:eastAsia="宋体"/>
          <w:color w:val="202833"/>
          <w:sz w:val="24"/>
        </w:rPr>
        <w:t>60目标无干扰精度高于40目标，主要由不同随机场景造成。40目标有一个困难场景贡献了该规模第12轮19个错误关系中的12个；去除该场景后，其余4个场景合并精度为95.3%，与60目标95.8%接近。现有数据不支持“目标越多，关联越准”的结论。</w:t>
      </w:r>
    </w:p>
    <w:p>
      <w:pPr>
        <w:pStyle w:val="Heading2"/>
      </w:pPr>
      <w:r>
        <w:rPr>
          <w:rFonts w:ascii="Times New Roman" w:hAnsi="Times New Roman" w:eastAsia="宋体"/>
          <w:color w:val="176B73"/>
          <w:sz w:val="28"/>
        </w:rPr>
        <w:t>3.4 交汇定位结果</w:t>
      </w:r>
    </w:p>
    <w:p>
      <w:pPr>
        <w:widowControl/>
      </w:pPr>
      <w:r>
        <w:rPr>
          <w:rFonts w:ascii="Times New Roman" w:hAnsi="Times New Roman" w:eastAsia="宋体"/>
          <w:color w:val="202833"/>
          <w:sz w:val="24"/>
        </w:rPr>
        <w:t>40目标理想演示形成37条双站关系，其中36条正确、1条错误。正确关系进入交汇定位后，平均位置误差为0.080米，95%位置误差不超过0.091米；平均速度误差为0.0081米/秒，95%速度误差不超过0.0197米/秒。</w:t>
      </w:r>
    </w:p>
    <w:tbl>
      <w:tblPr>
        <w:tblStyle w:val="TableGrid"/>
        <w:tblW w:type="auto" w:w="0"/>
        <w:jc w:val="center"/>
        <w:tblLayout w:type="autofit"/>
        <w:tblLook w:firstColumn="1" w:firstRow="1" w:lastColumn="0" w:lastRow="0" w:noHBand="0" w:noVBand="1" w:val="04A0"/>
      </w:tblPr>
      <w:tblGrid>
        <w:gridCol w:w="4621"/>
        <w:gridCol w:w="4621"/>
      </w:tblGrid>
      <w:tr>
        <w:trPr>
          <w:cantSplit/>
          <w:tblHeader w:val="true"/>
        </w:trPr>
        <w:tc>
          <w:tcPr>
            <w:tcW w:type="dxa" w:w="4621"/>
            <w:vAlign w:val="center"/>
            <w:shd w:fill="1F5F99"/>
          </w:tcPr>
          <w:p>
            <w:pPr>
              <w:spacing w:before="10" w:after="10" w:line="240" w:lineRule="auto"/>
              <w:ind w:firstLine="0"/>
              <w:jc w:val="center"/>
            </w:pPr>
            <w:r>
              <w:rPr>
                <w:rFonts w:ascii="Times New Roman" w:hAnsi="Times New Roman" w:eastAsia="黑体"/>
                <w:b/>
                <w:color w:val="FFFFFF"/>
                <w:sz w:val="18"/>
              </w:rPr>
              <w:t>项目</w:t>
            </w:r>
          </w:p>
        </w:tc>
        <w:tc>
          <w:tcPr>
            <w:tcW w:type="dxa" w:w="4621"/>
            <w:vAlign w:val="center"/>
            <w:shd w:fill="1F5F99"/>
          </w:tcPr>
          <w:p>
            <w:pPr>
              <w:spacing w:before="10" w:after="10" w:line="240" w:lineRule="auto"/>
              <w:ind w:firstLine="0"/>
              <w:jc w:val="center"/>
            </w:pPr>
            <w:r>
              <w:rPr>
                <w:rFonts w:ascii="Times New Roman" w:hAnsi="Times New Roman" w:eastAsia="黑体"/>
                <w:b/>
                <w:color w:val="FFFFFF"/>
                <w:sz w:val="18"/>
              </w:rPr>
              <w:t>结果</w:t>
            </w:r>
          </w:p>
        </w:tc>
      </w:tr>
      <w:tr>
        <w:trPr>
          <w:cantSplit/>
        </w:trPr>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正确关系</w:t>
            </w:r>
          </w:p>
        </w:tc>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36条</w:t>
            </w:r>
          </w:p>
        </w:tc>
      </w:tr>
      <w:tr>
        <w:trPr>
          <w:cantSplit/>
        </w:trPr>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错误关系</w:t>
            </w:r>
          </w:p>
        </w:tc>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1条</w:t>
            </w:r>
          </w:p>
        </w:tc>
      </w:tr>
      <w:tr>
        <w:trPr>
          <w:cantSplit/>
        </w:trPr>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双站关联精度</w:t>
            </w:r>
          </w:p>
        </w:tc>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97.3%</w:t>
            </w:r>
          </w:p>
        </w:tc>
      </w:tr>
      <w:tr>
        <w:trPr>
          <w:cantSplit/>
        </w:trPr>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固定目标覆盖度</w:t>
            </w:r>
          </w:p>
        </w:tc>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90.0%</w:t>
            </w:r>
          </w:p>
        </w:tc>
      </w:tr>
      <w:tr>
        <w:trPr>
          <w:cantSplit/>
        </w:trPr>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平均位置误差</w:t>
            </w:r>
          </w:p>
        </w:tc>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0.080米</w:t>
            </w:r>
          </w:p>
        </w:tc>
      </w:tr>
      <w:tr>
        <w:trPr>
          <w:cantSplit/>
        </w:trPr>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95%位置误差</w:t>
            </w:r>
          </w:p>
        </w:tc>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0.091米</w:t>
            </w:r>
          </w:p>
        </w:tc>
      </w:tr>
      <w:tr>
        <w:trPr>
          <w:cantSplit/>
        </w:trPr>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平均速度误差</w:t>
            </w:r>
          </w:p>
        </w:tc>
        <w:tc>
          <w:tcPr>
            <w:tcW w:type="dxa" w:w="4621"/>
            <w:vAlign w:val="center"/>
            <w:shd w:fill="FFFFFF"/>
          </w:tcPr>
          <w:p>
            <w:pPr>
              <w:spacing w:before="10" w:after="10" w:line="240" w:lineRule="auto"/>
              <w:ind w:firstLine="0"/>
              <w:jc w:val="center"/>
            </w:pPr>
            <w:r>
              <w:rPr>
                <w:rFonts w:ascii="Times New Roman" w:hAnsi="Times New Roman" w:eastAsia="宋体"/>
                <w:b w:val="0"/>
                <w:color w:val="202833"/>
                <w:sz w:val="18"/>
              </w:rPr>
              <w:t>0.0081米/秒</w:t>
            </w:r>
          </w:p>
        </w:tc>
      </w:tr>
      <w:tr>
        <w:trPr>
          <w:cantSplit/>
        </w:trPr>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95%速度误差</w:t>
            </w:r>
          </w:p>
        </w:tc>
        <w:tc>
          <w:tcPr>
            <w:tcW w:type="dxa" w:w="4621"/>
            <w:vAlign w:val="center"/>
            <w:shd w:fill="F1F5F8"/>
          </w:tcPr>
          <w:p>
            <w:pPr>
              <w:spacing w:before="10" w:after="10" w:line="240" w:lineRule="auto"/>
              <w:ind w:firstLine="0"/>
              <w:jc w:val="center"/>
            </w:pPr>
            <w:r>
              <w:rPr>
                <w:rFonts w:ascii="Times New Roman" w:hAnsi="Times New Roman" w:eastAsia="宋体"/>
                <w:b w:val="0"/>
                <w:color w:val="202833"/>
                <w:sz w:val="18"/>
              </w:rPr>
              <w:t>0.0197米/秒</w:t>
            </w:r>
          </w:p>
        </w:tc>
      </w:tr>
    </w:tbl>
    <w:p>
      <w:pPr>
        <w:spacing w:after="20"/>
      </w:pPr>
    </w:p>
    <w:p>
      <w:pPr>
        <w:keepLines/>
        <w:spacing w:before="120"/>
        <w:ind w:firstLine="0"/>
        <w:jc w:val="center"/>
      </w:pPr>
      <w:r>
        <w:drawing>
          <wp:inline xmlns:a="http://schemas.openxmlformats.org/drawingml/2006/main" xmlns:pic="http://schemas.openxmlformats.org/drawingml/2006/picture">
            <wp:extent cx="5760000" cy="4060853"/>
            <wp:docPr id="13" name="Picture 13"/>
            <wp:cNvGraphicFramePr>
              <a:graphicFrameLocks noChangeAspect="1"/>
            </wp:cNvGraphicFramePr>
            <a:graphic>
              <a:graphicData uri="http://schemas.openxmlformats.org/drawingml/2006/picture">
                <pic:pic>
                  <pic:nvPicPr>
                    <pic:cNvPr id="0" name="10_ranging_reconstruction_and_error.png"/>
                    <pic:cNvPicPr/>
                  </pic:nvPicPr>
                  <pic:blipFill>
                    <a:blip r:embed="rId23"/>
                    <a:stretch>
                      <a:fillRect/>
                    </a:stretch>
                  </pic:blipFill>
                  <pic:spPr>
                    <a:xfrm>
                      <a:off x="0" y="0"/>
                      <a:ext cx="5760000" cy="4060853"/>
                    </a:xfrm>
                    <a:prstGeom prst="rect"/>
                  </pic:spPr>
                </pic:pic>
              </a:graphicData>
            </a:graphic>
          </wp:inline>
        </w:drawing>
      </w:r>
    </w:p>
    <w:p>
      <w:pPr>
        <w:spacing w:after="100"/>
        <w:ind w:firstLine="0"/>
        <w:jc w:val="center"/>
      </w:pPr>
      <w:r>
        <w:rPr>
          <w:rFonts w:ascii="Times New Roman" w:hAnsi="Times New Roman" w:eastAsia="宋体"/>
          <w:color w:val="5F6B78"/>
          <w:sz w:val="18"/>
        </w:rPr>
        <w:t>图 13  正确配准关系的三维轨迹重建和误差分布</w:t>
      </w:r>
    </w:p>
    <w:p>
      <w:pPr>
        <w:widowControl/>
      </w:pPr>
      <w:r>
        <w:rPr>
          <w:rFonts w:ascii="Times New Roman" w:hAnsi="Times New Roman" w:eastAsia="宋体"/>
          <w:color w:val="202833"/>
          <w:sz w:val="24"/>
        </w:rPr>
        <w:t>上述误差来自理想位姿、理想时间和仿真检测条件，主要反映计算链路的一致性。真实系统还需加入安装测量误差、云台偏差、时间同步误差、检测中心偏差和大气条件。完成这些误差标定前，不能把厘米级仿真结果写成设备定位能力。</w:t>
      </w:r>
    </w:p>
    <w:p>
      <w:pPr>
        <w:pStyle w:val="Heading2"/>
        <w:pageBreakBefore/>
      </w:pPr>
      <w:r>
        <w:rPr>
          <w:rFonts w:ascii="Times New Roman" w:hAnsi="Times New Roman" w:eastAsia="宋体"/>
          <w:color w:val="176B73"/>
          <w:sz w:val="28"/>
        </w:rPr>
        <w:t>3.5 结论</w:t>
      </w:r>
    </w:p>
    <w:p>
      <w:pPr>
        <w:spacing w:after="60"/>
        <w:ind w:left="442" w:hanging="295"/>
      </w:pPr>
      <w:r>
        <w:rPr>
          <w:rFonts w:ascii="Times New Roman" w:hAnsi="Times New Roman" w:eastAsia="黑体"/>
          <w:b/>
          <w:color w:val="1F4E78"/>
          <w:sz w:val="22"/>
        </w:rPr>
        <w:t xml:space="preserve">1.  </w:t>
      </w:r>
      <w:r>
        <w:rPr>
          <w:rFonts w:ascii="Times New Roman" w:hAnsi="Times New Roman" w:eastAsia="黑体"/>
          <w:b/>
          <w:color w:val="202833"/>
          <w:sz w:val="22"/>
        </w:rPr>
        <w:t>双光电配准具有明确的理论处理路径，完整规模矩阵仍待试验。</w:t>
      </w:r>
      <w:r>
        <w:rPr>
          <w:rFonts w:ascii="Times New Roman" w:hAnsi="Times New Roman" w:eastAsia="宋体"/>
          <w:color w:val="202833"/>
          <w:sz w:val="22"/>
        </w:rPr>
        <w:t xml:space="preserve"> 共面筛选、候选评分、一一分配和交汇定位构成闭合链路，40目标理想演示完成了单个场景验证。360度理想单站条件下20、40、60目标的三算法矩阵没有现成记录，当前不能给出规模结论和耗时结论。</w:t>
      </w:r>
    </w:p>
    <w:p>
      <w:pPr>
        <w:spacing w:after="60"/>
        <w:ind w:left="442" w:hanging="295"/>
      </w:pPr>
      <w:r>
        <w:rPr>
          <w:rFonts w:ascii="Times New Roman" w:hAnsi="Times New Roman" w:eastAsia="黑体"/>
          <w:b/>
          <w:color w:val="1F4E78"/>
          <w:sz w:val="22"/>
        </w:rPr>
        <w:t xml:space="preserve">2.  </w:t>
      </w:r>
      <w:r>
        <w:rPr>
          <w:rFonts w:ascii="Times New Roman" w:hAnsi="Times New Roman" w:eastAsia="黑体"/>
          <w:b/>
          <w:color w:val="202833"/>
          <w:sz w:val="22"/>
        </w:rPr>
        <w:t>实际360度试验表明三种方法各有边界。</w:t>
      </w:r>
      <w:r>
        <w:rPr>
          <w:rFonts w:ascii="Times New Roman" w:hAnsi="Times New Roman" w:eastAsia="宋体"/>
          <w:color w:val="202833"/>
          <w:sz w:val="22"/>
        </w:rPr>
        <w:t xml:space="preserve"> 20目标同输入对照中，几何方法在无干扰条件下数值最高，增强型图神经网络在轻度干扰下数值最高，基础图神经网络耗时最低。分规模随机干扰批次只有图神经网络形成20、40、60目标的完整结果，其他组合按实际情况标为超时或未开展。</w:t>
      </w:r>
    </w:p>
    <w:p>
      <w:pPr>
        <w:spacing w:after="60"/>
        <w:ind w:left="442" w:hanging="295"/>
      </w:pPr>
      <w:r>
        <w:rPr>
          <w:rFonts w:ascii="Times New Roman" w:hAnsi="Times New Roman" w:eastAsia="黑体"/>
          <w:b/>
          <w:color w:val="1F4E78"/>
          <w:sz w:val="22"/>
        </w:rPr>
        <w:t xml:space="preserve">3.  </w:t>
      </w:r>
      <w:r>
        <w:rPr>
          <w:rFonts w:ascii="Times New Roman" w:hAnsi="Times New Roman" w:eastAsia="黑体"/>
          <w:b/>
          <w:color w:val="202833"/>
          <w:sz w:val="22"/>
        </w:rPr>
        <w:t>提高重访频率能够改善现有图神经网络结果，但仍需严格同条件复核。</w:t>
      </w:r>
      <w:r>
        <w:rPr>
          <w:rFonts w:ascii="Times New Roman" w:hAnsi="Times New Roman" w:eastAsia="宋体"/>
          <w:color w:val="202833"/>
          <w:sz w:val="22"/>
        </w:rPr>
        <w:t xml:space="preserve"> 180度扫描在现有20目标轻度干扰对照中比360度周扫取得更高精度和覆盖度。两批数据不是同种子的单变量试验，后续仍需使用相同场景、相同模型和相同干扰条件完成扫描频率消融。</w:t>
      </w:r>
    </w:p>
    <w:p>
      <w:pPr>
        <w:spacing w:after="60"/>
        <w:ind w:left="442" w:hanging="295"/>
      </w:pPr>
      <w:r>
        <w:rPr>
          <w:rFonts w:ascii="Times New Roman" w:hAnsi="Times New Roman" w:eastAsia="黑体"/>
          <w:b/>
          <w:color w:val="1F4E78"/>
          <w:sz w:val="22"/>
        </w:rPr>
        <w:t xml:space="preserve">4.  </w:t>
      </w:r>
      <w:r>
        <w:rPr>
          <w:rFonts w:ascii="Times New Roman" w:hAnsi="Times New Roman" w:eastAsia="黑体"/>
          <w:b/>
          <w:color w:val="202833"/>
          <w:sz w:val="22"/>
        </w:rPr>
        <w:t>当前主要卡点是单站航迹关联。</w:t>
      </w:r>
      <w:r>
        <w:rPr>
          <w:rFonts w:ascii="Times New Roman" w:hAnsi="Times New Roman" w:eastAsia="宋体"/>
          <w:color w:val="202833"/>
          <w:sz w:val="22"/>
        </w:rPr>
        <w:t xml:space="preserve"> 40目标航迹器未通过错误重接率门限，60目标还存在航迹器耗时问题。360度随机干扰下，断轨、错误重接和重复建轨先减少正确航迹，双站算法只能处理剩余候选。下一步应先稳定单站重访航迹，再补齐360度理想矩阵和跨站困难场景标定。</w:t>
      </w:r>
    </w:p>
    <w:sectPr w:rsidR="00FC693F" w:rsidRPr="0006063C" w:rsidSect="00034616">
      <w:headerReference w:type="default" r:id="rId9"/>
      <w:footerReference w:type="default" r:id="rId10"/>
      <w:pgSz w:w="11906" w:h="16838"/>
      <w:pgMar w:top="1134" w:right="1332" w:bottom="1077" w:left="1332" w:header="408" w:footer="4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5F6B78"/>
        <w:sz w:val="17"/>
      </w:rPr>
      <w:t xml:space="preserve">科研仿真与技术论证材料  ·  </w:t>
    </w:r>
    <w:r>
      <w:rPr>
        <w:rFonts w:ascii="Times New Roman" w:hAnsi="Times New Roman" w:eastAsia="黑体"/>
        <w:color w:val="5F6B78"/>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宋体"/>
        <w:color w:val="5F6B78"/>
        <w:sz w:val="17"/>
      </w:rPr>
      <w:t>双光电多目标轨迹配准与交汇定位试验报告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ind w:firstLine="4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ind w:firstLine="0"/>
      <w:outlineLvl w:val="0"/>
    </w:pPr>
    <w:rPr>
      <w:rFonts w:asciiTheme="majorHAnsi" w:eastAsiaTheme="majorEastAsia" w:hAnsiTheme="majorHAnsi" w:cstheme="majorBidi" w:ascii="Times New Roman" w:hAnsi="Times New Roman" w:eastAsia="黑体"/>
      <w:b/>
      <w:bCs/>
      <w:color w:val="1F4E78"/>
      <w:sz w:val="33"/>
      <w:szCs w:val="28"/>
    </w:rPr>
  </w:style>
  <w:style w:type="paragraph" w:styleId="Heading2">
    <w:name w:val="heading 2"/>
    <w:basedOn w:val="Normal"/>
    <w:next w:val="Normal"/>
    <w:link w:val="Heading2Char"/>
    <w:uiPriority w:val="9"/>
    <w:unhideWhenUsed/>
    <w:qFormat/>
    <w:rsid w:val="00FC693F"/>
    <w:pPr>
      <w:keepNext/>
      <w:keepLines/>
      <w:spacing w:before="220" w:after="120"/>
      <w:ind w:firstLine="0"/>
      <w:outlineLvl w:val="1"/>
    </w:pPr>
    <w:rPr>
      <w:rFonts w:asciiTheme="majorHAnsi" w:eastAsiaTheme="majorEastAsia" w:hAnsiTheme="majorHAnsi" w:cstheme="majorBidi" w:ascii="Times New Roman" w:hAnsi="Times New Roman" w:eastAsia="黑体"/>
      <w:b/>
      <w:bCs/>
      <w:color w:val="176B73"/>
      <w:sz w:val="28"/>
      <w:szCs w:val="26"/>
    </w:rPr>
  </w:style>
  <w:style w:type="paragraph" w:styleId="Heading3">
    <w:name w:val="heading 3"/>
    <w:basedOn w:val="Normal"/>
    <w:next w:val="Normal"/>
    <w:link w:val="Heading3Char"/>
    <w:uiPriority w:val="9"/>
    <w:unhideWhenUsed/>
    <w:qFormat/>
    <w:rsid w:val="00FC693F"/>
    <w:pPr>
      <w:keepNext/>
      <w:keepLines/>
      <w:spacing w:before="180" w:after="80"/>
      <w:ind w:firstLine="0"/>
      <w:outlineLvl w:val="2"/>
    </w:pPr>
    <w:rPr>
      <w:rFonts w:asciiTheme="majorHAnsi" w:eastAsiaTheme="majorEastAsia" w:hAnsiTheme="majorHAnsi" w:cstheme="majorBidi" w:ascii="Times New Roman" w:hAnsi="Times New Roman" w:eastAsia="黑体"/>
      <w:b/>
      <w:bCs/>
      <w:color w:val="2028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双光电多目标轨迹配准与交汇定位试验报告</dc:title>
  <dc:subject>算法原理、试验配置与结果分析</dc:subject>
  <dc:creator>MSM 项目组</dc:creator>
  <cp:keywords>双光电, 多目标轨迹配准, 图神经网络, 交汇定位, AirSim</cp:keywords>
  <dc:description>generated by python-docx</dc:description>
  <cp:lastModifiedBy/>
  <cp:revision>1</cp:revision>
  <dcterms:created xsi:type="dcterms:W3CDTF">2013-12-23T23:15:00Z</dcterms:created>
  <dcterms:modified xsi:type="dcterms:W3CDTF">2013-12-23T23:15:00Z</dcterms:modified>
  <cp:category/>
</cp:coreProperties>
</file>