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body-rate v2 TTC / V_m 50-100m 测试报告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body-rate v2 使用 accel_body_rate + mavlink_body_rate + body-rate-control-profile=v2；两组均测试 50m、60m、70m、80m、90m、100m，每个工况重启 PX4 SITL 和 Blocks。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bodyrate_v2_ttc_vm_20260626_084029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bodyrate_v2_ttc_vm_20260626_0840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50, 60, 70, 80, 90, 100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1.696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1461/1787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1657/1787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8.28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50, 60, 80, 90, 100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1223/1658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1342/1658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8.65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2.301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6.543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7.223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8.52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4.698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132.674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0.40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5.468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8.45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3.972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7.175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3.911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4.892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2.732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31.437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13.115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21.570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4.021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5.699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2.301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valid:127, area_not_expanding:67, image_kf_predict:18, no_detection:8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valid:183, image_kf_predict:33, no_detection:15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valid:133, area_not_expanding:88, image_kf_predict:21, bbox_top_clipped:9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no_detection:141, valid:116, image_kf_predict:11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1.696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valid:128, area_not_expanding:88, image_kf_predict:46, no_detection:23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valid:143, image_kf_predict:7, no_detection:1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3.972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valid:148, area_not_expanding:130, image_kf_predict:30, no_detection:13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valid:264, image_kf_predict:51, no_detection:24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92.9%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3.911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valid:142, area_not_expanding:123, image_kf_predict:36, no_detection:25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2.732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valid:191, los_innovation_reject:57, no_detection:45, image_kf_predict:36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13.115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area_not_expanding:129, valid:93, no_detection:53, image_kf_predict:46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4.021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valid:269, image_kf_predict:38, no_detection:33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90.3%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50m(2.301m)，VM 50m(2.170m)，TTC 60m(2.040m)，VM 60m(1.346m)，TTC 70m(1.696m)，VM 80m(1.992m)，VM 90m(2.732m)。这些工况已接近目标，但没有触发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的工况：VM 60m(43.3%)。这类失败优先归因于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最近点处仍处于降级或无效状态的未命中工况：VM 50m:</w:t>
      </w:r>
      <w:r>
        <w:rPr>
          <w:rFonts w:ascii="Consolas" w:hAnsi="Consolas" w:eastAsia="Consolas"/>
        </w:rPr>
        <w:t>no_detection</w:t>
      </w:r>
      <w:r>
        <w:t>，TTC 60m:</w:t>
      </w:r>
      <w:r>
        <w:rPr>
          <w:rFonts w:ascii="Consolas" w:hAnsi="Consolas" w:eastAsia="Consolas"/>
        </w:rPr>
        <w:t>image_kf_predict</w:t>
      </w:r>
      <w:r>
        <w:t>，VM 60m:</w:t>
      </w:r>
      <w:r>
        <w:rPr>
          <w:rFonts w:ascii="Consolas" w:hAnsi="Consolas" w:eastAsia="Consolas"/>
        </w:rPr>
        <w:t>image_kf_predict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0.88 g</w:t>
      </w:r>
      <w:r>
        <w:t xml:space="preserve">，平均需用过载 P95 约 </w:t>
      </w:r>
      <w:r>
        <w:rPr>
          <w:rFonts w:ascii="Consolas" w:hAnsi="Consolas" w:eastAsia="Consolas"/>
        </w:rPr>
        <w:t>1.21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bodyrate_v2_ttc_vm_20260626_08402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2.301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1.696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3.972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2.732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13.115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guard激活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p/q/r斜率限制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姿态误差峰值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2.301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7.9%/10.5%/0.4%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0.873/0.760/0.222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12.1%/7.4%/0.0%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0.895/0.668/0.201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5.0%/6.9%/0.4%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0.704/0.756/0.213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2.6%/1.9%/0.4%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120.0/106.2/45.0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0.655/0.371/0.092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1.696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12.3%/3.3%/0.3%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0.951/0.809/0.166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5.3%/5.3%/0.7%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120.0/113.6/45.0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0.797/0.397/0.082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3.972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4.9%/3.7%/0.0%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0.679/0.661/0.326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11.2%/6.2%/0.0%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0.881/0.708/0.186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3.911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5.7%/5.7%/0.0%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0.941/0.623/0.195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2.732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6.1%/3.3%/0.0%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0.679/0.600/0.204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13.115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3.3%/2.4%/0.0%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0.610/0.704/0.139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4.021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2.9%/6.5%/0.0%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0.765/0.558/0.249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</w:rPr>
        <w:t>guard激活</w:t>
      </w:r>
      <w:r>
        <w:t xml:space="preserve"> 为 body-rate v2 的视场保持保护状态。该状态下 PNG 加速度和 speed-hold 加速度会分别乘以 </w:t>
      </w:r>
      <w:r>
        <w:rPr>
          <w:rFonts w:ascii="Consolas" w:hAnsi="Consolas" w:eastAsia="Consolas"/>
        </w:rPr>
        <w:t>body_rate_v2_guard_png_scale</w:t>
      </w:r>
      <w:r>
        <w:t xml:space="preserve"> 与 </w:t>
      </w:r>
      <w:r>
        <w:rPr>
          <w:rFonts w:ascii="Consolas" w:hAnsi="Consolas" w:eastAsia="Consolas"/>
        </w:rPr>
        <w:t>body_rate_v2_guard_speed_hold_scale</w:t>
      </w:r>
      <w:r>
        <w:t>。</w:t>
      </w:r>
    </w:p>
    <w:p>
      <w:pPr>
        <w:pStyle w:val="ListBullet"/>
      </w:pPr>
      <w:r>
        <w:t>本轮所有工况 guard 均长期激活，说明固定相机始终处于“视场保持优先”区域；这能减少甩出画面，但也会显著削弱末端机动。</w:t>
      </w:r>
    </w:p>
    <w:p>
      <w:pPr>
        <w:pStyle w:val="ListBullet"/>
      </w:pPr>
      <w:r>
        <w:rPr>
          <w:rFonts w:ascii="Consolas" w:hAnsi="Consolas" w:eastAsia="Consolas"/>
        </w:rPr>
        <w:t>p/q/r峰值</w:t>
      </w:r>
      <w:r>
        <w:t xml:space="preserve"> 多次达到 </w:t>
      </w:r>
      <w:r>
        <w:rPr>
          <w:rFonts w:ascii="Consolas" w:hAnsi="Consolas" w:eastAsia="Consolas"/>
        </w:rPr>
        <w:t>120/120/45 deg/s</w:t>
      </w:r>
      <w:r>
        <w:t xml:space="preserve"> 限幅，说明体轴角速度通道经常打满。未命中不只是导引律问题，还受 PX4 body-rate 跟踪能力、角速度限幅和低频视觉闭环共同限制。</w:t>
      </w:r>
    </w:p>
    <w:p>
      <w:pPr>
        <w:pStyle w:val="ListBullet"/>
      </w:pPr>
      <w:r>
        <w:t>推力饱和比例整体不高，当前主要瓶颈更像是角速度/姿态响应与 frame guard 长期降权，而不是总推力常态触顶。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body_rate_control_profile=v2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0/6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50m, 60m, 70m, 80m, 90m, 100m</w:t>
      </w:r>
      <w:r>
        <w:t xml:space="preserve">，检测帧比例 </w:t>
      </w:r>
      <w:r>
        <w:rPr>
          <w:rFonts w:ascii="Consolas" w:hAnsi="Consolas" w:eastAsia="Consolas"/>
        </w:rPr>
        <w:t>81.8%</w:t>
      </w:r>
      <w:r>
        <w:t xml:space="preserve">，有效导引帧比例 </w:t>
      </w:r>
      <w:r>
        <w:rPr>
          <w:rFonts w:ascii="Consolas" w:hAnsi="Consolas" w:eastAsia="Consolas"/>
        </w:rPr>
        <w:t>92.7%</w:t>
      </w:r>
      <w:r>
        <w:t xml:space="preserve">，平均检测 FPS </w:t>
      </w:r>
      <w:r>
        <w:rPr>
          <w:rFonts w:ascii="Consolas" w:hAnsi="Consolas" w:eastAsia="Consolas"/>
        </w:rPr>
        <w:t>8.28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1/6</w:t>
      </w:r>
      <w:r>
        <w:t xml:space="preserve">，命中距离 </w:t>
      </w:r>
      <w:r>
        <w:rPr>
          <w:rFonts w:ascii="Consolas" w:hAnsi="Consolas" w:eastAsia="Consolas"/>
        </w:rPr>
        <w:t>70m</w:t>
      </w:r>
      <w:r>
        <w:t xml:space="preserve">，未命中 </w:t>
      </w:r>
      <w:r>
        <w:rPr>
          <w:rFonts w:ascii="Consolas" w:hAnsi="Consolas" w:eastAsia="Consolas"/>
        </w:rPr>
        <w:t>50m, 60m, 80m, 90m, 100m</w:t>
      </w:r>
      <w:r>
        <w:t xml:space="preserve">，检测帧比例 </w:t>
      </w:r>
      <w:r>
        <w:rPr>
          <w:rFonts w:ascii="Consolas" w:hAnsi="Consolas" w:eastAsia="Consolas"/>
        </w:rPr>
        <w:t>73.8%</w:t>
      </w:r>
      <w:r>
        <w:t xml:space="preserve">，有效导引帧比例 </w:t>
      </w:r>
      <w:r>
        <w:rPr>
          <w:rFonts w:ascii="Consolas" w:hAnsi="Consolas" w:eastAsia="Consolas"/>
        </w:rPr>
        <w:t>80.9%</w:t>
      </w:r>
      <w:r>
        <w:t xml:space="preserve">，平均检测 FPS </w:t>
      </w:r>
      <w:r>
        <w:rPr>
          <w:rFonts w:ascii="Consolas" w:hAnsi="Consolas" w:eastAsia="Consolas"/>
        </w:rPr>
        <w:t>8.65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