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Video Script: Building Energy Anomaly Detection</w:t>
      </w:r>
    </w:p>
    <w:p>
      <w:r>
        <w:t>Julie Bounds | DTSC 691 | One continuous recording, about 19 to 21 minutes at a relaxed pace. This script follows the final report (Final_Project_Overview.pdf) page by page and uses only numbers that are in the report or on the app screen.</w:t>
      </w:r>
    </w:p>
    <w:p>
      <w:pPr>
        <w:pStyle w:val="Heading1"/>
      </w:pPr>
      <w:r>
        <w:t>How to read this script</w:t>
      </w:r>
    </w:p>
    <w:p>
      <w:pPr>
        <w:pStyle w:val="ListBullet"/>
      </w:pPr>
      <w:r>
        <w:t>Each SCENE has a colored banner telling you exactly where to be on screen. A blue banner means REPORT page. A green banner means the BROWSER app.</w:t>
      </w:r>
    </w:p>
    <w:p>
      <w:pPr>
        <w:pStyle w:val="ListBullet"/>
      </w:pPr>
      <w:r>
        <w:t>SAY (green label) is what you read out loud. SCROLL / TURN (blue italic) is an action. Do it at that moment, before you speak the next SAY.</w:t>
      </w:r>
    </w:p>
    <w:p>
      <w:pPr>
        <w:pStyle w:val="ListBullet"/>
      </w:pPr>
      <w:r>
        <w:t>Every time the report changes pages the script says TURN TO PAGE N in bold. Every time you change windows it says SWITCH.</w:t>
      </w:r>
    </w:p>
    <w:p>
      <w:pPr>
        <w:pStyle w:val="ListBullet"/>
      </w:pPr>
      <w:r>
        <w:t>The clock times are targets, not rules. If you are 1 to 2 minutes off, that is fine.</w:t>
      </w:r>
    </w:p>
    <w:p>
      <w:pPr>
        <w:pStyle w:val="ListBullet"/>
      </w:pPr>
      <w:r>
        <w:t>Report page numbers are the 'Page N' numbers printed at the bottom of each page of the PDF.</w:t>
      </w:r>
    </w:p>
    <w:p>
      <w:pPr>
        <w:pStyle w:val="Heading1"/>
      </w:pPr>
      <w:r>
        <w:t>Before you hit record</w:t>
      </w:r>
    </w:p>
    <w:p>
      <w:pPr>
        <w:pStyle w:val="ListBullet"/>
      </w:pPr>
      <w:r>
        <w:t>Open the PDF (Final_Project_Overview.pdf) and set it to fit-to-width so one page fills the screen. Open the app in a browser tab and click through it once so it is loaded and not slow on camera. Keep this script on a second screen or printed.</w:t>
      </w:r>
    </w:p>
    <w:p>
      <w:pPr>
        <w:pStyle w:val="ListBullet"/>
      </w:pPr>
      <w:r>
        <w:t>Close email, Teams and other notifications. Turn on Do Not Disturb. Use the Xbox Game Bar (Windows key + G) or Zoom to record, and check the microphone with a 10-second test.</w:t>
      </w:r>
    </w:p>
    <w:p>
      <w:pPr>
        <w:pStyle w:val="ListBullet"/>
      </w:pPr>
      <w:r>
        <w:t>In the app, pre-test your Score Your Own Building inputs, so you know what to type. If numbers on your screen differ from the example numbers in the script, say the ones on your screen.</w:t>
      </w:r>
    </w:p>
    <w:p>
      <w:pPr>
        <w:pStyle w:val="ListBullet"/>
      </w:pPr>
      <w:r>
        <w:t>If you stumble, pause, take a breath, and restart the sentence. You can trim it later or just leave it.</w:t>
      </w:r>
    </w:p>
    <w:p>
      <w:pPr>
        <w:pStyle w:val="Heading1"/>
      </w:pPr>
      <w:r>
        <w:t>Timeline at a glance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t>#</w:t>
            </w:r>
          </w:p>
        </w:tc>
        <w:tc>
          <w:tcPr>
            <w:tcW w:type="dxa" w:w="2412"/>
          </w:tcPr>
          <w:p>
            <w:r>
              <w:t>Scene</w:t>
            </w:r>
          </w:p>
        </w:tc>
        <w:tc>
          <w:tcPr>
            <w:tcW w:type="dxa" w:w="2412"/>
          </w:tcPr>
          <w:p>
            <w:r>
              <w:t>Where</w:t>
            </w:r>
          </w:p>
        </w:tc>
        <w:tc>
          <w:tcPr>
            <w:tcW w:type="dxa" w:w="2412"/>
          </w:tcPr>
          <w:p>
            <w:r>
              <w:t>Target clock</w:t>
            </w:r>
          </w:p>
        </w:tc>
      </w:tr>
      <w:tr>
        <w:tc>
          <w:tcPr>
            <w:tcW w:type="dxa" w:w="2412"/>
          </w:tcPr>
          <w:p>
            <w:r>
              <w:t>1</w:t>
            </w:r>
          </w:p>
        </w:tc>
        <w:tc>
          <w:tcPr>
            <w:tcW w:type="dxa" w:w="2412"/>
          </w:tcPr>
          <w:p>
            <w:r>
              <w:t>Intro</w:t>
            </w:r>
          </w:p>
        </w:tc>
        <w:tc>
          <w:tcPr>
            <w:tcW w:type="dxa" w:w="2412"/>
          </w:tcPr>
          <w:p>
            <w:r>
              <w:t>REPORT PAGE 1 (title page)</w:t>
            </w:r>
          </w:p>
        </w:tc>
        <w:tc>
          <w:tcPr>
            <w:tcW w:type="dxa" w:w="2412"/>
          </w:tcPr>
          <w:p>
            <w:r>
              <w:t>0:00 to 0:32</w:t>
            </w:r>
          </w:p>
        </w:tc>
      </w:tr>
      <w:tr>
        <w:tc>
          <w:tcPr>
            <w:tcW w:type="dxa" w:w="2412"/>
          </w:tcPr>
          <w:p>
            <w:r>
              <w:t>2</w:t>
            </w:r>
          </w:p>
        </w:tc>
        <w:tc>
          <w:tcPr>
            <w:tcW w:type="dxa" w:w="2412"/>
          </w:tcPr>
          <w:p>
            <w:r>
              <w:t>Abstract and problem</w:t>
            </w:r>
          </w:p>
        </w:tc>
        <w:tc>
          <w:tcPr>
            <w:tcW w:type="dxa" w:w="2412"/>
          </w:tcPr>
          <w:p>
            <w:r>
              <w:t>REPORT PAGE 2</w:t>
            </w:r>
          </w:p>
        </w:tc>
        <w:tc>
          <w:tcPr>
            <w:tcW w:type="dxa" w:w="2412"/>
          </w:tcPr>
          <w:p>
            <w:r>
              <w:t>0:32 to 2:07</w:t>
            </w:r>
          </w:p>
        </w:tc>
      </w:tr>
      <w:tr>
        <w:tc>
          <w:tcPr>
            <w:tcW w:type="dxa" w:w="2412"/>
          </w:tcPr>
          <w:p>
            <w:r>
              <w:t>3</w:t>
            </w:r>
          </w:p>
        </w:tc>
        <w:tc>
          <w:tcPr>
            <w:tcW w:type="dxa" w:w="2412"/>
          </w:tcPr>
          <w:p>
            <w:r>
              <w:t>Data sources and cleaning</w:t>
            </w:r>
          </w:p>
        </w:tc>
        <w:tc>
          <w:tcPr>
            <w:tcW w:type="dxa" w:w="2412"/>
          </w:tcPr>
          <w:p>
            <w:r>
              <w:t>Stay on REPORT PAGE 2 and scroll to Section 2</w:t>
            </w:r>
          </w:p>
        </w:tc>
        <w:tc>
          <w:tcPr>
            <w:tcW w:type="dxa" w:w="2412"/>
          </w:tcPr>
          <w:p>
            <w:r>
              <w:t>2:07 to 3:25</w:t>
            </w:r>
          </w:p>
        </w:tc>
      </w:tr>
      <w:tr>
        <w:tc>
          <w:tcPr>
            <w:tcW w:type="dxa" w:w="2412"/>
          </w:tcPr>
          <w:p>
            <w:r>
              <w:t>4</w:t>
            </w:r>
          </w:p>
        </w:tc>
        <w:tc>
          <w:tcPr>
            <w:tcW w:type="dxa" w:w="2412"/>
          </w:tcPr>
          <w:p>
            <w:r>
              <w:t>Known data limitations</w:t>
            </w:r>
          </w:p>
        </w:tc>
        <w:tc>
          <w:tcPr>
            <w:tcW w:type="dxa" w:w="2412"/>
          </w:tcPr>
          <w:p>
            <w:r>
              <w:t>Stay on REPORT PAGE 3</w:t>
            </w:r>
          </w:p>
        </w:tc>
        <w:tc>
          <w:tcPr>
            <w:tcW w:type="dxa" w:w="2412"/>
          </w:tcPr>
          <w:p>
            <w:r>
              <w:t>3:25 to 4:01</w:t>
            </w:r>
          </w:p>
        </w:tc>
      </w:tr>
      <w:tr>
        <w:tc>
          <w:tcPr>
            <w:tcW w:type="dxa" w:w="2412"/>
          </w:tcPr>
          <w:p>
            <w:r>
              <w:t>5</w:t>
            </w:r>
          </w:p>
        </w:tc>
        <w:tc>
          <w:tcPr>
            <w:tcW w:type="dxa" w:w="2412"/>
          </w:tcPr>
          <w:p>
            <w:r>
              <w:t>Exploratory data analysis</w:t>
            </w:r>
          </w:p>
        </w:tc>
        <w:tc>
          <w:tcPr>
            <w:tcW w:type="dxa" w:w="2412"/>
          </w:tcPr>
          <w:p>
            <w:r>
              <w:t>Stay on REPORT PAGE 3 and scroll to Section 3, Exploratory D</w:t>
            </w:r>
          </w:p>
        </w:tc>
        <w:tc>
          <w:tcPr>
            <w:tcW w:type="dxa" w:w="2412"/>
          </w:tcPr>
          <w:p>
            <w:r>
              <w:t>4:01 to 5:09</w:t>
            </w:r>
          </w:p>
        </w:tc>
      </w:tr>
      <w:tr>
        <w:tc>
          <w:tcPr>
            <w:tcW w:type="dxa" w:w="2412"/>
          </w:tcPr>
          <w:p>
            <w:r>
              <w:t>6</w:t>
            </w:r>
          </w:p>
        </w:tc>
        <w:tc>
          <w:tcPr>
            <w:tcW w:type="dxa" w:w="2412"/>
          </w:tcPr>
          <w:p>
            <w:r>
              <w:t>Leakage, features and partitioning</w:t>
            </w:r>
          </w:p>
        </w:tc>
        <w:tc>
          <w:tcPr>
            <w:tcW w:type="dxa" w:w="2412"/>
          </w:tcPr>
          <w:p>
            <w:r>
              <w:t>TURN TO PAGE 5</w:t>
            </w:r>
          </w:p>
        </w:tc>
        <w:tc>
          <w:tcPr>
            <w:tcW w:type="dxa" w:w="2412"/>
          </w:tcPr>
          <w:p>
            <w:r>
              <w:t>5:09 to 6:44</w:t>
            </w:r>
          </w:p>
        </w:tc>
      </w:tr>
      <w:tr>
        <w:tc>
          <w:tcPr>
            <w:tcW w:type="dxa" w:w="2412"/>
          </w:tcPr>
          <w:p>
            <w:r>
              <w:t>7</w:t>
            </w:r>
          </w:p>
        </w:tc>
        <w:tc>
          <w:tcPr>
            <w:tcW w:type="dxa" w:w="2412"/>
          </w:tcPr>
          <w:p>
            <w:r>
              <w:t>Models and tuning</w:t>
            </w:r>
          </w:p>
        </w:tc>
        <w:tc>
          <w:tcPr>
            <w:tcW w:type="dxa" w:w="2412"/>
          </w:tcPr>
          <w:p>
            <w:r>
              <w:t>TURN TO PAGE 6</w:t>
            </w:r>
          </w:p>
        </w:tc>
        <w:tc>
          <w:tcPr>
            <w:tcW w:type="dxa" w:w="2412"/>
          </w:tcPr>
          <w:p>
            <w:r>
              <w:t>6:44 to 7:54</w:t>
            </w:r>
          </w:p>
        </w:tc>
      </w:tr>
      <w:tr>
        <w:tc>
          <w:tcPr>
            <w:tcW w:type="dxa" w:w="2412"/>
          </w:tcPr>
          <w:p>
            <w:r>
              <w:t>8</w:t>
            </w:r>
          </w:p>
        </w:tc>
        <w:tc>
          <w:tcPr>
            <w:tcW w:type="dxa" w:w="2412"/>
          </w:tcPr>
          <w:p>
            <w:r>
              <w:t>Regression accuracy and proxy labels</w:t>
            </w:r>
          </w:p>
        </w:tc>
        <w:tc>
          <w:tcPr>
            <w:tcW w:type="dxa" w:w="2412"/>
          </w:tcPr>
          <w:p>
            <w:r>
              <w:t>TURN TO PAGE 7</w:t>
            </w:r>
          </w:p>
        </w:tc>
        <w:tc>
          <w:tcPr>
            <w:tcW w:type="dxa" w:w="2412"/>
          </w:tcPr>
          <w:p>
            <w:r>
              <w:t>7:54 to 9:17</w:t>
            </w:r>
          </w:p>
        </w:tc>
      </w:tr>
      <w:tr>
        <w:tc>
          <w:tcPr>
            <w:tcW w:type="dxa" w:w="2412"/>
          </w:tcPr>
          <w:p>
            <w:r>
              <w:t>9</w:t>
            </w:r>
          </w:p>
        </w:tc>
        <w:tc>
          <w:tcPr>
            <w:tcW w:type="dxa" w:w="2412"/>
          </w:tcPr>
          <w:p>
            <w:r>
              <w:t>Benchmark results</w:t>
            </w:r>
          </w:p>
        </w:tc>
        <w:tc>
          <w:tcPr>
            <w:tcW w:type="dxa" w:w="2412"/>
          </w:tcPr>
          <w:p>
            <w:r>
              <w:t>Stay on PAGE 7 and point at the first benchmark table</w:t>
            </w:r>
          </w:p>
        </w:tc>
        <w:tc>
          <w:tcPr>
            <w:tcW w:type="dxa" w:w="2412"/>
          </w:tcPr>
          <w:p>
            <w:r>
              <w:t>9:17 to 10:17</w:t>
            </w:r>
          </w:p>
        </w:tc>
      </w:tr>
      <w:tr>
        <w:tc>
          <w:tcPr>
            <w:tcW w:type="dxa" w:w="2412"/>
          </w:tcPr>
          <w:p>
            <w:r>
              <w:t>10</w:t>
            </w:r>
          </w:p>
        </w:tc>
        <w:tc>
          <w:tcPr>
            <w:tcW w:type="dxa" w:w="2412"/>
          </w:tcPr>
          <w:p>
            <w:r>
              <w:t>Stability and explainability</w:t>
            </w:r>
          </w:p>
        </w:tc>
        <w:tc>
          <w:tcPr>
            <w:tcW w:type="dxa" w:w="2412"/>
          </w:tcPr>
          <w:p>
            <w:r>
              <w:t>Stay on PAGE 8 and scroll to Section 5</w:t>
            </w:r>
          </w:p>
        </w:tc>
        <w:tc>
          <w:tcPr>
            <w:tcW w:type="dxa" w:w="2412"/>
          </w:tcPr>
          <w:p>
            <w:r>
              <w:t>10:17 to 11:17</w:t>
            </w:r>
          </w:p>
        </w:tc>
      </w:tr>
      <w:tr>
        <w:tc>
          <w:tcPr>
            <w:tcW w:type="dxa" w:w="2412"/>
          </w:tcPr>
          <w:p>
            <w:r>
              <w:t>11</w:t>
            </w:r>
          </w:p>
        </w:tc>
        <w:tc>
          <w:tcPr>
            <w:tcW w:type="dxa" w:w="2412"/>
          </w:tcPr>
          <w:p>
            <w:r>
              <w:t>Expert audit</w:t>
            </w:r>
          </w:p>
        </w:tc>
        <w:tc>
          <w:tcPr>
            <w:tcW w:type="dxa" w:w="2412"/>
          </w:tcPr>
          <w:p>
            <w:r>
              <w:t>TURN TO PAGE 10</w:t>
            </w:r>
          </w:p>
        </w:tc>
        <w:tc>
          <w:tcPr>
            <w:tcW w:type="dxa" w:w="2412"/>
          </w:tcPr>
          <w:p>
            <w:r>
              <w:t>11:17 to 12:22</w:t>
            </w:r>
          </w:p>
        </w:tc>
      </w:tr>
      <w:tr>
        <w:tc>
          <w:tcPr>
            <w:tcW w:type="dxa" w:w="2412"/>
          </w:tcPr>
          <w:p>
            <w:r>
              <w:t>12</w:t>
            </w:r>
          </w:p>
        </w:tc>
        <w:tc>
          <w:tcPr>
            <w:tcW w:type="dxa" w:w="2412"/>
          </w:tcPr>
          <w:p>
            <w:r>
              <w:t>Model selection and app overview</w:t>
            </w:r>
          </w:p>
        </w:tc>
        <w:tc>
          <w:tcPr>
            <w:tcW w:type="dxa" w:w="2412"/>
          </w:tcPr>
          <w:p>
            <w:r>
              <w:t>Stay on REPORT PAGE 11</w:t>
            </w:r>
          </w:p>
        </w:tc>
        <w:tc>
          <w:tcPr>
            <w:tcW w:type="dxa" w:w="2412"/>
          </w:tcPr>
          <w:p>
            <w:r>
              <w:t>12:22 to 12:50</w:t>
            </w:r>
          </w:p>
        </w:tc>
      </w:tr>
      <w:tr>
        <w:tc>
          <w:tcPr>
            <w:tcW w:type="dxa" w:w="2412"/>
          </w:tcPr>
          <w:p>
            <w:r>
              <w:t>13</w:t>
            </w:r>
          </w:p>
        </w:tc>
        <w:tc>
          <w:tcPr>
            <w:tcW w:type="dxa" w:w="2412"/>
          </w:tcPr>
          <w:p>
            <w:r>
              <w:t>Live demo: Home, Resume, Projects</w:t>
            </w:r>
          </w:p>
        </w:tc>
        <w:tc>
          <w:tcPr>
            <w:tcW w:type="dxa" w:w="2412"/>
          </w:tcPr>
          <w:p>
            <w:r>
              <w:t>BROWSER: the Streamlit app, Home page</w:t>
            </w:r>
          </w:p>
        </w:tc>
        <w:tc>
          <w:tcPr>
            <w:tcW w:type="dxa" w:w="2412"/>
          </w:tcPr>
          <w:p>
            <w:r>
              <w:t>12:50 to 13:22</w:t>
            </w:r>
          </w:p>
        </w:tc>
      </w:tr>
      <w:tr>
        <w:tc>
          <w:tcPr>
            <w:tcW w:type="dxa" w:w="2412"/>
          </w:tcPr>
          <w:p>
            <w:r>
              <w:t>14</w:t>
            </w:r>
          </w:p>
        </w:tc>
        <w:tc>
          <w:tcPr>
            <w:tcW w:type="dxa" w:w="2412"/>
          </w:tcPr>
          <w:p>
            <w:r>
              <w:t>Live demo: Problem and Approach, Results</w:t>
            </w:r>
          </w:p>
        </w:tc>
        <w:tc>
          <w:tcPr>
            <w:tcW w:type="dxa" w:w="2412"/>
          </w:tcPr>
          <w:p>
            <w:r>
              <w:t>BROWSER: Anomaly Detector page</w:t>
            </w:r>
          </w:p>
        </w:tc>
        <w:tc>
          <w:tcPr>
            <w:tcW w:type="dxa" w:w="2412"/>
          </w:tcPr>
          <w:p>
            <w:r>
              <w:t>13:22 to 14:07</w:t>
            </w:r>
          </w:p>
        </w:tc>
      </w:tr>
      <w:tr>
        <w:tc>
          <w:tcPr>
            <w:tcW w:type="dxa" w:w="2412"/>
          </w:tcPr>
          <w:p>
            <w:r>
              <w:t>15</w:t>
            </w:r>
          </w:p>
        </w:tc>
        <w:tc>
          <w:tcPr>
            <w:tcW w:type="dxa" w:w="2412"/>
          </w:tcPr>
          <w:p>
            <w:r>
              <w:t>Live demo: Explore Portfolio Rankings</w:t>
            </w:r>
          </w:p>
        </w:tc>
        <w:tc>
          <w:tcPr>
            <w:tcW w:type="dxa" w:w="2412"/>
          </w:tcPr>
          <w:p>
            <w:r>
              <w:t>BROWSER: Anomaly Detector, third tab, Explore Portfolio Rank</w:t>
            </w:r>
          </w:p>
        </w:tc>
        <w:tc>
          <w:tcPr>
            <w:tcW w:type="dxa" w:w="2412"/>
          </w:tcPr>
          <w:p>
            <w:r>
              <w:t>14:07 to 15:17</w:t>
            </w:r>
          </w:p>
        </w:tc>
      </w:tr>
      <w:tr>
        <w:tc>
          <w:tcPr>
            <w:tcW w:type="dxa" w:w="2412"/>
          </w:tcPr>
          <w:p>
            <w:r>
              <w:t>16</w:t>
            </w:r>
          </w:p>
        </w:tc>
        <w:tc>
          <w:tcPr>
            <w:tcW w:type="dxa" w:w="2412"/>
          </w:tcPr>
          <w:p>
            <w:r>
              <w:t>Live demo: Score Your Own Building</w:t>
            </w:r>
          </w:p>
        </w:tc>
        <w:tc>
          <w:tcPr>
            <w:tcW w:type="dxa" w:w="2412"/>
          </w:tcPr>
          <w:p>
            <w:r>
              <w:t>BROWSER: Anomaly Detector, fourth tab, Score Your Own Buildi</w:t>
            </w:r>
          </w:p>
        </w:tc>
        <w:tc>
          <w:tcPr>
            <w:tcW w:type="dxa" w:w="2412"/>
          </w:tcPr>
          <w:p>
            <w:r>
              <w:t>15:17 to 17:12</w:t>
            </w:r>
          </w:p>
        </w:tc>
      </w:tr>
      <w:tr>
        <w:tc>
          <w:tcPr>
            <w:tcW w:type="dxa" w:w="2412"/>
          </w:tcPr>
          <w:p>
            <w:r>
              <w:t>17</w:t>
            </w:r>
          </w:p>
        </w:tc>
        <w:tc>
          <w:tcPr>
            <w:tcW w:type="dxa" w:w="2412"/>
          </w:tcPr>
          <w:p>
            <w:r>
              <w:t>Limitations, next steps and close</w:t>
            </w:r>
          </w:p>
        </w:tc>
        <w:tc>
          <w:tcPr>
            <w:tcW w:type="dxa" w:w="2412"/>
          </w:tcPr>
          <w:p>
            <w:r>
              <w:t>REPORT PAGE 11, Section 7, Limitations and Next Steps</w:t>
            </w:r>
          </w:p>
        </w:tc>
        <w:tc>
          <w:tcPr>
            <w:tcW w:type="dxa" w:w="2412"/>
          </w:tcPr>
          <w:p>
            <w:r>
              <w:t>17:12 to 18:39</w:t>
            </w:r>
          </w:p>
        </w:tc>
      </w:tr>
    </w:tbl>
    <w:p/>
    <w:p>
      <w:r>
        <w:br w:type="page"/>
      </w:r>
    </w:p>
    <w:tbl>
      <w:tblPr>
        <w:tblW w:type="auto" w:w="0"/>
        <w:tblLook w:firstColumn="1" w:firstRow="1" w:lastColumn="0" w:lastRow="0" w:noHBand="0" w:noVBand="1" w:val="04A0"/>
      </w:tblPr>
      <w:tblGrid>
        <w:gridCol w:w="9648"/>
      </w:tblGrid>
      <w:tr>
        <w:tc>
          <w:tcPr>
            <w:tcW w:type="dxa" w:w="9648"/>
            <w:shd w:val="clear" w:color="auto" w:fill="1F4E8C"/>
          </w:tcPr>
          <w:p>
            <w:r>
              <w:rPr>
                <w:b/>
                <w:color w:val="FFFFFF"/>
                <w:sz w:val="28"/>
              </w:rPr>
              <w:t>SCENE 1 of 17: Intro   |   Target clock 0:00 to 0:32</w:t>
            </w:r>
          </w:p>
          <w:p>
            <w:r>
              <w:rPr>
                <w:color w:val="FFFFFF"/>
                <w:sz w:val="22"/>
              </w:rPr>
              <w:t>GO TO: REPORT PAGE 1 (title page). Have the PDF open at the very top. Start recording, wait 2 seconds, then begin.</w:t>
            </w:r>
          </w:p>
        </w:tc>
      </w:tr>
    </w:tbl>
    <w:p/>
    <w:p>
      <w:pPr>
        <w:spacing w:after="160"/>
      </w:pPr>
      <w:r>
        <w:rPr>
          <w:b/>
          <w:color w:val="1F7A4C"/>
        </w:rPr>
        <w:t xml:space="preserve">SAY:  </w:t>
      </w:r>
      <w:r>
        <w:t>Hi, I'm Julie Bounds, and this is my DTSC 691 capstone project, Building Energy Benchmarking Anomaly Detection. My mentor was Jasmeet Bhatia. The project ranks New York City commercial and multifamily buildings by unusual energy use, using machine learning. I'll walk through my written report, and then demo the live app I built. The links to the app and the code are on this title page.</w:t>
      </w:r>
    </w:p>
    <w:p/>
    <w:tbl>
      <w:tblPr>
        <w:tblW w:type="auto" w:w="0"/>
        <w:tblLook w:firstColumn="1" w:firstRow="1" w:lastColumn="0" w:lastRow="0" w:noHBand="0" w:noVBand="1" w:val="04A0"/>
      </w:tblPr>
      <w:tblGrid>
        <w:gridCol w:w="9648"/>
      </w:tblGrid>
      <w:tr>
        <w:tc>
          <w:tcPr>
            <w:tcW w:type="dxa" w:w="9648"/>
            <w:shd w:val="clear" w:color="auto" w:fill="1F4E8C"/>
          </w:tcPr>
          <w:p>
            <w:r>
              <w:rPr>
                <w:b/>
                <w:color w:val="FFFFFF"/>
                <w:sz w:val="28"/>
              </w:rPr>
              <w:t>SCENE 2 of 17: Abstract and problem   |   Target clock 0:32 to 2:07</w:t>
            </w:r>
          </w:p>
          <w:p>
            <w:r>
              <w:rPr>
                <w:color w:val="FFFFFF"/>
                <w:sz w:val="22"/>
              </w:rPr>
              <w:t>GO TO: REPORT PAGE 2. Turn one page. Start at the Abstract at the top of the page.</w:t>
            </w:r>
          </w:p>
        </w:tc>
      </w:tr>
    </w:tbl>
    <w:p/>
    <w:p>
      <w:pPr>
        <w:spacing w:after="160"/>
      </w:pPr>
      <w:r>
        <w:rPr>
          <w:b/>
          <w:color w:val="1F7A4C"/>
        </w:rPr>
        <w:t xml:space="preserve">SAY:  </w:t>
      </w:r>
      <w:r>
        <w:t>From the abstract: energy benchmarking programs like New York City's Local Law 84 usually flag buildings with static percentile cutoffs. Those rules treat very different buildings alike, and they ignore how size, age, fuel mix and use combine to set how much energy a building should use. So I built a system that estimates how much energy a building should use, and ranks buildings by how far actual use is from that expectation.</w:t>
      </w:r>
    </w:p>
    <w:p>
      <w:pPr>
        <w:spacing w:after="160"/>
      </w:pPr>
      <w:r>
        <w:rPr>
          <w:b w:val="0"/>
          <w:i/>
          <w:color w:val="1F4E8C"/>
        </w:rPr>
        <w:t>→ Scroll down a little to Section 1, Problem, Objective and Scope.</w:t>
      </w:r>
    </w:p>
    <w:p>
      <w:pPr>
        <w:spacing w:after="160"/>
      </w:pPr>
      <w:r>
        <w:rPr>
          <w:b/>
          <w:color w:val="1F7A4C"/>
        </w:rPr>
        <w:t xml:space="preserve">SAY:  </w:t>
      </w:r>
      <w:r>
        <w:t>Section 1 describes two problems with cutoffs. First, false positives and negatives: a legitimately energy-intensive building, like a 24/7 data center or a hospital, gets penalized, while an inefficient smaller building can look fine per square foot. Second, a cutoff looks at one driver at a time, so it can't model how floor area, age, fuel mix and property type work together.</w:t>
      </w:r>
    </w:p>
    <w:p>
      <w:pPr>
        <w:spacing w:after="160"/>
      </w:pPr>
      <w:r>
        <w:rPr>
          <w:b/>
          <w:color w:val="1F7A4C"/>
        </w:rPr>
        <w:t xml:space="preserve">SAY:  </w:t>
      </w:r>
      <w:r>
        <w:t>My objective was a ranked anomaly score for every building, in an interactive tool, so reviewers can decide which buildings to look at first. It's a prioritization tool, not a prediction of absolute consumption. And one finding I'll come back to: proxy labels built from energy intensity favor simple rules, so the real test of the model was a manual audit that I did myself.</w:t>
      </w:r>
    </w:p>
    <w:p/>
    <w:tbl>
      <w:tblPr>
        <w:tblW w:type="auto" w:w="0"/>
        <w:tblLook w:firstColumn="1" w:firstRow="1" w:lastColumn="0" w:lastRow="0" w:noHBand="0" w:noVBand="1" w:val="04A0"/>
      </w:tblPr>
      <w:tblGrid>
        <w:gridCol w:w="9648"/>
      </w:tblGrid>
      <w:tr>
        <w:tc>
          <w:tcPr>
            <w:tcW w:type="dxa" w:w="9648"/>
            <w:shd w:val="clear" w:color="auto" w:fill="1F4E8C"/>
          </w:tcPr>
          <w:p>
            <w:r>
              <w:rPr>
                <w:b/>
                <w:color w:val="FFFFFF"/>
                <w:sz w:val="28"/>
              </w:rPr>
              <w:t>SCENE 3 of 17: Data sources and cleaning   |   Target clock 2:07 to 3:25</w:t>
            </w:r>
          </w:p>
          <w:p>
            <w:r>
              <w:rPr>
                <w:color w:val="FFFFFF"/>
                <w:sz w:val="22"/>
              </w:rPr>
              <w:t>GO TO: Stay on REPORT PAGE 2 and scroll to Section 2.1 Sources at the bottom. Then, when the script says so, TURN TO PAGE 3.</w:t>
            </w:r>
          </w:p>
        </w:tc>
      </w:tr>
    </w:tbl>
    <w:p/>
    <w:p>
      <w:pPr>
        <w:spacing w:after="160"/>
      </w:pPr>
      <w:r>
        <w:rPr>
          <w:b/>
          <w:color w:val="1F7A4C"/>
        </w:rPr>
        <w:t xml:space="preserve">SAY:  </w:t>
      </w:r>
      <w:r>
        <w:t>Section 2 is the data. The main source is the NYC Local Law 84 disclosure from NYC Open Data, which I downloaded on October 4th. It has 103,259 property-year records, 30,485 in 2022, 33,684 in 2023 and 39,090 in 2024.</w:t>
      </w:r>
    </w:p>
    <w:p>
      <w:pPr>
        <w:spacing w:after="160"/>
      </w:pPr>
      <w:r>
        <w:rPr>
          <w:b/>
          <w:i/>
          <w:color w:val="1F4E8C"/>
        </w:rPr>
        <w:t>▶ TURN TO PAGE 3. The top of the page continues Section 2.1.</w:t>
      </w:r>
    </w:p>
    <w:p>
      <w:pPr>
        <w:spacing w:after="160"/>
      </w:pPr>
      <w:r>
        <w:rPr>
          <w:b/>
          <w:color w:val="1F7A4C"/>
        </w:rPr>
        <w:t xml:space="preserve">SAY:  </w:t>
      </w:r>
      <w:r>
        <w:t>I also use the EPA ENERGY STAR national median energy intensity by property type. Each LL84 record already carries that national median, so I use it as the peer benchmark.</w:t>
      </w:r>
    </w:p>
    <w:p>
      <w:pPr>
        <w:spacing w:after="160"/>
      </w:pPr>
      <w:r>
        <w:rPr>
          <w:b w:val="0"/>
          <w:i/>
          <w:color w:val="1F4E8C"/>
        </w:rPr>
        <w:t>→ Move down to Section 2.2, Cleaning and record classes. Point at the table with your cursor.</w:t>
      </w:r>
    </w:p>
    <w:p>
      <w:pPr>
        <w:spacing w:after="160"/>
      </w:pPr>
      <w:r>
        <w:rPr>
          <w:b/>
          <w:color w:val="1F7A4C"/>
        </w:rPr>
        <w:t xml:space="preserve">SAY:  </w:t>
      </w:r>
      <w:r>
        <w:t>For cleaning, I resolved 775 duplicate rows, which left 102,484 property-years, and I derived floor area from site energy divided by EUI, because the calculated floor area columns are about 99 percent empty. Then every record goes into one of three classes. Model-ready is 83,217 records, data-quality anomalies are 4,999, and out of scope is 14,268. I kept the data-quality anomalies as their own class instead of throwing them away, as my proposal said. The final model-ready set has 36,088 unique buildings across 43 property types.</w:t>
      </w:r>
    </w:p>
    <w:p/>
    <w:tbl>
      <w:tblPr>
        <w:tblW w:type="auto" w:w="0"/>
        <w:tblLook w:firstColumn="1" w:firstRow="1" w:lastColumn="0" w:lastRow="0" w:noHBand="0" w:noVBand="1" w:val="04A0"/>
      </w:tblPr>
      <w:tblGrid>
        <w:gridCol w:w="9648"/>
      </w:tblGrid>
      <w:tr>
        <w:tc>
          <w:tcPr>
            <w:tcW w:type="dxa" w:w="9648"/>
            <w:shd w:val="clear" w:color="auto" w:fill="1F4E8C"/>
          </w:tcPr>
          <w:p>
            <w:r>
              <w:rPr>
                <w:b/>
                <w:color w:val="FFFFFF"/>
                <w:sz w:val="28"/>
              </w:rPr>
              <w:t>SCENE 4 of 17: Known data limitations   |   Target clock 3:25 to 4:01</w:t>
            </w:r>
          </w:p>
          <w:p>
            <w:r>
              <w:rPr>
                <w:color w:val="FFFFFF"/>
                <w:sz w:val="22"/>
              </w:rPr>
              <w:t>GO TO: Stay on REPORT PAGE 3. Scroll down to Section 2.3, Known data limitations.</w:t>
            </w:r>
          </w:p>
        </w:tc>
      </w:tr>
    </w:tbl>
    <w:p/>
    <w:p>
      <w:pPr>
        <w:spacing w:after="160"/>
      </w:pPr>
      <w:r>
        <w:rPr>
          <w:b/>
          <w:color w:val="1F7A4C"/>
        </w:rPr>
        <w:t xml:space="preserve">SAY:  </w:t>
      </w:r>
      <w:r>
        <w:t>The data has known limits. It's self-reported, so 17.9 percent of records carry the default-values flag, 39.4 percent the estimated-energy flag, and 85.6 percent report exactly 100 percent occupancy. Missing site EUI is growing, from 5.2 percent of 2022 records to 21.8 percent of 2024. Weekly operating hours are about 85 percent missing, so I dropped that field. And multifamily housing is 70 percent of the model-ready records, so my overall numbers mostly describe multifamily.</w:t>
      </w:r>
    </w:p>
    <w:p/>
    <w:tbl>
      <w:tblPr>
        <w:tblW w:type="auto" w:w="0"/>
        <w:tblLook w:firstColumn="1" w:firstRow="1" w:lastColumn="0" w:lastRow="0" w:noHBand="0" w:noVBand="1" w:val="04A0"/>
      </w:tblPr>
      <w:tblGrid>
        <w:gridCol w:w="9648"/>
      </w:tblGrid>
      <w:tr>
        <w:tc>
          <w:tcPr>
            <w:tcW w:type="dxa" w:w="9648"/>
            <w:shd w:val="clear" w:color="auto" w:fill="1F4E8C"/>
          </w:tcPr>
          <w:p>
            <w:r>
              <w:rPr>
                <w:b/>
                <w:color w:val="FFFFFF"/>
                <w:sz w:val="28"/>
              </w:rPr>
              <w:t>SCENE 5 of 17: Exploratory data analysis   |   Target clock 4:01 to 5:09</w:t>
            </w:r>
          </w:p>
          <w:p>
            <w:r>
              <w:rPr>
                <w:color w:val="FFFFFF"/>
                <w:sz w:val="22"/>
              </w:rPr>
              <w:t>GO TO: Stay on REPORT PAGE 3 and scroll to Section 3, Exploratory Data Analysis. Then TURN TO PAGE 4 when the script says so.</w:t>
            </w:r>
          </w:p>
        </w:tc>
      </w:tr>
    </w:tbl>
    <w:p/>
    <w:p>
      <w:pPr>
        <w:spacing w:after="160"/>
      </w:pPr>
      <w:r>
        <w:rPr>
          <w:b/>
          <w:color w:val="1F7A4C"/>
        </w:rPr>
        <w:t xml:space="preserve">SAY:  </w:t>
      </w:r>
      <w:r>
        <w:t>Section 3 is the exploratory analysis. Site EUI is right-skewed and varies strongly by property type, so I model the natural log of EUI.</w:t>
      </w:r>
    </w:p>
    <w:p>
      <w:pPr>
        <w:spacing w:after="160"/>
      </w:pPr>
      <w:r>
        <w:rPr>
          <w:b/>
          <w:i/>
          <w:color w:val="1F4E8C"/>
        </w:rPr>
        <w:t>▶ TURN TO PAGE 4. Point at the table at the top of the page.</w:t>
      </w:r>
    </w:p>
    <w:p>
      <w:pPr>
        <w:spacing w:after="160"/>
      </w:pPr>
      <w:r>
        <w:rPr>
          <w:b/>
          <w:color w:val="1F7A4C"/>
        </w:rPr>
        <w:t xml:space="preserve">SAY:  </w:t>
      </w:r>
      <w:r>
        <w:t>This table compares the NYC median with the EPA national median for the eight largest types. Multifamily is 73.7 against 82.8 nationally, offices are 59.0 against 83.5, hotels match the national median at 86.7, and self-storage is just 15.6.</w:t>
      </w:r>
    </w:p>
    <w:p>
      <w:pPr>
        <w:spacing w:after="160"/>
      </w:pPr>
      <w:r>
        <w:rPr>
          <w:b w:val="0"/>
          <w:i/>
          <w:color w:val="1F4E8C"/>
        </w:rPr>
        <w:t>→ Scroll down slightly so Figure 1 is on screen.</w:t>
      </w:r>
    </w:p>
    <w:p>
      <w:pPr>
        <w:spacing w:after="160"/>
      </w:pPr>
      <w:r>
        <w:rPr>
          <w:b/>
          <w:color w:val="1F7A4C"/>
        </w:rPr>
        <w:t xml:space="preserve">SAY:  </w:t>
      </w:r>
      <w:r>
        <w:t>Figure 1 shows the ten most common types on a log scale. A typical hotel uses more than five times as much energy per square foot as a typical self-storage facility. And almost every type has dots far to the right. Some of those are real, and some are probably reporting errors, which is why a single cutoff for everything doesn't work. Figure 2 shows EUI against floor area, with a median trend for each type.</w:t>
      </w:r>
    </w:p>
    <w:p/>
    <w:tbl>
      <w:tblPr>
        <w:tblW w:type="auto" w:w="0"/>
        <w:tblLook w:firstColumn="1" w:firstRow="1" w:lastColumn="0" w:lastRow="0" w:noHBand="0" w:noVBand="1" w:val="04A0"/>
      </w:tblPr>
      <w:tblGrid>
        <w:gridCol w:w="9648"/>
      </w:tblGrid>
      <w:tr>
        <w:tc>
          <w:tcPr>
            <w:tcW w:type="dxa" w:w="9648"/>
            <w:shd w:val="clear" w:color="auto" w:fill="1F4E8C"/>
          </w:tcPr>
          <w:p>
            <w:r>
              <w:rPr>
                <w:b/>
                <w:color w:val="FFFFFF"/>
                <w:sz w:val="28"/>
              </w:rPr>
              <w:t>SCENE 6 of 17: Leakage, features and partitioning   |   Target clock 5:09 to 6:44</w:t>
            </w:r>
          </w:p>
          <w:p>
            <w:r>
              <w:rPr>
                <w:color w:val="FFFFFF"/>
                <w:sz w:val="22"/>
              </w:rPr>
              <w:t>GO TO: TURN TO PAGE 5. Start at Figure 3 at the top.</w:t>
            </w:r>
          </w:p>
        </w:tc>
      </w:tr>
    </w:tbl>
    <w:p/>
    <w:p>
      <w:pPr>
        <w:spacing w:after="160"/>
      </w:pPr>
      <w:r>
        <w:rPr>
          <w:b/>
          <w:color w:val="1F7A4C"/>
        </w:rPr>
        <w:t xml:space="preserve">SAY:  </w:t>
      </w:r>
      <w:r>
        <w:t>Figure 3 shows missing data by property type. Operating hours are missing for most types.</w:t>
      </w:r>
    </w:p>
    <w:p>
      <w:pPr>
        <w:spacing w:after="160"/>
      </w:pPr>
      <w:r>
        <w:rPr>
          <w:b w:val="0"/>
          <w:i/>
          <w:color w:val="1F4E8C"/>
        </w:rPr>
        <w:t>→ Point at the paragraph 'Other EDA findings'.</w:t>
      </w:r>
    </w:p>
    <w:p>
      <w:pPr>
        <w:spacing w:after="160"/>
      </w:pPr>
      <w:r>
        <w:rPr>
          <w:b/>
          <w:color w:val="1F7A4C"/>
        </w:rPr>
        <w:t xml:space="preserve">SAY:  </w:t>
      </w:r>
      <w:r>
        <w:t>One important finding: the ENERGY STAR score is strongly negatively related to EUI, about negative 0.69, because it's computed from energy use. So I excluded it from the model to avoid leakage, and only use it to build proxy labels. I also found that 3 percent of consecutive-year pairs show an EUI change larger than three times, which marks candidate entry errors.</w:t>
      </w:r>
    </w:p>
    <w:p>
      <w:pPr>
        <w:spacing w:after="160"/>
      </w:pPr>
      <w:r>
        <w:rPr>
          <w:b w:val="0"/>
          <w:i/>
          <w:color w:val="1F4E8C"/>
        </w:rPr>
        <w:t>→ Scroll to Section 4, Methodology, then 4.1 Features and preprocessing.</w:t>
      </w:r>
    </w:p>
    <w:p>
      <w:pPr>
        <w:spacing w:after="160"/>
      </w:pPr>
      <w:r>
        <w:rPr>
          <w:b/>
          <w:color w:val="1F7A4C"/>
        </w:rPr>
        <w:t xml:space="preserve">SAY:  </w:t>
      </w:r>
      <w:r>
        <w:t>In the methodology, the model uses property type and borough, log floor area, building age, number of buildings, occupancy, the national median EUI, five fuel-mix shares, and the default and estimated-energy flags. I didn't use source EUI, site energy or greenhouse gas fields, because they come from the same energy data as the target.</w:t>
      </w:r>
    </w:p>
    <w:p>
      <w:pPr>
        <w:spacing w:after="160"/>
      </w:pPr>
      <w:r>
        <w:rPr>
          <w:b w:val="0"/>
          <w:i/>
          <w:color w:val="1F4E8C"/>
        </w:rPr>
        <w:t>→ Scroll to 4.2 Data partitioning.</w:t>
      </w:r>
    </w:p>
    <w:p>
      <w:pPr>
        <w:spacing w:after="160"/>
      </w:pPr>
      <w:r>
        <w:rPr>
          <w:b/>
          <w:color w:val="1F7A4C"/>
        </w:rPr>
        <w:t xml:space="preserve">SAY:  </w:t>
      </w:r>
      <w:r>
        <w:t>I trained and tuned on 2022 and 2023, which is 55,033 records, and evaluated once on the held-out 2024 records, which is 28,184. Cross-validation is grouped by Property ID, so a building never appears on both sides of a fold. About 82 percent of 2024 buildings also appear in training, so the hold-out is temporal, not building-level, which mirrors retraining the model for a new reporting year.</w:t>
      </w:r>
    </w:p>
    <w:p/>
    <w:tbl>
      <w:tblPr>
        <w:tblW w:type="auto" w:w="0"/>
        <w:tblLook w:firstColumn="1" w:firstRow="1" w:lastColumn="0" w:lastRow="0" w:noHBand="0" w:noVBand="1" w:val="04A0"/>
      </w:tblPr>
      <w:tblGrid>
        <w:gridCol w:w="9648"/>
      </w:tblGrid>
      <w:tr>
        <w:tc>
          <w:tcPr>
            <w:tcW w:type="dxa" w:w="9648"/>
            <w:shd w:val="clear" w:color="auto" w:fill="1F4E8C"/>
          </w:tcPr>
          <w:p>
            <w:r>
              <w:rPr>
                <w:b/>
                <w:color w:val="FFFFFF"/>
                <w:sz w:val="28"/>
              </w:rPr>
              <w:t>SCENE 7 of 17: Models and tuning   |   Target clock 6:44 to 7:54</w:t>
            </w:r>
          </w:p>
          <w:p>
            <w:r>
              <w:rPr>
                <w:color w:val="FFFFFF"/>
                <w:sz w:val="22"/>
              </w:rPr>
              <w:t>GO TO: TURN TO PAGE 6. Start at the bullet list under 4.3 Models at the top.</w:t>
            </w:r>
          </w:p>
        </w:tc>
      </w:tr>
    </w:tbl>
    <w:p/>
    <w:p>
      <w:pPr>
        <w:spacing w:after="160"/>
      </w:pPr>
      <w:r>
        <w:rPr>
          <w:b/>
          <w:color w:val="1F7A4C"/>
        </w:rPr>
        <w:t xml:space="preserve">SAY:  </w:t>
      </w:r>
      <w:r>
        <w:t>I compared four approaches. First, the rule-based baseline from my proposal, flagging buildings above the 90th percentile of EUI in their property type, plus a two-sided version. Second, my primary model, LightGBM. It predicts log EUI, and the anomaly score is the residual, actual minus expected, standardized for each property type. Third, an Isolation Forest, where I settled on 800 trees because that is the smallest number with stable scores across five seeds. And fourth, a One-Class SVM for comparison.</w:t>
      </w:r>
    </w:p>
    <w:p>
      <w:pPr>
        <w:spacing w:after="160"/>
      </w:pPr>
      <w:r>
        <w:rPr>
          <w:b w:val="0"/>
          <w:i/>
          <w:color w:val="1F4E8C"/>
        </w:rPr>
        <w:t>→ Move down to 4.4 Hyperparameter tuning, then Figure 4.</w:t>
      </w:r>
    </w:p>
    <w:p>
      <w:pPr>
        <w:spacing w:after="160"/>
      </w:pPr>
      <w:r>
        <w:rPr>
          <w:b/>
          <w:color w:val="1F7A4C"/>
        </w:rPr>
        <w:t xml:space="preserve">SAY:  </w:t>
      </w:r>
      <w:r>
        <w:t>I tuned LightGBM with a 40-candidate randomized search and five-fold cross-validation grouped by building. The best cross-validated RMSE was 0.406, and all 40 candidates fell between 0.406 and 0.420. Figure 4 shows why I scale residuals per property type: a single global scale over-flags types that naturally vary more, and per-type scaling cut the spread of flag rates across the ten largest types from 0.080 to 0.028.</w:t>
      </w:r>
    </w:p>
    <w:p/>
    <w:tbl>
      <w:tblPr>
        <w:tblW w:type="auto" w:w="0"/>
        <w:tblLook w:firstColumn="1" w:firstRow="1" w:lastColumn="0" w:lastRow="0" w:noHBand="0" w:noVBand="1" w:val="04A0"/>
      </w:tblPr>
      <w:tblGrid>
        <w:gridCol w:w="9648"/>
      </w:tblGrid>
      <w:tr>
        <w:tc>
          <w:tcPr>
            <w:tcW w:type="dxa" w:w="9648"/>
            <w:shd w:val="clear" w:color="auto" w:fill="1F4E8C"/>
          </w:tcPr>
          <w:p>
            <w:r>
              <w:rPr>
                <w:b/>
                <w:color w:val="FFFFFF"/>
                <w:sz w:val="28"/>
              </w:rPr>
              <w:t>SCENE 8 of 17: Regression accuracy and proxy labels   |   Target clock 7:54 to 9:17</w:t>
            </w:r>
          </w:p>
          <w:p>
            <w:r>
              <w:rPr>
                <w:color w:val="FFFFFF"/>
                <w:sz w:val="22"/>
              </w:rPr>
              <w:t>GO TO: TURN TO PAGE 7. Start at the top of the page. (The Section 5 heading is at the very bottom of page 6, so the text begins here.)</w:t>
            </w:r>
          </w:p>
        </w:tc>
      </w:tr>
    </w:tbl>
    <w:p/>
    <w:p>
      <w:pPr>
        <w:spacing w:after="160"/>
      </w:pPr>
      <w:r>
        <w:rPr>
          <w:b/>
          <w:color w:val="1F7A4C"/>
        </w:rPr>
        <w:t xml:space="preserve">SAY:  </w:t>
      </w:r>
      <w:r>
        <w:t>Section 5 is the evaluation. With no clean labels, I used four layers: regression accuracy, a proxy-label benchmark, stability, and a manual audit.</w:t>
      </w:r>
    </w:p>
    <w:p>
      <w:pPr>
        <w:spacing w:after="160"/>
      </w:pPr>
      <w:r>
        <w:rPr>
          <w:b w:val="0"/>
          <w:i/>
          <w:color w:val="1F4E8C"/>
        </w:rPr>
        <w:t>→ Point at the table in Section 5.1.</w:t>
      </w:r>
    </w:p>
    <w:p>
      <w:pPr>
        <w:spacing w:after="160"/>
      </w:pPr>
      <w:r>
        <w:rPr>
          <w:b/>
          <w:color w:val="1F7A4C"/>
        </w:rPr>
        <w:t xml:space="preserve">SAY:  </w:t>
      </w:r>
      <w:r>
        <w:t>On the 2024 hold-out, the property-type median explains only 9 percent of the variance in log EUI, with a typical error of 58 percent. Linear regression explains 43 percent, with 38 percent error. The tuned LightGBM explains 58 percent, with 29 percent error. That's a clear gain, but a lot is still unexplained, as expected with annual data and no operating hours, which is why I frame the output as a prioritization signal and not a verdict.</w:t>
      </w:r>
    </w:p>
    <w:p>
      <w:pPr>
        <w:spacing w:after="160"/>
      </w:pPr>
      <w:r>
        <w:rPr>
          <w:b w:val="0"/>
          <w:i/>
          <w:color w:val="1F4E8C"/>
        </w:rPr>
        <w:t>→ Scroll to Figure 5, then to Section 5.2, Proxy-label benchmark.</w:t>
      </w:r>
    </w:p>
    <w:p>
      <w:pPr>
        <w:spacing w:after="160"/>
      </w:pPr>
      <w:r>
        <w:rPr>
          <w:b/>
          <w:color w:val="1F7A4C"/>
        </w:rPr>
        <w:t xml:space="preserve">SAY:  </w:t>
      </w:r>
      <w:r>
        <w:t>Figure 5 shows actual versus expected EUI on the left, and the distribution of the anomaly score on the right. For the proxy-label benchmark, I used 29,916 scorable 2024 records and counted a record as a proxy positive if it fails plausibility screens, shows a year-over-year shift above three times, or has an extreme ENERGY STAR score. That makes 6,620 records, or 22 percent, positive under at least one definition.</w:t>
      </w:r>
    </w:p>
    <w:p/>
    <w:tbl>
      <w:tblPr>
        <w:tblW w:type="auto" w:w="0"/>
        <w:tblLook w:firstColumn="1" w:firstRow="1" w:lastColumn="0" w:lastRow="0" w:noHBand="0" w:noVBand="1" w:val="04A0"/>
      </w:tblPr>
      <w:tblGrid>
        <w:gridCol w:w="9648"/>
      </w:tblGrid>
      <w:tr>
        <w:tc>
          <w:tcPr>
            <w:tcW w:type="dxa" w:w="9648"/>
            <w:shd w:val="clear" w:color="auto" w:fill="1F4E8C"/>
          </w:tcPr>
          <w:p>
            <w:r>
              <w:rPr>
                <w:b/>
                <w:color w:val="FFFFFF"/>
                <w:sz w:val="28"/>
              </w:rPr>
              <w:t>SCENE 9 of 17: Benchmark results   |   Target clock 9:17 to 10:17</w:t>
            </w:r>
          </w:p>
          <w:p>
            <w:r>
              <w:rPr>
                <w:color w:val="FFFFFF"/>
                <w:sz w:val="22"/>
              </w:rPr>
              <w:t>GO TO: Stay on PAGE 7 and point at the first benchmark table. Then TURN TO PAGE 8 when the script says so.</w:t>
            </w:r>
          </w:p>
        </w:tc>
      </w:tr>
    </w:tbl>
    <w:p/>
    <w:p>
      <w:pPr>
        <w:spacing w:after="160"/>
      </w:pPr>
      <w:r>
        <w:rPr>
          <w:b/>
          <w:color w:val="1F7A4C"/>
        </w:rPr>
        <w:t xml:space="preserve">SAY:  </w:t>
      </w:r>
      <w:r>
        <w:t>This table scores each method against all the proxy labels, using PR-AUC, where random ranking would be about 0.22.</w:t>
      </w:r>
    </w:p>
    <w:p>
      <w:pPr>
        <w:spacing w:after="160"/>
      </w:pPr>
      <w:r>
        <w:rPr>
          <w:b/>
          <w:i/>
          <w:color w:val="1F4E8C"/>
        </w:rPr>
        <w:t>▶ TURN TO PAGE 8. The table continues at the top, followed by a second table.</w:t>
      </w:r>
    </w:p>
    <w:p>
      <w:pPr>
        <w:spacing w:after="160"/>
      </w:pPr>
      <w:r>
        <w:rPr>
          <w:b/>
          <w:color w:val="1F7A4C"/>
        </w:rPr>
        <w:t xml:space="preserve">SAY:  </w:t>
      </w:r>
      <w:r>
        <w:t>The one-sided 90th percentile rule from my proposal scores 0.30. My LightGBM with per-type scaling scores 0.62, the One-Class SVM 0.45, and the Isolation Forest 0.32. A two-sided percentile rule scores 0.65, slightly higher than LightGBM.</w:t>
      </w:r>
    </w:p>
    <w:p>
      <w:pPr>
        <w:spacing w:after="160"/>
      </w:pPr>
      <w:r>
        <w:rPr>
          <w:b w:val="0"/>
          <w:i/>
          <w:color w:val="1F4E8C"/>
        </w:rPr>
        <w:t>→ Scroll to Figure 6, then to the Interpretation paragraph.</w:t>
      </w:r>
    </w:p>
    <w:p>
      <w:pPr>
        <w:spacing w:after="160"/>
      </w:pPr>
      <w:r>
        <w:rPr>
          <w:b/>
          <w:color w:val="1F7A4C"/>
        </w:rPr>
        <w:t xml:space="preserve">SAY:  </w:t>
      </w:r>
      <w:r>
        <w:t>I don't think that should be over-read. The proxy labels are built from EUI itself, so they reward any method that ranks raw EUI extremes. They can't measure what my model is designed to do, which is find buildings that are unusual given their own characteristics, like a hospital that looks ordinary on raw EUI but is high for its size and fuel mix, and then explain why.</w:t>
      </w:r>
    </w:p>
    <w:p/>
    <w:tbl>
      <w:tblPr>
        <w:tblW w:type="auto" w:w="0"/>
        <w:tblLook w:firstColumn="1" w:firstRow="1" w:lastColumn="0" w:lastRow="0" w:noHBand="0" w:noVBand="1" w:val="04A0"/>
      </w:tblPr>
      <w:tblGrid>
        <w:gridCol w:w="9648"/>
      </w:tblGrid>
      <w:tr>
        <w:tc>
          <w:tcPr>
            <w:tcW w:type="dxa" w:w="9648"/>
            <w:shd w:val="clear" w:color="auto" w:fill="1F4E8C"/>
          </w:tcPr>
          <w:p>
            <w:r>
              <w:rPr>
                <w:b/>
                <w:color w:val="FFFFFF"/>
                <w:sz w:val="28"/>
              </w:rPr>
              <w:t>SCENE 10 of 17: Stability and explainability   |   Target clock 10:17 to 11:17</w:t>
            </w:r>
          </w:p>
          <w:p>
            <w:r>
              <w:rPr>
                <w:color w:val="FFFFFF"/>
                <w:sz w:val="22"/>
              </w:rPr>
              <w:t>GO TO: Stay on PAGE 8 and scroll to Section 5.3. Then TURN TO PAGE 9 when the script says so.</w:t>
            </w:r>
          </w:p>
        </w:tc>
      </w:tr>
    </w:tbl>
    <w:p/>
    <w:p>
      <w:pPr>
        <w:spacing w:after="160"/>
      </w:pPr>
      <w:r>
        <w:rPr>
          <w:b/>
          <w:color w:val="1F7A4C"/>
        </w:rPr>
        <w:t xml:space="preserve">SAY:  </w:t>
      </w:r>
      <w:r>
        <w:t>On stability, across five random seeds the LightGBM rankings have a mean Spearman correlation of 0.971, and 89 percent overlap in the top 10 percent.</w:t>
      </w:r>
    </w:p>
    <w:p>
      <w:pPr>
        <w:spacing w:after="160"/>
      </w:pPr>
      <w:r>
        <w:rPr>
          <w:b/>
          <w:i/>
          <w:color w:val="1F4E8C"/>
        </w:rPr>
        <w:t>▶ TURN TO PAGE 9. Figure 7 is at the top, then Section 5.4.</w:t>
      </w:r>
    </w:p>
    <w:p>
      <w:pPr>
        <w:spacing w:after="160"/>
      </w:pPr>
      <w:r>
        <w:rPr>
          <w:b/>
          <w:color w:val="1F7A4C"/>
        </w:rPr>
        <w:t xml:space="preserve">SAY:  </w:t>
      </w:r>
      <w:r>
        <w:t>Figure 7 shows the methods agree only low to moderately with each other, which means they surface different buildings. That is why explanations and expert review matter more than any single score. For explainability, I use exact SHAP values. The strongest driver of expected EUI is the national median for the property type, then electricity share, property type, building age and natural gas share. Higher electricity share lowers expected site EUI, and older buildings are expected to use more. Figure 8 shows these averages, and the app shows the same breakdown for any building you select.</w:t>
      </w:r>
    </w:p>
    <w:p/>
    <w:tbl>
      <w:tblPr>
        <w:tblW w:type="auto" w:w="0"/>
        <w:tblLook w:firstColumn="1" w:firstRow="1" w:lastColumn="0" w:lastRow="0" w:noHBand="0" w:noVBand="1" w:val="04A0"/>
      </w:tblPr>
      <w:tblGrid>
        <w:gridCol w:w="9648"/>
      </w:tblGrid>
      <w:tr>
        <w:tc>
          <w:tcPr>
            <w:tcW w:type="dxa" w:w="9648"/>
            <w:shd w:val="clear" w:color="auto" w:fill="1F4E8C"/>
          </w:tcPr>
          <w:p>
            <w:r>
              <w:rPr>
                <w:b/>
                <w:color w:val="FFFFFF"/>
                <w:sz w:val="28"/>
              </w:rPr>
              <w:t>SCENE 11 of 17: Expert audit   |   Target clock 11:17 to 12:22</w:t>
            </w:r>
          </w:p>
          <w:p>
            <w:r>
              <w:rPr>
                <w:color w:val="FFFFFF"/>
                <w:sz w:val="22"/>
              </w:rPr>
              <w:t>GO TO: TURN TO PAGE 10. Figure 9 is at the top, then Section 5.5.</w:t>
            </w:r>
          </w:p>
        </w:tc>
      </w:tr>
    </w:tbl>
    <w:p/>
    <w:p>
      <w:pPr>
        <w:spacing w:after="160"/>
      </w:pPr>
      <w:r>
        <w:rPr>
          <w:b w:val="0"/>
          <w:i/>
          <w:color w:val="1F4E8C"/>
        </w:rPr>
        <w:t>→ Move down to Section 5.5, Domain expert audit, and point at the table.</w:t>
      </w:r>
    </w:p>
    <w:p>
      <w:pPr>
        <w:spacing w:after="160"/>
      </w:pPr>
      <w:r>
        <w:rPr>
          <w:b/>
          <w:color w:val="1F7A4C"/>
        </w:rPr>
        <w:t xml:space="preserve">SAY:  </w:t>
      </w:r>
      <w:r>
        <w:t>Because the proxy labels are circular, the most important evaluation was a blind audit I did myself. I took 50 buildings from 2024, 25 from the top 2 percent of anomaly scores and 25 from the middle, hid the model's rank, and classified each as a plausible anomaly, a data error, or normal, using my background in building energy.</w:t>
      </w:r>
    </w:p>
    <w:p>
      <w:pPr>
        <w:spacing w:after="160"/>
      </w:pPr>
      <w:r>
        <w:rPr>
          <w:b/>
          <w:color w:val="1F7A4C"/>
        </w:rPr>
        <w:t xml:space="preserve">SAY:  </w:t>
      </w:r>
      <w:r>
        <w:t>In the top group, 23 of 25 were not normal: 6 plausible anomalies and 17 data errors. In the middle group, only 4 of 25. That's 92 percent versus 16 percent, with a p-value below 0.001.</w:t>
      </w:r>
    </w:p>
    <w:p>
      <w:pPr>
        <w:spacing w:after="160"/>
      </w:pPr>
      <w:r>
        <w:rPr>
          <w:b/>
          <w:i/>
          <w:color w:val="1F4E8C"/>
        </w:rPr>
        <w:t>▶ TURN TO PAGE 11. The last sentences of 5.5 are at the top.</w:t>
      </w:r>
    </w:p>
    <w:p>
      <w:pPr>
        <w:spacing w:after="160"/>
      </w:pPr>
      <w:r>
        <w:rPr>
          <w:b/>
          <w:color w:val="1F7A4C"/>
        </w:rPr>
        <w:t xml:space="preserve">SAY:  </w:t>
      </w:r>
      <w:r>
        <w:t>The caveats are that it's 50 buildings and one reviewer, and that most flagged buildings were data errors. So the model works mainly as a screen for questionable reports, with a smaller share of true operational anomalies.</w:t>
      </w:r>
    </w:p>
    <w:p/>
    <w:tbl>
      <w:tblPr>
        <w:tblW w:type="auto" w:w="0"/>
        <w:tblLook w:firstColumn="1" w:firstRow="1" w:lastColumn="0" w:lastRow="0" w:noHBand="0" w:noVBand="1" w:val="04A0"/>
      </w:tblPr>
      <w:tblGrid>
        <w:gridCol w:w="9648"/>
      </w:tblGrid>
      <w:tr>
        <w:tc>
          <w:tcPr>
            <w:tcW w:type="dxa" w:w="9648"/>
            <w:shd w:val="clear" w:color="auto" w:fill="1F4E8C"/>
          </w:tcPr>
          <w:p>
            <w:r>
              <w:rPr>
                <w:b/>
                <w:color w:val="FFFFFF"/>
                <w:sz w:val="28"/>
              </w:rPr>
              <w:t>SCENE 12 of 17: Model selection and app overview   |   Target clock 12:22 to 12:50</w:t>
            </w:r>
          </w:p>
          <w:p>
            <w:r>
              <w:rPr>
                <w:color w:val="FFFFFF"/>
                <w:sz w:val="22"/>
              </w:rPr>
              <w:t>GO TO: Stay on REPORT PAGE 11. Scroll to Section 5.6, then Section 6.</w:t>
            </w:r>
          </w:p>
        </w:tc>
      </w:tr>
    </w:tbl>
    <w:p/>
    <w:p>
      <w:pPr>
        <w:spacing w:after="160"/>
      </w:pPr>
      <w:r>
        <w:rPr>
          <w:b/>
          <w:color w:val="1F7A4C"/>
        </w:rPr>
        <w:t xml:space="preserve">SAY:  </w:t>
      </w:r>
      <w:r>
        <w:t>That makes LightGBM with per-type scaling my primary model. It's the only method that conditions on building characteristics, gives a continuous ranking, is stable, and explains each flag. The audit was the deciding evidence.</w:t>
      </w:r>
    </w:p>
    <w:p>
      <w:pPr>
        <w:spacing w:after="160"/>
      </w:pPr>
      <w:r>
        <w:rPr>
          <w:b w:val="0"/>
          <w:i/>
          <w:color w:val="1F4E8C"/>
        </w:rPr>
        <w:t>→ Scroll to Section 6, Interactive Application.</w:t>
      </w:r>
    </w:p>
    <w:p>
      <w:pPr>
        <w:spacing w:after="160"/>
      </w:pPr>
      <w:r>
        <w:rPr>
          <w:b/>
          <w:color w:val="1F7A4C"/>
        </w:rPr>
        <w:t xml:space="preserve">SAY:  </w:t>
      </w:r>
      <w:r>
        <w:t>Section 6 describes the four-page Streamlit app, which is deployed and linked here. Let me switch over and show it to you.</w:t>
      </w:r>
    </w:p>
    <w:p>
      <w:pPr>
        <w:spacing w:after="160"/>
      </w:pPr>
      <w:r>
        <w:rPr>
          <w:b/>
          <w:i/>
          <w:color w:val="1F4E8C"/>
        </w:rPr>
        <w:t>▶ SWITCH to your browser tab with the app at julie-bounds-energy-anomaly.streamlit.app. Start on the Home page.</w:t>
      </w:r>
    </w:p>
    <w:p/>
    <w:tbl>
      <w:tblPr>
        <w:tblW w:type="auto" w:w="0"/>
        <w:tblLook w:firstColumn="1" w:firstRow="1" w:lastColumn="0" w:lastRow="0" w:noHBand="0" w:noVBand="1" w:val="04A0"/>
      </w:tblPr>
      <w:tblGrid>
        <w:gridCol w:w="9648"/>
      </w:tblGrid>
      <w:tr>
        <w:tc>
          <w:tcPr>
            <w:tcW w:type="dxa" w:w="9648"/>
            <w:shd w:val="clear" w:color="auto" w:fill="1E7A4C"/>
          </w:tcPr>
          <w:p>
            <w:r>
              <w:rPr>
                <w:b/>
                <w:color w:val="FFFFFF"/>
                <w:sz w:val="28"/>
              </w:rPr>
              <w:t>SCENE 13 of 17: Live demo: Home, Resume, Projects   |   Target clock 12:50 to 13:22</w:t>
            </w:r>
          </w:p>
          <w:p>
            <w:r>
              <w:rPr>
                <w:color w:val="FFFFFF"/>
                <w:sz w:val="22"/>
              </w:rPr>
              <w:t>GO TO: BROWSER: the Streamlit app, Home page.</w:t>
            </w:r>
          </w:p>
        </w:tc>
      </w:tr>
    </w:tbl>
    <w:p/>
    <w:p>
      <w:pPr>
        <w:spacing w:after="160"/>
      </w:pPr>
      <w:r>
        <w:rPr>
          <w:b/>
          <w:color w:val="1F7A4C"/>
        </w:rPr>
        <w:t xml:space="preserve">SAY:  </w:t>
      </w:r>
      <w:r>
        <w:t>This is the live app, deployed on Streamlit Community Cloud. The home page is a short portfolio with my background and credentials.</w:t>
      </w:r>
    </w:p>
    <w:p>
      <w:pPr>
        <w:spacing w:after="160"/>
      </w:pPr>
      <w:r>
        <w:rPr>
          <w:b w:val="0"/>
          <w:i/>
          <w:color w:val="1F4E8C"/>
        </w:rPr>
        <w:t>→ Click Resume in the left sidebar. Pause 4 seconds, then click Projects. Pause 3 seconds.</w:t>
      </w:r>
    </w:p>
    <w:p>
      <w:pPr>
        <w:spacing w:after="160"/>
      </w:pPr>
      <w:r>
        <w:rPr>
          <w:b/>
          <w:color w:val="1F7A4C"/>
        </w:rPr>
        <w:t xml:space="preserve">SAY:  </w:t>
      </w:r>
      <w:r>
        <w:t>The resume page has my education, experience, a timeline, and a resume download. The projects page has cards for my work, including this capstone.</w:t>
      </w:r>
    </w:p>
    <w:p>
      <w:pPr>
        <w:spacing w:after="160"/>
      </w:pPr>
      <w:r>
        <w:rPr>
          <w:b w:val="0"/>
          <w:i/>
          <w:color w:val="1F4E8C"/>
        </w:rPr>
        <w:t>→ Click Anomaly Detector in the left sidebar.</w:t>
      </w:r>
    </w:p>
    <w:p/>
    <w:tbl>
      <w:tblPr>
        <w:tblW w:type="auto" w:w="0"/>
        <w:tblLook w:firstColumn="1" w:firstRow="1" w:lastColumn="0" w:lastRow="0" w:noHBand="0" w:noVBand="1" w:val="04A0"/>
      </w:tblPr>
      <w:tblGrid>
        <w:gridCol w:w="9648"/>
      </w:tblGrid>
      <w:tr>
        <w:tc>
          <w:tcPr>
            <w:tcW w:type="dxa" w:w="9648"/>
            <w:shd w:val="clear" w:color="auto" w:fill="1E7A4C"/>
          </w:tcPr>
          <w:p>
            <w:r>
              <w:rPr>
                <w:b/>
                <w:color w:val="FFFFFF"/>
                <w:sz w:val="28"/>
              </w:rPr>
              <w:t>SCENE 14 of 17: Live demo: Problem and Approach, Results   |   Target clock 13:22 to 14:07</w:t>
            </w:r>
          </w:p>
          <w:p>
            <w:r>
              <w:rPr>
                <w:color w:val="FFFFFF"/>
                <w:sz w:val="22"/>
              </w:rPr>
              <w:t>GO TO: BROWSER: Anomaly Detector page. You should be on the first tab, Problem &amp; Approach.</w:t>
            </w:r>
          </w:p>
        </w:tc>
      </w:tr>
    </w:tbl>
    <w:p/>
    <w:p>
      <w:pPr>
        <w:spacing w:after="160"/>
      </w:pPr>
      <w:r>
        <w:rPr>
          <w:b/>
          <w:color w:val="1F7A4C"/>
        </w:rPr>
        <w:t xml:space="preserve">SAY:  </w:t>
      </w:r>
      <w:r>
        <w:t>The project page has four tabs. The first, Problem and Approach, explains the problem in plain language for a non-technical reader.</w:t>
      </w:r>
    </w:p>
    <w:p>
      <w:pPr>
        <w:spacing w:after="160"/>
      </w:pPr>
      <w:r>
        <w:rPr>
          <w:b w:val="0"/>
          <w:i/>
          <w:color w:val="1F4E8C"/>
        </w:rPr>
        <w:t>→ Click the second tab, Results &amp; Performance. Scroll slowly through it for about 15 seconds.</w:t>
      </w:r>
    </w:p>
    <w:p>
      <w:pPr>
        <w:spacing w:after="160"/>
      </w:pPr>
      <w:r>
        <w:rPr>
          <w:b/>
          <w:color w:val="1F7A4C"/>
        </w:rPr>
        <w:t xml:space="preserve">SAY:  </w:t>
      </w:r>
      <w:r>
        <w:t>The second tab has the evidence from the report: the model comparison, the benchmark, stability and the SHAP charts, so a visitor can see the results without reading the PDF.</w:t>
      </w:r>
    </w:p>
    <w:p>
      <w:pPr>
        <w:spacing w:after="160"/>
      </w:pPr>
      <w:r>
        <w:rPr>
          <w:b w:val="0"/>
          <w:i/>
          <w:color w:val="1F4E8C"/>
        </w:rPr>
        <w:t>→ Click the third tab, Explore Portfolio Rankings.</w:t>
      </w:r>
    </w:p>
    <w:p/>
    <w:tbl>
      <w:tblPr>
        <w:tblW w:type="auto" w:w="0"/>
        <w:tblLook w:firstColumn="1" w:firstRow="1" w:lastColumn="0" w:lastRow="0" w:noHBand="0" w:noVBand="1" w:val="04A0"/>
      </w:tblPr>
      <w:tblGrid>
        <w:gridCol w:w="9648"/>
      </w:tblGrid>
      <w:tr>
        <w:tc>
          <w:tcPr>
            <w:tcW w:type="dxa" w:w="9648"/>
            <w:shd w:val="clear" w:color="auto" w:fill="1E7A4C"/>
          </w:tcPr>
          <w:p>
            <w:r>
              <w:rPr>
                <w:b/>
                <w:color w:val="FFFFFF"/>
                <w:sz w:val="28"/>
              </w:rPr>
              <w:t>SCENE 15 of 17: Live demo: Explore Portfolio Rankings   |   Target clock 14:07 to 15:17</w:t>
            </w:r>
          </w:p>
          <w:p>
            <w:r>
              <w:rPr>
                <w:color w:val="FFFFFF"/>
                <w:sz w:val="22"/>
              </w:rPr>
              <w:t>GO TO: BROWSER: Anomaly Detector, third tab, Explore Portfolio Rankings.</w:t>
            </w:r>
          </w:p>
        </w:tc>
      </w:tr>
    </w:tbl>
    <w:p/>
    <w:p>
      <w:pPr>
        <w:spacing w:after="160"/>
      </w:pPr>
      <w:r>
        <w:rPr>
          <w:b/>
          <w:color w:val="1F7A4C"/>
        </w:rPr>
        <w:t xml:space="preserve">SAY:  </w:t>
      </w:r>
      <w:r>
        <w:t>The third tab is where a reviewer would work. In the sidebar I can pick the algorithm, and filter by property type, floor area, borough, year built, dominant fuel and a score cutoff.</w:t>
      </w:r>
    </w:p>
    <w:p>
      <w:pPr>
        <w:spacing w:after="160"/>
      </w:pPr>
      <w:r>
        <w:rPr>
          <w:b w:val="0"/>
          <w:i/>
          <w:color w:val="1F4E8C"/>
        </w:rPr>
        <w:t>→ Change one filter, for example uncheck a few property types or change the borough. Wait for the page to update.</w:t>
      </w:r>
    </w:p>
    <w:p>
      <w:pPr>
        <w:spacing w:after="160"/>
      </w:pPr>
      <w:r>
        <w:rPr>
          <w:b/>
          <w:color w:val="1F7A4C"/>
        </w:rPr>
        <w:t xml:space="preserve">SAY:  </w:t>
      </w:r>
      <w:r>
        <w:t>When I change a filter, the ranked list and the actual-versus-expected scatter plot update. Buildings far from the line are using much more or less than the model expects.</w:t>
      </w:r>
    </w:p>
    <w:p>
      <w:pPr>
        <w:spacing w:after="160"/>
      </w:pPr>
      <w:r>
        <w:rPr>
          <w:b w:val="0"/>
          <w:i/>
          <w:color w:val="1F4E8C"/>
        </w:rPr>
        <w:t>→ Select a building and scroll to its drill-down.</w:t>
      </w:r>
    </w:p>
    <w:p>
      <w:pPr>
        <w:spacing w:after="160"/>
      </w:pPr>
      <w:r>
        <w:rPr>
          <w:b/>
          <w:color w:val="1F7A4C"/>
        </w:rPr>
        <w:t xml:space="preserve">SAY:  </w:t>
      </w:r>
      <w:r>
        <w:t>If I select a building, I get a peer comparison and the SHAP waterfall showing what shaped its expected EUI, and I can export the list to CSV.</w:t>
      </w:r>
    </w:p>
    <w:p>
      <w:pPr>
        <w:spacing w:after="160"/>
      </w:pPr>
      <w:r>
        <w:rPr>
          <w:b w:val="0"/>
          <w:i/>
          <w:color w:val="1F4E8C"/>
        </w:rPr>
        <w:t>→ Click the fourth tab, Score Your Own Building.</w:t>
      </w:r>
    </w:p>
    <w:p/>
    <w:tbl>
      <w:tblPr>
        <w:tblW w:type="auto" w:w="0"/>
        <w:tblLook w:firstColumn="1" w:firstRow="1" w:lastColumn="0" w:lastRow="0" w:noHBand="0" w:noVBand="1" w:val="04A0"/>
      </w:tblPr>
      <w:tblGrid>
        <w:gridCol w:w="9648"/>
      </w:tblGrid>
      <w:tr>
        <w:tc>
          <w:tcPr>
            <w:tcW w:type="dxa" w:w="9648"/>
            <w:shd w:val="clear" w:color="auto" w:fill="1E7A4C"/>
          </w:tcPr>
          <w:p>
            <w:r>
              <w:rPr>
                <w:b/>
                <w:color w:val="FFFFFF"/>
                <w:sz w:val="28"/>
              </w:rPr>
              <w:t>SCENE 16 of 17: Live demo: Score Your Own Building   |   Target clock 15:17 to 17:12</w:t>
            </w:r>
          </w:p>
          <w:p>
            <w:r>
              <w:rPr>
                <w:color w:val="FFFFFF"/>
                <w:sz w:val="22"/>
              </w:rPr>
              <w:t>GO TO: BROWSER: Anomaly Detector, fourth tab, Score Your Own Building. Use the inputs you tested before (a Brooklyn data center, 200,000 sq ft, built 1985, 90% occupancy, energy use already known).</w:t>
            </w:r>
          </w:p>
        </w:tc>
      </w:tr>
    </w:tbl>
    <w:p/>
    <w:p>
      <w:pPr>
        <w:spacing w:after="160"/>
      </w:pPr>
      <w:r>
        <w:rPr>
          <w:b/>
          <w:color w:val="1F7A4C"/>
        </w:rPr>
        <w:t xml:space="preserve">SAY:  </w:t>
      </w:r>
      <w:r>
        <w:t>The last tab scores any real or hypothetical building. I'll enter a data center in Brooklyn, 200,000 square feet, built in 1985, 90 percent occupied, with its annual energy use.</w:t>
      </w:r>
    </w:p>
    <w:p>
      <w:pPr>
        <w:spacing w:after="160"/>
      </w:pPr>
      <w:r>
        <w:rPr>
          <w:b w:val="0"/>
          <w:i/>
          <w:color w:val="1F4E8C"/>
        </w:rPr>
        <w:t>→ Click 'Score this building'. Wait for the results. Point at the four numbers, then the flags line, then the SHAP chart.</w:t>
      </w:r>
    </w:p>
    <w:p>
      <w:pPr>
        <w:spacing w:after="160"/>
      </w:pPr>
      <w:r>
        <w:rPr>
          <w:b/>
          <w:color w:val="1F7A4C"/>
        </w:rPr>
        <w:t xml:space="preserve">SAY:  </w:t>
      </w:r>
      <w:r>
        <w:t>The app computes the actual EUI, the expected EUI from the model, an anomaly score, and the 90th percentile for that property type. [Read the numbers on your screen. In my test it was about 62 against an expected 192, which is 68 percent below expected.] The chart shows what shaped the expected value, mainly the national median for the type, property type and electricity share.</w:t>
      </w:r>
    </w:p>
    <w:p>
      <w:pPr>
        <w:spacing w:after="160"/>
      </w:pPr>
      <w:r>
        <w:rPr>
          <w:b/>
          <w:color w:val="1F7A4C"/>
        </w:rPr>
        <w:t xml:space="preserve">SAY:  </w:t>
      </w:r>
      <w:r>
        <w:t>This building uses far less than expected, so it gets a strongly negative score, but the LightGBM and percentile flags only target high use, so it isn't flagged by those two. The Isolation Forest does flag it. Very low use is often a data error, so the score is shown either way.</w:t>
      </w:r>
    </w:p>
    <w:p>
      <w:pPr>
        <w:spacing w:after="160"/>
      </w:pPr>
      <w:r>
        <w:rPr>
          <w:b w:val="0"/>
          <w:i/>
          <w:color w:val="1F4E8C"/>
        </w:rPr>
        <w:t>→ Raise the annual energy use by about ten times and click 'Score this building' again. If the flag does not turn on, just say what you see.</w:t>
      </w:r>
    </w:p>
    <w:p>
      <w:pPr>
        <w:spacing w:after="160"/>
      </w:pPr>
      <w:r>
        <w:rPr>
          <w:b/>
          <w:color w:val="1F7A4C"/>
        </w:rPr>
        <w:t xml:space="preserve">SAY:  </w:t>
      </w:r>
      <w:r>
        <w:t>If I raise the energy use about ten times, the actual EUI is far above expected, and the flag turns on.</w:t>
      </w:r>
    </w:p>
    <w:p>
      <w:pPr>
        <w:spacing w:after="160"/>
      </w:pPr>
      <w:r>
        <w:rPr>
          <w:b/>
          <w:i/>
          <w:color w:val="1F4E8C"/>
        </w:rPr>
        <w:t>▶ SWITCH back to the PDF report. Go to REPORT PAGE 11 and scroll to Section 7, Limitations and Next Steps.</w:t>
      </w:r>
    </w:p>
    <w:p/>
    <w:tbl>
      <w:tblPr>
        <w:tblW w:type="auto" w:w="0"/>
        <w:tblLook w:firstColumn="1" w:firstRow="1" w:lastColumn="0" w:lastRow="0" w:noHBand="0" w:noVBand="1" w:val="04A0"/>
      </w:tblPr>
      <w:tblGrid>
        <w:gridCol w:w="9648"/>
      </w:tblGrid>
      <w:tr>
        <w:tc>
          <w:tcPr>
            <w:tcW w:type="dxa" w:w="9648"/>
            <w:shd w:val="clear" w:color="auto" w:fill="1F4E8C"/>
          </w:tcPr>
          <w:p>
            <w:r>
              <w:rPr>
                <w:b/>
                <w:color w:val="FFFFFF"/>
                <w:sz w:val="28"/>
              </w:rPr>
              <w:t>SCENE 17 of 17: Limitations, next steps and close   |   Target clock 17:12 to 18:39</w:t>
            </w:r>
          </w:p>
          <w:p>
            <w:r>
              <w:rPr>
                <w:color w:val="FFFFFF"/>
                <w:sz w:val="22"/>
              </w:rPr>
              <w:t>GO TO: REPORT PAGE 11, Section 7, Limitations and Next Steps. Then TURN TO PAGE 12.</w:t>
            </w:r>
          </w:p>
        </w:tc>
      </w:tr>
    </w:tbl>
    <w:p/>
    <w:p>
      <w:pPr>
        <w:spacing w:after="160"/>
      </w:pPr>
      <w:r>
        <w:rPr>
          <w:b/>
          <w:color w:val="1F7A4C"/>
        </w:rPr>
        <w:t xml:space="preserve">SAY:  </w:t>
      </w:r>
      <w:r>
        <w:t>To wrap up, here are the limitations from Section 7. The proxy labels are circular, since they're derived from EUI. The hold-out is temporal rather than building-level. 21.8 percent of 2024 records lack EUI, which may bias the hold-out. Operating hours are mostly missing. The top 10 percent flag rate is a convention, not an optimized cutoff. And a flag only means a building merits review. The cause could be inefficiency, an unusual use, or a reporting error, and the model does not diagnose root causes.</w:t>
      </w:r>
    </w:p>
    <w:p>
      <w:pPr>
        <w:spacing w:after="160"/>
      </w:pPr>
      <w:r>
        <w:rPr>
          <w:b/>
          <w:i/>
          <w:color w:val="1F4E8C"/>
        </w:rPr>
        <w:t>▶ TURN TO PAGE 12. The Future work bullet is at the top.</w:t>
      </w:r>
    </w:p>
    <w:p>
      <w:pPr>
        <w:spacing w:after="160"/>
      </w:pPr>
      <w:r>
        <w:rPr>
          <w:b/>
          <w:color w:val="1F7A4C"/>
        </w:rPr>
        <w:t xml:space="preserve">SAY:  </w:t>
      </w:r>
      <w:r>
        <w:t>For future work, I would cross-reference flagged buildings with Local Law 33 letter grades and Local Law 97 compliance data, use interval meter data and weather normalization, retrain on other cities' data, and calibrate thresholds with audit labels.</w:t>
      </w:r>
    </w:p>
    <w:p>
      <w:pPr>
        <w:spacing w:after="160"/>
      </w:pPr>
      <w:r>
        <w:rPr>
          <w:b w:val="0"/>
          <w:i/>
          <w:color w:val="1F4E8C"/>
        </w:rPr>
        <w:t>→ Move down to Section 8, AI Usage Statement.</w:t>
      </w:r>
    </w:p>
    <w:p>
      <w:pPr>
        <w:spacing w:after="160"/>
      </w:pPr>
      <w:r>
        <w:rPr>
          <w:b/>
          <w:color w:val="1F7A4C"/>
        </w:rPr>
        <w:t xml:space="preserve">SAY:  </w:t>
      </w:r>
      <w:r>
        <w:t>I also want to be transparent that I used Claude, an AI assistant, as a coding, writing and debugging assistant, as my proposal planned. I ran and tested all the code, and the scope, evaluation design and the domain audit are mine. There's an AI usage log in the repository. Thank you to my mentor, Jasmeet Bhatia, and thank you for watching.</w:t>
      </w:r>
    </w:p>
    <w:p>
      <w:pPr>
        <w:spacing w:after="160"/>
      </w:pPr>
      <w:r>
        <w:rPr>
          <w:b w:val="0"/>
          <w:i/>
          <w:color w:val="1F4E8C"/>
        </w:rPr>
        <w:t>→ Stop. Wait 3 seconds, then end the recording.</w:t>
      </w:r>
    </w:p>
    <w:p/>
    <w:p>
      <w:pPr>
        <w:pStyle w:val="Heading1"/>
      </w:pPr>
      <w:r>
        <w:t>After recording</w:t>
      </w:r>
    </w:p>
    <w:p>
      <w:pPr>
        <w:pStyle w:val="ListBullet"/>
      </w:pPr>
      <w:r>
        <w:t>Watch the first minute and the last minute to make sure sound and screen came through.</w:t>
      </w:r>
    </w:p>
    <w:p>
      <w:pPr>
        <w:pStyle w:val="ListBullet"/>
      </w:pPr>
      <w:r>
        <w:t>Upload to Google Drive (Share, then 'Anyone with the link') or YouTube set to Unlisted, and send the link to Claude so it can be added to the title page of the report.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