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6987456756</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MMSE: 19/30</w:t>
        <w:br/>
        <w:t>RAVLT Ικανότητα μάθησης / Ικανότητα συγκράτησης: 0/15/15</w:t>
        <w:br/>
        <w:t>ROCFT: Αντιγ/Καθυστ.Ανάκλ.: 0.0/18.5/36</w:t>
        <w:br/>
        <w:t>FRSSD: 16/42</w:t>
        <w:br/>
        <w:t>NPI: 47/120</w:t>
        <w:br/>
        <w:t>GDS: 2/15</w:t>
        <w:br/>
        <w:t>SAST Άγχος: 0/40</w:t>
        <w:br/>
        <w:t>BDI: 0/69</w:t>
        <w:br/>
      </w:r>
    </w:p>
    <w:p>
      <w:pPr>
        <w:jc w:val="center"/>
      </w:pPr>
      <w:r>
        <w:rPr>
          <w:b/>
          <w:u w:val="single"/>
        </w:rPr>
        <w:t>Εισαγωγή</w:t>
      </w:r>
    </w:p>
    <w:p>
      <w:pPr>
        <w:jc w:val="both"/>
      </w:pPr>
      <w:r>
        <w:t>Η κ. Surname Name, του George και της dsa, με ΑΜΚΑ 6987456756,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Όσον αφορά τις διαταραχές συμπεριφοράς, οι πληροφορίες ελήφθησαν επίσης από την ίδια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Λεκτική μνήμη επεισοδίων: </w:t>
      </w:r>
      <w:r>
        <w:t xml:space="preserve">Κατά τη νευροψυχολογική εκτίμηση στις 5/12/2012 και συγκεκριμένα μέσω της χορήγησης της δοκιμασίας RAVLT, η Surname Name παρουσίασε σοβαρά ελλείμματα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Οπτική μνήμη επεισοδίων: </w:t>
      </w:r>
      <w:r>
        <w:t>Η οπτική μνήμη επεισοδίων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και οπτικής μάθησης.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κατανόησης, προοπτικής μνήμης και ακρίβειας βημάτων για την διεκπεραίωση έργων. Σε αντίθεση, δεν διαπιστώθηκαν ελλείψεις στις ικανότητες σχεδιασμού έργων, χρόνου διεκπεραίωσης έργων, διαδοχής βημάτων για την διεκπεραίωση έργων και ολοκλήρωσης στόχου.</w:t>
        <w:br/>
      </w:r>
      <w:r>
        <w:t>Τα παραπάνω ευρήματα καταδεικνύουν πως η Surname 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του εξεταζόμενου</w:t>
      </w:r>
      <w:r>
        <w:t xml:space="preserve"> να κατανοήσει μια πληροφορία/οδηγία όταν είναι σύνθετη και πιθανόν να χρειάζεται να επαναληφθεί,  να θυμηθεί να κάνει κάτι σε συγκεκριμένο χρόνο (π.χ. να πάρει το φάρμακό του την συγκεκριμένη ώρα, να κλείσει τον φούρνο, να πάει σε κάποιο προγραμματισμένο ραντεβού) και  να εκτελέσει ορθά (με ακρίβεια) τα βήματα που απαιτούνται για την ολοκλήρωση ενός σύνθετου έργου</w:t>
      </w:r>
      <w:r>
        <w:t>.</w:t>
      </w:r>
      <w:r>
        <w:t xml:space="preserve"> Διαπιστώθηκε επίσης ότι όταν το σύνθετο έργο που πρέπει να ολοκληρωθεί έχει απαιτήσεις σε ικανότητες μακρόχρονης μνήμης, εμφανίζονται δυσκολίες σε επίπεδο ακρίβειας βημάτων οι οποίες πρέπει να ακολουθηθούν από τον εξεταζόμενο προκειμένου να διεκπεραιωθεί το έργο.</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επικοινωνίας με την χρήση τηλεφώνου, οικονομικών συναλλαγών, διατήρησης της προσωπικής υγιεινής, προσανατολισμού σε χώρο και ένδυσης.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της ένδυσης, της συγκράτησης ούρων, του ύπνου, της αναγνώρισης προσώπων, της διατήρησης της προσωπικής υγιεινής, της μνήμης ονομάτων, της εγρήγορσης/προσοχής, της σφαιρικής σύγχυσης, του προσανατολισμού σε χώρο και χρόνο, της συγκινησιακής κατάστασης και της κοινωνικής απαντητικότητας, και αναφέρθηκαν σοβαρές δυσκολίες στις ικανότητες της ομιλίας και της μνήμης γεγονότων.</w:t>
      </w:r>
      <w:r>
        <w:t xml:space="preserve"> Τα παραπάνω ευρήματα (η ύπαρξη μέτριων ή σοβαρών ελλειμάτων)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ερωτηματολόγιο αυτοαναφοράς (GDS) που χορηγήθηκε στην εξεταζόμενη, για την περίοδο που έγινε η εκτίμηση, δεν διαπιστώθηκε διαταραχή της διάθεσης.</w:t>
      </w:r>
      <w:r>
        <w:t xml:space="preserve"> Σύμφωνα με την ίδια</w:t>
      </w:r>
      <w:r>
        <w:t xml:space="preserve"> αναφέρθηκαν συμπεριφορές</w:t>
      </w:r>
      <w:r>
        <w:rPr>
          <w:b/>
        </w:rPr>
        <w:t xml:space="preserve"> μεγάλης σοβαρότητας</w:t>
      </w:r>
      <w:r>
        <w:t xml:space="preserve"> όπως </w:t>
      </w:r>
      <w:r>
        <w:t>έλλειψη αναστολών με συχνότητα εμφάνισης λιγότερο από μια φορά την εβδομάδα</w:t>
      </w:r>
      <w:r>
        <w:t xml:space="preserve">. </w:t>
      </w:r>
      <w:r>
        <w:t>Επίσης αναφέρθηκαν συμπεριφορές</w:t>
      </w:r>
      <w:r>
        <w:rPr>
          <w:b/>
        </w:rPr>
        <w:t xml:space="preserve"> μέτριας σοβαρότητας</w:t>
      </w:r>
      <w:r>
        <w:t xml:space="preserve"> όπως </w:t>
      </w:r>
      <w:r>
        <w:t>ευφορία με συχνότητα εμφάνισης μία φορά ή περισσότερες τη μέρα</w:t>
      </w:r>
      <w:r>
        <w:t xml:space="preserve">. </w:t>
      </w:r>
      <w:r>
        <w:t>Τέλος αναφέρθηκαν συμπεριφορές</w:t>
      </w:r>
      <w:r>
        <w:rPr>
          <w:b/>
        </w:rPr>
        <w:t xml:space="preserve"> ήπιας σοβαρότητας</w:t>
      </w:r>
      <w:r>
        <w:t xml:space="preserve"> όπως </w:t>
      </w:r>
      <w:r>
        <w:t>κατάθλιψη με συχνότητα εμφάνισης περίπου μια φορά την εβδομάδα</w:t>
      </w:r>
      <w:r>
        <w:t xml:space="preserve">.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την ίδια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την ίδια,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