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p>
    <w:p>
      <w:pPr>
        <w:jc w:val="center"/>
      </w:pPr>
      <w:r>
        <w:rPr>
          <w:b/>
          <w:u w:val="single"/>
        </w:rPr>
        <w:t>Αποτελέσματα</w:t>
      </w:r>
    </w:p>
    <w:p>
      <w:r>
        <w:t>MMSE: 19/30</w:t>
        <w:br/>
        <w:t>RAVLT Ικανότητα μάθησης / Ικανότητα συγκράτησης: 10/9/15</w:t>
        <w:br/>
        <w:t>ROCFT: Αντιγ/Καθυστ.Ανάκλ.: 31/18/36</w:t>
        <w:br/>
        <w:t>FUCAS: 44/126</w:t>
        <w:br/>
        <w:t>FRSSD: 16/42</w:t>
        <w:br/>
        <w:t>NPI: 47/120</w:t>
        <w:br/>
        <w:t>GDS: 2/15</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τον ίδιο (). Όσον αφορά τις διαταραχές συμπεριφοράς, οι πληροφορίες ελήφθησαν επίσης από τον ίδιο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rPr>
          <w:color w:val="FF0000"/>
        </w:rPr>
        <w:t>Οι παραπάνω επιδόσεις στην μνήμη επεισοδίων συνηγορούν υπέρ δυσκολιών από την πλευρά της εξεταζόμενης όσον αφορά στην ικανότητα λεκτικής και οπτικής μάθησης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     Ωστόσο, μέσα από την αντικειμενική εκτίμηση της ίδιας φάνηκε ότι για το διάστημα που διενεργήθηκε η εκτίμηση η Surname Name δεν αντιμετώπιζε ιδιαίτερα προβλήματα στο να εκτελεί πιο απλές καθημερινές δραστηριότητες όπως είναι η ικανότητα ένδυσης και ατομικής υγιεινής (πλύσιμο χεριών).</w:t>
      </w:r>
    </w:p>
    <w:p>
      <w:pPr>
        <w:jc w:val="left"/>
      </w:pPr>
      <w:r>
        <w:rPr>
          <w:b w:val="0"/>
          <w:u w:val="single"/>
        </w:rPr>
        <w:t>Καθημερινή λειτουργικότητα</w:t>
      </w:r>
    </w:p>
    <w:p>
      <w:pPr>
        <w:jc w:val="both"/>
      </w:pPr>
      <w:r>
        <w:rPr>
          <w:color w:val="FF0000"/>
        </w:rPr>
        <w:t>Από τα αποτελέσματα της αντικειμενικής εκτίμησης μέσω της δοκιμασίας καθημερινής λειτουργικότητας (FUCAS) διαπιστώθηκαν ελλείψεις σε σύνθετες δραστηριότητες που αφορούσαν τομείς που σχετίζονταν με την λήψη της φαρμακευτικής αγωγής, στην ικανότητα επικοινωνίας με την χρήση τηλεφωνικού καταλόγου, στην ικανότητα οικονομικών συναλλαγών. Η ικανότητα προσανατολισμού σε χώρο ήταν ελαφρώς μειωμένη, ενώ οι πιο απλές όπως αυτές της ένδυσης, αλλά και διατήρησης της προσωπικής υγιεινής δεν παρουσίασαν έκπτωση που να αποκλίνει από το φυσιολογικό επίπεδο.</w:t>
        <w:br/>
      </w:r>
      <w:r>
        <w:rPr>
          <w:color w:val="FF0000"/>
        </w:rPr>
        <w:t>Σύμφωνα με την συνέντευξη που πραγματοποιήθηκε με τον ίδιο () και μετά από την χορήγηση ημι-δομημένου ερωτηματολογίου (FRSSD), αναφέρθηκαν ήπιες δυσκολίες σε ικανότητες ένδυσης, στην ομιλία (εύρεση κατάλληλης λέξης), στον ύπνο, στην αναγνώριση προσώπων, στην διατήρηση της ατομικής υγιεινής, στην μνήμη ονομάτων, στον προσανατολισμό σε τόπο, στην συναισθηματική κατάσταση, καθώς και στην κοινωνική απαντητικότητα. Μεγαλύτερες ήταν οι δυσκολίες σύμφωνα με τους συνοδούς, σε ικανότητες μνήμης γεγονότων και εγρήγορσης/προσοχής, ενώ σοβαρές αλλαγές αναφέρθηκαν από τους συνοδούς στην σφαιρική σύγχυση. Τα παραπάνω ευρήματα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rPr>
          <w:color w:val="FF0000"/>
        </w:rPr>
        <w:t xml:space="preserve">Σύμφωνα με τα ερωτηματολόγιο αυτοαναφοράς (GDS) που χορηγήθηκε στην εξεταζόμενη δεν διαπιστώθηκε για την περίοδο που έγινε η εκτίμηση διαταραχή της διάθεσης. Σύμφωνα με τον ίδιο ()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τον ίδιο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τον ίδιο,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