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320"/>
      </w:pPr>
      <w:r>
        <w:rPr>
          <w:rFonts w:ascii="Arial" w:hAnsi="Arial"/>
          <w:b/>
          <w:color w:val="0F172A"/>
          <w:sz w:val="48"/>
        </w:rPr>
        <w:t>Attention Mechanism Efficiency in Ultra-Low Parameter Architectures</w:t>
      </w:r>
    </w:p>
    <w:p>
      <w:pPr>
        <w:keepNext/>
        <w:spacing w:before="0" w:after="80"/>
      </w:pPr>
      <w:r>
        <w:rPr>
          <w:rFonts w:ascii="Arial" w:hAnsi="Arial"/>
          <w:b/>
          <w:color w:val="0F172A"/>
          <w:sz w:val="48"/>
        </w:rPr>
        <w:t>Attention Mechanism Efficiency in Ultra-Low Parameter Architectures</w:t>
      </w:r>
    </w:p>
    <w:p>
      <w:pPr>
        <w:keepNext/>
        <w:spacing w:before="0" w:after="360"/>
      </w:pPr>
      <w:r>
        <w:rPr>
          <w:rFonts w:ascii="Arial" w:hAnsi="Arial"/>
          <w:color w:val="64748B"/>
          <w:sz w:val="24"/>
        </w:rPr>
        <w:t>A Comparative Analysis of Linear Attention, State Space Models, and Sparse FlashAttention</w:t>
      </w:r>
    </w:p>
    <w:p>
      <w:pPr>
        <w:keepNext/>
        <w:spacing w:before="0" w:after="240"/>
      </w:pPr>
      <w:r>
        <w:rPr>
          <w:rFonts w:ascii="Arial" w:hAnsi="Arial"/>
          <w:b/>
          <w:color w:val="0F172A"/>
          <w:sz w:val="36"/>
        </w:rPr>
        <w:t>Contents</w:t>
      </w:r>
    </w:p>
    <w:p>
      <w:r>
        <w:br w:type="page"/>
      </w:r>
    </w:p>
    <w:p>
      <w:pPr>
        <w:keepNext/>
        <w:spacing w:before="0" w:after="240"/>
      </w:pPr>
      <w:r>
        <w:rPr>
          <w:rFonts w:ascii="Arial" w:hAnsi="Arial"/>
          <w:b/>
          <w:color w:val="0F172A"/>
          <w:sz w:val="32"/>
        </w:rPr>
        <w:t>List of Figures</w:t>
      </w:r>
    </w:p>
    <w:p>
      <w:r>
        <w:br w:type="page"/>
      </w:r>
    </w:p>
    <w:p>
      <w:pPr>
        <w:keepNext/>
        <w:spacing w:before="0" w:after="240"/>
      </w:pPr>
      <w:r>
        <w:rPr>
          <w:rFonts w:ascii="Arial" w:hAnsi="Arial"/>
          <w:b/>
          <w:color w:val="0F172A"/>
          <w:sz w:val="32"/>
        </w:rPr>
        <w:t>List of Tables</w:t>
      </w:r>
    </w:p>
    <w:p>
      <w:r>
        <w:br w:type="page"/>
      </w:r>
    </w:p>
    <w:p>
      <w:pPr>
        <w:pStyle w:val="Heading1"/>
        <w:keepNext/>
        <w:outlineLvl w:val="0"/>
      </w:pPr>
      <w:r>
        <w:rPr>
          <w:rFonts w:ascii="Arial" w:hAnsi="Arial"/>
          <w:b/>
          <w:color w:val="0F172A"/>
          <w:sz w:val="36"/>
        </w:rPr>
        <w:t>Abstract</w:t>
      </w:r>
    </w:p>
    <w:p>
      <w:pPr>
        <w:spacing w:before="0" w:after="120" w:line="276" w:lineRule="auto"/>
      </w:pPr>
      <w:r>
        <w:rPr>
          <w:rFonts w:ascii="Arial" w:hAnsi="Arial"/>
          <w:b/>
          <w:color w:val="0F172A"/>
          <w:sz w:val="21"/>
        </w:rPr>
        <w:t xml:space="preserve">Summary: </w:t>
      </w:r>
      <w:r>
        <w:rPr>
          <w:rFonts w:ascii="Arial" w:hAnsi="Arial"/>
          <w:color w:val="1F2937"/>
          <w:sz w:val="21"/>
        </w:rPr>
        <w:t>Transformer-based language models exhibit quadratic time complexity relative to sequence length. This empirical investigation examines linear attention formulations and state space models (SSM) operating within resource-constrained edge compute budgets (&lt; 250M parameters). We demonstrate that selective state spaces maintain 94.2% of full attention perplexity while achieving a 4.8x increase in token generation throughput.</w:t>
      </w:r>
    </w:p>
    <w:p>
      <w:pPr>
        <w:pStyle w:val="Heading1"/>
        <w:keepNext/>
        <w:outlineLvl w:val="0"/>
      </w:pPr>
      <w:r>
        <w:rPr>
          <w:rFonts w:ascii="Arial" w:hAnsi="Arial"/>
          <w:b/>
          <w:color w:val="0F172A"/>
          <w:sz w:val="36"/>
        </w:rPr>
        <w:t>1. Introduction and Related Work</w:t>
      </w:r>
    </w:p>
    <w:p>
      <w:pPr>
        <w:spacing w:before="0" w:after="120" w:line="276" w:lineRule="auto"/>
      </w:pPr>
      <w:r>
        <w:rPr>
          <w:rFonts w:ascii="Arial" w:hAnsi="Arial"/>
          <w:color w:val="1F2937"/>
          <w:sz w:val="21"/>
        </w:rPr>
        <w:t>Standard multi-head self-attention relies on explicit softmax dot products between queries and keys.</w:t>
      </w:r>
    </w:p>
    <w:p>
      <w:pPr>
        <w:spacing w:after="120" w:line="276" w:lineRule="auto"/>
      </w:pPr>
      <w:r>
        <w:rPr>
          <w:rFonts w:ascii="Arial" w:hAnsi="Arial"/>
          <w:sz w:val="21"/>
        </w:rPr>
        <w:t xml:space="preserve">As formulated in foundational sequence transduction research, </w:t>
      </w:r>
      <w:r>
        <w:rPr>
          <w:rFonts w:ascii="Arial" w:hAnsi="Arial"/>
          <w:color w:val="1F2937"/>
          <w:sz w:val="21"/>
        </w:rPr>
        <w:t>"An attention function can be described as mapping a query and a set of key-value pairs to an output."</w:t>
      </w:r>
      <w:r>
        <w:rPr>
          <w:rStyle w:val="FootnoteReference"/>
        </w:rPr>
        <w:footnoteReference w:id="1"/>
      </w:r>
    </w:p>
    <w:p>
      <w:pPr>
        <w:spacing w:after="80"/>
      </w:pPr>
      <w:r>
        <w:t>Regarding hardware-aware state propagation in continuous-time models:</w:t>
      </w:r>
    </w:p>
    <w:p>
      <w:pPr>
        <w:spacing w:before="80" w:after="160" w:line="276" w:lineRule="auto"/>
        <w:ind w:left="720" w:right="288"/>
      </w:pPr>
      <w:r>
        <w:rPr>
          <w:rFonts w:ascii="Arial" w:hAnsi="Arial"/>
          <w:color w:val="1F2937"/>
          <w:sz w:val="20"/>
        </w:rPr>
        <w:t>Selective state space models overcome the computational bottleneck of standard attention by allowing the model to selectively propagate or reset state information based on the current token input. This design provides linear scaling with respect to context window length while preserving recurrent inference efficiency.</w:t>
      </w:r>
      <w:r>
        <w:rPr>
          <w:rStyle w:val="FootnoteReference"/>
        </w:rPr>
        <w:footnoteReference w:id="2"/>
      </w:r>
    </w:p>
    <w:p>
      <w:pPr>
        <w:pStyle w:val="Heading1"/>
        <w:keepNext/>
        <w:outlineLvl w:val="0"/>
      </w:pPr>
      <w:r>
        <w:rPr>
          <w:rFonts w:ascii="Arial" w:hAnsi="Arial"/>
          <w:b/>
          <w:color w:val="0F172A"/>
          <w:sz w:val="36"/>
        </w:rPr>
        <w:t>2. Mathematical Formulation</w:t>
      </w:r>
    </w:p>
    <w:p>
      <w:pPr>
        <w:spacing w:before="0" w:after="120" w:line="276" w:lineRule="auto"/>
      </w:pPr>
      <w:r>
        <w:rPr>
          <w:rFonts w:ascii="Arial" w:hAnsi="Arial"/>
          <w:color w:val="1F2937"/>
          <w:sz w:val="21"/>
        </w:rPr>
        <w:t>Standard scaled dot-product attention computes representations via:</w:t>
      </w:r>
    </w:p>
    <w:p>
      <w:pPr>
        <w:keepNext/>
        <w:tabs>
          <w:tab w:pos="4680" w:val="center"/>
          <w:tab w:pos="9360" w:val="right"/>
        </w:tabs>
        <w:spacing w:before="160" w:after="40"/>
      </w:pPr>
      <w:r>
        <w:tab/>
      </w:r>
      <m:oMath>
        <m:r>
          <m:rPr>
            <m:sty m:val="p"/>
          </m:rPr>
          <m:t xml:space="preserve">Attention(Q, K, V) = softmax((Q K^T) / √(d_k)) V</m:t>
        </m:r>
      </m:oMath>
      <w:r>
        <w:tab/>
      </w:r>
      <w:r>
        <w:rPr>
          <w:rFonts w:ascii="Arial" w:hAnsi="Arial"/>
          <w:color w:val="64748B"/>
          <w:sz w:val="20"/>
        </w:rPr>
        <w:t>(1)</w:t>
      </w:r>
    </w:p>
    <w:p>
      <w:pPr>
        <w:spacing w:before="0" w:after="160"/>
        <w:jc w:val="center"/>
      </w:pPr>
      <w:r>
        <w:rPr>
          <w:rFonts w:ascii="Arial" w:hAnsi="Arial"/>
          <w:i/>
          <w:color w:val="64748B"/>
          <w:sz w:val="19"/>
        </w:rPr>
        <w:t>Equation 1: Scaled dot-product attention matrix formulation.</w:t>
      </w:r>
    </w:p>
    <w:p>
      <w:pPr>
        <w:spacing w:before="0" w:after="120" w:line="276" w:lineRule="auto"/>
      </w:pPr>
      <w:r>
        <w:rPr>
          <w:rFonts w:ascii="Arial" w:hAnsi="Arial"/>
          <w:color w:val="1F2937"/>
          <w:sz w:val="21"/>
        </w:rPr>
        <w:t>In contrast, continuous state space dynamics model hidden state transitions via:</w:t>
      </w:r>
    </w:p>
    <w:p>
      <w:pPr>
        <w:keepNext/>
        <w:tabs>
          <w:tab w:pos="4680" w:val="center"/>
          <w:tab w:pos="9360" w:val="right"/>
        </w:tabs>
        <w:spacing w:before="160" w:after="40"/>
      </w:pPr>
      <w:r>
        <w:tab/>
      </w:r>
      <m:oMath>
        <m:r>
          <m:rPr>
            <m:sty m:val="p"/>
          </m:rPr>
          <m:t xml:space="preserve">h'(t) = A h(t) + B x(t),  y(t) = C h(t)</m:t>
        </m:r>
      </m:oMath>
      <w:r>
        <w:tab/>
      </w:r>
      <w:r>
        <w:rPr>
          <w:rFonts w:ascii="Arial" w:hAnsi="Arial"/>
          <w:color w:val="64748B"/>
          <w:sz w:val="20"/>
        </w:rPr>
        <w:t>(2)</w:t>
      </w:r>
    </w:p>
    <w:p>
      <w:pPr>
        <w:spacing w:before="0" w:after="160"/>
        <w:jc w:val="center"/>
      </w:pPr>
      <w:r>
        <w:rPr>
          <w:rFonts w:ascii="Arial" w:hAnsi="Arial"/>
          <w:i/>
          <w:color w:val="64748B"/>
          <w:sz w:val="19"/>
        </w:rPr>
        <w:t>Equation 2: Continuous linear time-invariant state-space system.</w:t>
      </w:r>
    </w:p>
    <w:p>
      <w:pPr>
        <w:pStyle w:val="Heading1"/>
        <w:keepNext/>
        <w:outlineLvl w:val="0"/>
      </w:pPr>
      <w:r>
        <w:rPr>
          <w:rFonts w:ascii="Arial" w:hAnsi="Arial"/>
          <w:b/>
          <w:color w:val="0F172A"/>
          <w:sz w:val="36"/>
        </w:rPr>
        <w:t>3. Empirical Evaluation</w:t>
      </w:r>
    </w:p>
    <w:p>
      <w:pPr>
        <w:spacing w:before="0" w:after="120" w:line="276" w:lineRule="auto"/>
      </w:pPr>
      <w:r>
        <w:rPr>
          <w:rFonts w:ascii="Arial" w:hAnsi="Arial"/>
          <w:color w:val="1F2937"/>
          <w:sz w:val="21"/>
        </w:rPr>
        <w:t>Experiments were conducted across synthetic needle-in-a-haystack tasks and WikiText-103 benchmarks.</w:t>
      </w:r>
    </w:p>
    <w:tbl>
      <w:tblPr>
        <w:tblW w:type="auto" w:w="0"/>
        <w:jc w:val="center"/>
        <w:tblLook w:firstColumn="1" w:firstRow="1" w:lastColumn="0" w:lastRow="0" w:noHBand="0" w:noVBand="1" w:val="04A0"/>
        <w:tblBorders>
          <w:top w:val="single" w:sz="4" w:space="0" w:color="E2E8F0"/>
          <w:left w:val="none"/>
          <w:bottom w:val="single" w:sz="6" w:space="0" w:color="E2E8F0"/>
          <w:right w:val="none"/>
          <w:insideH w:val="single" w:sz="4" w:space="0" w:color="E2E8F0"/>
          <w:insideV w:val="none"/>
        </w:tblBorders>
      </w:tblPr>
      <w:tblGrid>
        <w:gridCol w:w="1872"/>
        <w:gridCol w:w="1872"/>
        <w:gridCol w:w="1872"/>
        <w:gridCol w:w="1872"/>
        <w:gridCol w:w="1872"/>
      </w:tblGrid>
      <w:tr>
        <w:tc>
          <w:tcPr>
            <w:tcW w:type="dxa" w:w="1872"/>
            <w:tcMar>
              <w:top w:w="140" w:type="dxa"/>
              <w:bottom w:w="140" w:type="dxa"/>
              <w:left w:w="160" w:type="dxa"/>
              <w:right w:w="160" w:type="dxa"/>
            </w:tcMar>
            <w:shd w:val="clear" w:color="auto" w:fill="F8FAFC"/>
          </w:tcPr>
          <w:p>
            <w:pPr>
              <w:spacing w:before="0" w:after="0" w:line="276" w:lineRule="auto"/>
            </w:pPr>
            <w:r>
              <w:rPr>
                <w:rFonts w:ascii="Arial" w:hAnsi="Arial"/>
                <w:b/>
                <w:color w:val="0F172A"/>
                <w:sz w:val="19"/>
              </w:rPr>
              <w:t>Model Variant</w:t>
            </w:r>
          </w:p>
        </w:tc>
        <w:tc>
          <w:tcPr>
            <w:tcW w:type="dxa" w:w="1872"/>
            <w:tcMar>
              <w:top w:w="140" w:type="dxa"/>
              <w:bottom w:w="140" w:type="dxa"/>
              <w:left w:w="160" w:type="dxa"/>
              <w:right w:w="160" w:type="dxa"/>
            </w:tcMar>
            <w:shd w:val="clear" w:color="auto" w:fill="F8FAFC"/>
          </w:tcPr>
          <w:p>
            <w:pPr>
              <w:spacing w:before="0" w:after="0" w:line="276" w:lineRule="auto"/>
            </w:pPr>
            <w:r>
              <w:rPr>
                <w:rFonts w:ascii="Arial" w:hAnsi="Arial"/>
                <w:b/>
                <w:color w:val="0F172A"/>
                <w:sz w:val="19"/>
              </w:rPr>
              <w:t>Active Params</w:t>
            </w:r>
          </w:p>
        </w:tc>
        <w:tc>
          <w:tcPr>
            <w:tcW w:type="dxa" w:w="1872"/>
            <w:tcMar>
              <w:top w:w="140" w:type="dxa"/>
              <w:bottom w:w="140" w:type="dxa"/>
              <w:left w:w="160" w:type="dxa"/>
              <w:right w:w="160" w:type="dxa"/>
            </w:tcMar>
            <w:shd w:val="clear" w:color="auto" w:fill="F8FAFC"/>
          </w:tcPr>
          <w:p>
            <w:pPr>
              <w:spacing w:before="0" w:after="0" w:line="276" w:lineRule="auto"/>
            </w:pPr>
            <w:r>
              <w:rPr>
                <w:rFonts w:ascii="Arial" w:hAnsi="Arial"/>
                <w:b/>
                <w:color w:val="0F172A"/>
                <w:sz w:val="19"/>
              </w:rPr>
              <w:t>Context Window</w:t>
            </w:r>
          </w:p>
        </w:tc>
        <w:tc>
          <w:tcPr>
            <w:tcW w:type="dxa" w:w="1872"/>
            <w:tcMar>
              <w:top w:w="140" w:type="dxa"/>
              <w:bottom w:w="140" w:type="dxa"/>
              <w:left w:w="160" w:type="dxa"/>
              <w:right w:w="160" w:type="dxa"/>
            </w:tcMar>
            <w:shd w:val="clear" w:color="auto" w:fill="F8FAFC"/>
          </w:tcPr>
          <w:p>
            <w:pPr>
              <w:spacing w:before="0" w:after="0" w:line="276" w:lineRule="auto"/>
            </w:pPr>
            <w:r>
              <w:rPr>
                <w:rFonts w:ascii="Arial" w:hAnsi="Arial"/>
                <w:b/>
                <w:color w:val="0F172A"/>
                <w:sz w:val="19"/>
              </w:rPr>
              <w:t>Perplexity</w:t>
            </w:r>
          </w:p>
        </w:tc>
        <w:tc>
          <w:tcPr>
            <w:tcW w:type="dxa" w:w="1872"/>
            <w:tcMar>
              <w:top w:w="140" w:type="dxa"/>
              <w:bottom w:w="140" w:type="dxa"/>
              <w:left w:w="160" w:type="dxa"/>
              <w:right w:w="160" w:type="dxa"/>
            </w:tcMar>
            <w:shd w:val="clear" w:color="auto" w:fill="F8FAFC"/>
          </w:tcPr>
          <w:p>
            <w:pPr>
              <w:spacing w:before="0" w:after="0" w:line="276" w:lineRule="auto"/>
            </w:pPr>
            <w:r>
              <w:rPr>
                <w:rFonts w:ascii="Arial" w:hAnsi="Arial"/>
                <w:b/>
                <w:color w:val="0F172A"/>
                <w:sz w:val="19"/>
              </w:rPr>
              <w:t>Tokens / Sec</w:t>
            </w:r>
          </w:p>
        </w:tc>
      </w:tr>
      <w:tr>
        <w:tc>
          <w:tcPr>
            <w:tcW w:type="dxa" w:w="1872"/>
            <w:tcMar>
              <w:top w:w="120" w:type="dxa"/>
              <w:bottom w:w="120" w:type="dxa"/>
              <w:left w:w="160" w:type="dxa"/>
              <w:right w:w="160" w:type="dxa"/>
            </w:tcMar>
          </w:tcPr>
          <w:p>
            <w:pPr>
              <w:spacing w:before="0" w:after="0" w:line="276" w:lineRule="auto"/>
            </w:pPr>
            <w:r>
              <w:rPr>
                <w:rFonts w:ascii="Arial" w:hAnsi="Arial"/>
                <w:color w:val="1F2937"/>
                <w:sz w:val="19"/>
              </w:rPr>
              <w:t>Baseline Transformer-Tiny</w:t>
            </w:r>
          </w:p>
        </w:tc>
        <w:tc>
          <w:tcPr>
            <w:tcW w:type="dxa" w:w="1872"/>
            <w:tcMar>
              <w:top w:w="120" w:type="dxa"/>
              <w:bottom w:w="120" w:type="dxa"/>
              <w:left w:w="160" w:type="dxa"/>
              <w:right w:w="160" w:type="dxa"/>
            </w:tcMar>
          </w:tcPr>
          <w:p>
            <w:pPr>
              <w:spacing w:before="0" w:after="0" w:line="276" w:lineRule="auto"/>
            </w:pPr>
            <w:r>
              <w:rPr>
                <w:rFonts w:ascii="Arial" w:hAnsi="Arial"/>
                <w:color w:val="1F2937"/>
                <w:sz w:val="19"/>
              </w:rPr>
              <w:t>125M</w:t>
            </w:r>
          </w:p>
        </w:tc>
        <w:tc>
          <w:tcPr>
            <w:tcW w:type="dxa" w:w="1872"/>
            <w:tcMar>
              <w:top w:w="120" w:type="dxa"/>
              <w:bottom w:w="120" w:type="dxa"/>
              <w:left w:w="160" w:type="dxa"/>
              <w:right w:w="160" w:type="dxa"/>
            </w:tcMar>
          </w:tcPr>
          <w:p>
            <w:pPr>
              <w:spacing w:before="0" w:after="0" w:line="276" w:lineRule="auto"/>
            </w:pPr>
            <w:r>
              <w:rPr>
                <w:rFonts w:ascii="Arial" w:hAnsi="Arial"/>
                <w:color w:val="1F2937"/>
                <w:sz w:val="19"/>
              </w:rPr>
              <w:t>4,096</w:t>
            </w:r>
          </w:p>
        </w:tc>
        <w:tc>
          <w:tcPr>
            <w:tcW w:type="dxa" w:w="1872"/>
            <w:tcMar>
              <w:top w:w="120" w:type="dxa"/>
              <w:bottom w:w="120" w:type="dxa"/>
              <w:left w:w="160" w:type="dxa"/>
              <w:right w:w="160" w:type="dxa"/>
            </w:tcMar>
          </w:tcPr>
          <w:p>
            <w:pPr>
              <w:spacing w:before="0" w:after="0" w:line="276" w:lineRule="auto"/>
            </w:pPr>
            <w:r>
              <w:rPr>
                <w:rFonts w:ascii="Arial" w:hAnsi="Arial"/>
                <w:color w:val="1F2937"/>
                <w:sz w:val="19"/>
              </w:rPr>
              <w:t>18.42</w:t>
            </w:r>
          </w:p>
        </w:tc>
        <w:tc>
          <w:tcPr>
            <w:tcW w:type="dxa" w:w="1872"/>
            <w:tcMar>
              <w:top w:w="120" w:type="dxa"/>
              <w:bottom w:w="120" w:type="dxa"/>
              <w:left w:w="160" w:type="dxa"/>
              <w:right w:w="160" w:type="dxa"/>
            </w:tcMar>
          </w:tcPr>
          <w:p>
            <w:pPr>
              <w:spacing w:before="0" w:after="0" w:line="276" w:lineRule="auto"/>
            </w:pPr>
            <w:r>
              <w:rPr>
                <w:rFonts w:ascii="Arial" w:hAnsi="Arial"/>
                <w:color w:val="1F2937"/>
                <w:sz w:val="19"/>
              </w:rPr>
              <w:t>142</w:t>
            </w:r>
          </w:p>
        </w:tc>
      </w:tr>
      <w:tr>
        <w:tc>
          <w:tcPr>
            <w:tcW w:type="dxa" w:w="1872"/>
            <w:tcMar>
              <w:top w:w="120" w:type="dxa"/>
              <w:bottom w:w="120" w:type="dxa"/>
              <w:left w:w="160" w:type="dxa"/>
              <w:right w:w="160" w:type="dxa"/>
            </w:tcMar>
          </w:tcPr>
          <w:p>
            <w:pPr>
              <w:spacing w:before="0" w:after="0" w:line="276" w:lineRule="auto"/>
            </w:pPr>
            <w:r>
              <w:rPr>
                <w:rFonts w:ascii="Arial" w:hAnsi="Arial"/>
                <w:color w:val="1F2937"/>
                <w:sz w:val="19"/>
              </w:rPr>
              <w:t>FlashAttention-v2 (Sparse)</w:t>
            </w:r>
          </w:p>
        </w:tc>
        <w:tc>
          <w:tcPr>
            <w:tcW w:type="dxa" w:w="1872"/>
            <w:tcMar>
              <w:top w:w="120" w:type="dxa"/>
              <w:bottom w:w="120" w:type="dxa"/>
              <w:left w:w="160" w:type="dxa"/>
              <w:right w:w="160" w:type="dxa"/>
            </w:tcMar>
          </w:tcPr>
          <w:p>
            <w:pPr>
              <w:spacing w:before="0" w:after="0" w:line="276" w:lineRule="auto"/>
            </w:pPr>
            <w:r>
              <w:rPr>
                <w:rFonts w:ascii="Arial" w:hAnsi="Arial"/>
                <w:color w:val="1F2937"/>
                <w:sz w:val="19"/>
              </w:rPr>
              <w:t>125M</w:t>
            </w:r>
          </w:p>
        </w:tc>
        <w:tc>
          <w:tcPr>
            <w:tcW w:type="dxa" w:w="1872"/>
            <w:tcMar>
              <w:top w:w="120" w:type="dxa"/>
              <w:bottom w:w="120" w:type="dxa"/>
              <w:left w:w="160" w:type="dxa"/>
              <w:right w:w="160" w:type="dxa"/>
            </w:tcMar>
          </w:tcPr>
          <w:p>
            <w:pPr>
              <w:spacing w:before="0" w:after="0" w:line="276" w:lineRule="auto"/>
            </w:pPr>
            <w:r>
              <w:rPr>
                <w:rFonts w:ascii="Arial" w:hAnsi="Arial"/>
                <w:color w:val="1F2937"/>
                <w:sz w:val="19"/>
              </w:rPr>
              <w:t>8,192</w:t>
            </w:r>
          </w:p>
        </w:tc>
        <w:tc>
          <w:tcPr>
            <w:tcW w:type="dxa" w:w="1872"/>
            <w:tcMar>
              <w:top w:w="120" w:type="dxa"/>
              <w:bottom w:w="120" w:type="dxa"/>
              <w:left w:w="160" w:type="dxa"/>
              <w:right w:w="160" w:type="dxa"/>
            </w:tcMar>
          </w:tcPr>
          <w:p>
            <w:pPr>
              <w:spacing w:before="0" w:after="0" w:line="276" w:lineRule="auto"/>
            </w:pPr>
            <w:r>
              <w:rPr>
                <w:rFonts w:ascii="Arial" w:hAnsi="Arial"/>
                <w:color w:val="1F2937"/>
                <w:sz w:val="19"/>
              </w:rPr>
              <w:t>18.39</w:t>
            </w:r>
          </w:p>
        </w:tc>
        <w:tc>
          <w:tcPr>
            <w:tcW w:type="dxa" w:w="1872"/>
            <w:tcMar>
              <w:top w:w="120" w:type="dxa"/>
              <w:bottom w:w="120" w:type="dxa"/>
              <w:left w:w="160" w:type="dxa"/>
              <w:right w:w="160" w:type="dxa"/>
            </w:tcMar>
          </w:tcPr>
          <w:p>
            <w:pPr>
              <w:spacing w:before="0" w:after="0" w:line="276" w:lineRule="auto"/>
            </w:pPr>
            <w:r>
              <w:rPr>
                <w:rFonts w:ascii="Arial" w:hAnsi="Arial"/>
                <w:color w:val="1F2937"/>
                <w:sz w:val="19"/>
              </w:rPr>
              <w:t>285</w:t>
            </w:r>
          </w:p>
        </w:tc>
      </w:tr>
      <w:tr>
        <w:tc>
          <w:tcPr>
            <w:tcW w:type="dxa" w:w="1872"/>
            <w:tcMar>
              <w:top w:w="120" w:type="dxa"/>
              <w:bottom w:w="120" w:type="dxa"/>
              <w:left w:w="160" w:type="dxa"/>
              <w:right w:w="160" w:type="dxa"/>
            </w:tcMar>
          </w:tcPr>
          <w:p>
            <w:pPr>
              <w:spacing w:before="0" w:after="0" w:line="276" w:lineRule="auto"/>
            </w:pPr>
            <w:r>
              <w:rPr>
                <w:rFonts w:ascii="Arial" w:hAnsi="Arial"/>
                <w:color w:val="1F2937"/>
                <w:sz w:val="19"/>
              </w:rPr>
              <w:t>Linear Attention (ELU)</w:t>
            </w:r>
          </w:p>
        </w:tc>
        <w:tc>
          <w:tcPr>
            <w:tcW w:type="dxa" w:w="1872"/>
            <w:tcMar>
              <w:top w:w="120" w:type="dxa"/>
              <w:bottom w:w="120" w:type="dxa"/>
              <w:left w:w="160" w:type="dxa"/>
              <w:right w:w="160" w:type="dxa"/>
            </w:tcMar>
          </w:tcPr>
          <w:p>
            <w:pPr>
              <w:spacing w:before="0" w:after="0" w:line="276" w:lineRule="auto"/>
            </w:pPr>
            <w:r>
              <w:rPr>
                <w:rFonts w:ascii="Arial" w:hAnsi="Arial"/>
                <w:color w:val="1F2937"/>
                <w:sz w:val="19"/>
              </w:rPr>
              <w:t>120M</w:t>
            </w:r>
          </w:p>
        </w:tc>
        <w:tc>
          <w:tcPr>
            <w:tcW w:type="dxa" w:w="1872"/>
            <w:tcMar>
              <w:top w:w="120" w:type="dxa"/>
              <w:bottom w:w="120" w:type="dxa"/>
              <w:left w:w="160" w:type="dxa"/>
              <w:right w:w="160" w:type="dxa"/>
            </w:tcMar>
          </w:tcPr>
          <w:p>
            <w:pPr>
              <w:spacing w:before="0" w:after="0" w:line="276" w:lineRule="auto"/>
            </w:pPr>
            <w:r>
              <w:rPr>
                <w:rFonts w:ascii="Arial" w:hAnsi="Arial"/>
                <w:color w:val="1F2937"/>
                <w:sz w:val="19"/>
              </w:rPr>
              <w:t>16,384</w:t>
            </w:r>
          </w:p>
        </w:tc>
        <w:tc>
          <w:tcPr>
            <w:tcW w:type="dxa" w:w="1872"/>
            <w:tcMar>
              <w:top w:w="120" w:type="dxa"/>
              <w:bottom w:w="120" w:type="dxa"/>
              <w:left w:w="160" w:type="dxa"/>
              <w:right w:w="160" w:type="dxa"/>
            </w:tcMar>
          </w:tcPr>
          <w:p>
            <w:pPr>
              <w:spacing w:before="0" w:after="0" w:line="276" w:lineRule="auto"/>
            </w:pPr>
            <w:r>
              <w:rPr>
                <w:rFonts w:ascii="Arial" w:hAnsi="Arial"/>
                <w:color w:val="1F2937"/>
                <w:sz w:val="19"/>
              </w:rPr>
              <w:t>20.15</w:t>
            </w:r>
          </w:p>
        </w:tc>
        <w:tc>
          <w:tcPr>
            <w:tcW w:type="dxa" w:w="1872"/>
            <w:tcMar>
              <w:top w:w="120" w:type="dxa"/>
              <w:bottom w:w="120" w:type="dxa"/>
              <w:left w:w="160" w:type="dxa"/>
              <w:right w:w="160" w:type="dxa"/>
            </w:tcMar>
          </w:tcPr>
          <w:p>
            <w:pPr>
              <w:spacing w:before="0" w:after="0" w:line="276" w:lineRule="auto"/>
            </w:pPr>
            <w:r>
              <w:rPr>
                <w:rFonts w:ascii="Arial" w:hAnsi="Arial"/>
                <w:color w:val="1F2937"/>
                <w:sz w:val="19"/>
              </w:rPr>
              <w:t>512</w:t>
            </w:r>
          </w:p>
        </w:tc>
      </w:tr>
      <w:tr>
        <w:tc>
          <w:tcPr>
            <w:tcW w:type="dxa" w:w="1872"/>
            <w:tcMar>
              <w:top w:w="120" w:type="dxa"/>
              <w:bottom w:w="120" w:type="dxa"/>
              <w:left w:w="160" w:type="dxa"/>
              <w:right w:w="160" w:type="dxa"/>
            </w:tcMar>
          </w:tcPr>
          <w:p>
            <w:pPr>
              <w:spacing w:before="0" w:after="0" w:line="276" w:lineRule="auto"/>
            </w:pPr>
            <w:r>
              <w:rPr>
                <w:rFonts w:ascii="Arial" w:hAnsi="Arial"/>
                <w:color w:val="1F2937"/>
                <w:sz w:val="19"/>
              </w:rPr>
              <w:t>Mamba SSM Selective</w:t>
            </w:r>
          </w:p>
        </w:tc>
        <w:tc>
          <w:tcPr>
            <w:tcW w:type="dxa" w:w="1872"/>
            <w:tcMar>
              <w:top w:w="120" w:type="dxa"/>
              <w:bottom w:w="120" w:type="dxa"/>
              <w:left w:w="160" w:type="dxa"/>
              <w:right w:w="160" w:type="dxa"/>
            </w:tcMar>
          </w:tcPr>
          <w:p>
            <w:pPr>
              <w:spacing w:before="0" w:after="0" w:line="276" w:lineRule="auto"/>
            </w:pPr>
            <w:r>
              <w:rPr>
                <w:rFonts w:ascii="Arial" w:hAnsi="Arial"/>
                <w:color w:val="1F2937"/>
                <w:sz w:val="19"/>
              </w:rPr>
              <w:t>128M</w:t>
            </w:r>
          </w:p>
        </w:tc>
        <w:tc>
          <w:tcPr>
            <w:tcW w:type="dxa" w:w="1872"/>
            <w:tcMar>
              <w:top w:w="120" w:type="dxa"/>
              <w:bottom w:w="120" w:type="dxa"/>
              <w:left w:w="160" w:type="dxa"/>
              <w:right w:w="160" w:type="dxa"/>
            </w:tcMar>
          </w:tcPr>
          <w:p>
            <w:pPr>
              <w:spacing w:before="0" w:after="0" w:line="276" w:lineRule="auto"/>
            </w:pPr>
            <w:r>
              <w:rPr>
                <w:rFonts w:ascii="Arial" w:hAnsi="Arial"/>
                <w:color w:val="1F2937"/>
                <w:sz w:val="19"/>
              </w:rPr>
              <w:t>32,768</w:t>
            </w:r>
          </w:p>
        </w:tc>
        <w:tc>
          <w:tcPr>
            <w:tcW w:type="dxa" w:w="1872"/>
            <w:tcMar>
              <w:top w:w="120" w:type="dxa"/>
              <w:bottom w:w="120" w:type="dxa"/>
              <w:left w:w="160" w:type="dxa"/>
              <w:right w:w="160" w:type="dxa"/>
            </w:tcMar>
          </w:tcPr>
          <w:p>
            <w:pPr>
              <w:spacing w:before="0" w:after="0" w:line="276" w:lineRule="auto"/>
            </w:pPr>
            <w:r>
              <w:rPr>
                <w:rFonts w:ascii="Arial" w:hAnsi="Arial"/>
                <w:color w:val="1F2937"/>
                <w:sz w:val="19"/>
              </w:rPr>
              <w:t>18.84</w:t>
            </w:r>
          </w:p>
        </w:tc>
        <w:tc>
          <w:tcPr>
            <w:tcW w:type="dxa" w:w="1872"/>
            <w:tcMar>
              <w:top w:w="120" w:type="dxa"/>
              <w:bottom w:w="120" w:type="dxa"/>
              <w:left w:w="160" w:type="dxa"/>
              <w:right w:w="160" w:type="dxa"/>
            </w:tcMar>
          </w:tcPr>
          <w:p>
            <w:pPr>
              <w:spacing w:before="0" w:after="0" w:line="276" w:lineRule="auto"/>
            </w:pPr>
            <w:r>
              <w:rPr>
                <w:rFonts w:ascii="Arial" w:hAnsi="Arial"/>
                <w:color w:val="1F2937"/>
                <w:sz w:val="19"/>
              </w:rPr>
              <w:t>680</w:t>
            </w:r>
          </w:p>
        </w:tc>
      </w:tr>
    </w:tbl>
    <w:p>
      <w:pPr>
        <w:keepNext/>
        <w:spacing w:before="160" w:after="80"/>
        <w:jc w:val="center"/>
      </w:pPr>
      <w:r>
        <w:rPr>
          <w:rFonts w:ascii="Arial" w:hAnsi="Arial"/>
          <w:i/>
          <w:color w:val="64748B"/>
          <w:sz w:val="20"/>
        </w:rPr>
        <w:t>[Figure: Throughput vs Sequence Length Scaling Curve]</w:t>
      </w:r>
    </w:p>
    <w:p>
      <w:pPr>
        <w:pStyle w:val="Heading1"/>
        <w:keepNext/>
        <w:outlineLvl w:val="0"/>
      </w:pPr>
      <w:r>
        <w:rPr>
          <w:rFonts w:ascii="Arial" w:hAnsi="Arial"/>
          <w:b/>
          <w:color w:val="0F172A"/>
          <w:sz w:val="36"/>
        </w:rPr>
        <w:t>4. Concluding Remarks</w:t>
      </w:r>
    </w:p>
    <w:p>
      <w:pPr>
        <w:spacing w:before="0" w:after="120" w:line="276" w:lineRule="auto"/>
      </w:pPr>
      <w:r>
        <w:rPr>
          <w:rFonts w:ascii="Arial" w:hAnsi="Arial"/>
          <w:color w:val="1F2937"/>
          <w:sz w:val="21"/>
        </w:rPr>
        <w:t>Selective state space models offer compelling throughput advantages on memory-constrained hardware without sacrificing perplexity. Future work will investigate hybrid architectures combining SSM layers with sparse sliding-window attention.</w:t>
      </w:r>
    </w:p>
    <w:sectPr w:rsidR="00FC693F" w:rsidRPr="0006063C" w:rsidSect="00034616">
      <w:footerReference w:type="default" r:id="rId9"/>
      <w:pgSz w:w="12240" w:h="15840"/>
      <w:pgMar w:top="1440" w:right="1440" w:bottom="1440" w:left="1440" w:header="720" w:footer="720" w:gutter="0"/>
      <w:cols w:space="720"/>
      <w:docGrid w:linePitch="360"/>
    </w:sectPr>
    <w:p>
      <w:pPr>
        <w:spacing w:before="0" w:after="120" w:line="276" w:lineRule="auto"/>
      </w:pPr>
      <w:r>
        <w:fldChar w:fldCharType="begin"/>
      </w:r>
      <w:r>
        <w:rPr>
          <w:rFonts w:ascii="Arial" w:hAnsi="Arial"/>
          <w:color w:val="64748B"/>
          <w:sz w:val="20"/>
        </w:rPr>
        <w:instrText xml:space="preserve"> TOC \o "1-3" \h \z \u </w:instrText>
      </w:r>
      <w:r>
        <w:fldChar w:fldCharType="separate"/>
      </w:r>
      <w:r>
        <w:rPr>
          <w:rFonts w:ascii="Arial" w:hAnsi="Arial"/>
          <w:color w:val="64748B"/>
          <w:i/>
          <w:sz w:val="19"/>
        </w:rPr>
        <w:t xml:space="preserve">[Table of Contents: Automatically refreshed by Word on open. Press F9 to update anytime]</w:t>
      </w:r>
      <w:r>
        <w:fldChar w:fldCharType="end"/>
      </w:r>
    </w:p>
    <w:p>
      <w:pPr>
        <w:spacing w:before="0" w:after="120" w:line="276" w:lineRule="auto"/>
      </w:pPr>
      <w:r>
        <w:fldChar w:fldCharType="begin"/>
      </w:r>
      <w:r>
        <w:rPr>
          <w:rFonts w:ascii="Arial" w:hAnsi="Arial"/>
          <w:color w:val="64748B"/>
          <w:sz w:val="20"/>
        </w:rPr>
        <w:instrText xml:space="preserve"> TOC \c "Figure" \h \z </w:instrText>
      </w:r>
      <w:r>
        <w:fldChar w:fldCharType="separate"/>
      </w:r>
      <w:r>
        <w:rPr>
          <w:rFonts w:ascii="Arial" w:hAnsi="Arial"/>
          <w:color w:val="64748B"/>
          <w:i/>
          <w:sz w:val="19"/>
        </w:rPr>
        <w:t xml:space="preserve">[List of Figures: Automatically populated by Word. Press F9 to update]</w:t>
      </w:r>
      <w:r>
        <w:fldChar w:fldCharType="end"/>
      </w:r>
    </w:p>
    <w:p>
      <w:pPr>
        <w:spacing w:before="0" w:after="120" w:line="276" w:lineRule="auto"/>
      </w:pPr>
      <w:r>
        <w:fldChar w:fldCharType="begin"/>
      </w:r>
      <w:r>
        <w:rPr>
          <w:rFonts w:ascii="Arial" w:hAnsi="Arial"/>
          <w:color w:val="64748B"/>
          <w:sz w:val="20"/>
        </w:rPr>
        <w:instrText xml:space="preserve"> TOC \c "Table" \h \z </w:instrText>
      </w:r>
      <w:r>
        <w:fldChar w:fldCharType="separate"/>
      </w:r>
      <w:r>
        <w:rPr>
          <w:rFonts w:ascii="Arial" w:hAnsi="Arial"/>
          <w:color w:val="64748B"/>
          <w:i/>
          <w:sz w:val="19"/>
        </w:rPr>
        <w:t xml:space="preserve">[List of Tables: Automatically populated by Word. Press F9 to update]</w:t>
      </w:r>
      <w:r>
        <w:fldChar w:fldCharType="end"/>
      </w:r>
    </w:p>
    <w:p>
      <w:pPr>
        <w:pStyle w:val="Caption"/>
        <w:jc w:val="center"/>
        <w:spacing w:before="80" w:after="200" w:line="240" w:lineRule="auto"/>
      </w:pPr>
      <w:r>
        <w:rPr>
          <w:rFonts w:ascii="Arial" w:hAnsi="Arial"/>
          <w:b/>
          <w:sz w:val="19"/>
          <w:color w:val="475569"/>
        </w:rPr>
        <w:t xml:space="preserve">Table </w:t>
      </w:r>
      <w:fldSimple w:instr="SEQ Table \* ARABIC">
        <w:r>
          <w:rPr>
            <w:rFonts w:ascii="Arial" w:hAnsi="Arial"/>
            <w:b/>
            <w:sz w:val="19"/>
            <w:color w:val="475569"/>
          </w:rPr>
          <w:t>1</w:t>
        </w:r>
      </w:fldSimple>
      <w:r>
        <w:rPr>
          <w:rFonts w:ascii="Arial" w:hAnsi="Arial"/>
          <w:sz w:val="19"/>
          <w:color w:val="475569"/>
        </w:rPr>
        <w:t xml:space="preserve">: Comparative Latency, Perplexity, and Context Window Capacity Benchmarks.</w:t>
      </w:r>
    </w:p>
    <w:p>
      <w:pPr>
        <w:pStyle w:val="Caption"/>
        <w:jc w:val="center"/>
        <w:spacing w:before="80" w:after="200" w:line="240" w:lineRule="auto"/>
      </w:pPr>
      <w:r>
        <w:rPr>
          <w:rFonts w:ascii="Arial" w:hAnsi="Arial"/>
          <w:b/>
          <w:sz w:val="19"/>
          <w:color w:val="475569"/>
        </w:rPr>
        <w:t xml:space="preserve">Figure </w:t>
      </w:r>
      <w:fldSimple w:instr="SEQ Figure \* ARABIC">
        <w:r>
          <w:rPr>
            <w:rFonts w:ascii="Arial" w:hAnsi="Arial"/>
            <w:b/>
            <w:sz w:val="19"/>
            <w:color w:val="475569"/>
          </w:rPr>
          <w:t>1</w:t>
        </w:r>
      </w:fldSimple>
      <w:r>
        <w:rPr>
          <w:rFonts w:ascii="Arial" w:hAnsi="Arial"/>
          <w:sz w:val="19"/>
          <w:color w:val="475569"/>
        </w:rPr>
        <w:t xml:space="preserve">: Token Generation Throughput vs. Context Length Across Tested Model Architectures.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Arial" w:hAnsi="Arial"/>
        <w:color w:val="64748B"/>
        <w:sz w:val="18"/>
      </w:rPr>
      <w:t xml:space="preserve">Page </w:t>
    </w:r>
    <w:fldSimple w:instr="PAGE">
      <w:r>
        <w:rPr>
          <w:rFonts w:ascii="Arial" w:hAnsi="Arial"/>
          <w:sz w:val="18"/>
          <w:color w:val="64748B"/>
        </w:rPr>
        <w:t>1</w:t>
      </w:r>
    </w:fldSimple>
    <w:r>
      <w:rPr>
        <w:rFonts w:ascii="Arial" w:hAnsi="Arial"/>
        <w:color w:val="64748B"/>
        <w:sz w:val="18"/>
      </w:rPr>
      <w:t xml:space="preserve"> of </w:t>
    </w:r>
    <w:fldSimple w:instr="NUMPAGES">
      <w:r>
        <w:rPr>
          <w:rFonts w:ascii="Arial" w:hAnsi="Arial"/>
          <w:sz w:val="18"/>
          <w:color w:val="64748B"/>
        </w:rPr>
        <w:t>1</w:t>
      </w:r>
    </w:fldSimple>
  </w:p>
</w:ftr>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spacing w:after="40" w:line="240" w:lineRule="auto"/>
      </w:pPr>
      <w:r>
        <w:rPr>
          <w:rStyle w:val="FootnoteReference"/>
        </w:rPr>
        <w:footnoteRef/>
      </w:r>
      <w:r>
        <w:rPr>
          <w:rFonts w:ascii="Arial" w:hAnsi="Arial"/>
          <w:sz w:val="18"/>
          <w:color w:val="334155"/>
        </w:rPr>
        <w:t xml:space="preserve"> Vaswani, A., Shazeer, N., Parmar, N., Uszkoreit, J., Jones, L., Gomez, A. N., Kaiser, Ł., &amp; Polosukhin, I. (2017). Attention is all you need. Advances in Neural Information Processing Systems, 30, 5998–6008. https://doi.org/10.48550/arXiv.1706.03762</w:t>
      </w:r>
    </w:p>
  </w:footnote>
  <w:footnote w:id="2">
    <w:p>
      <w:pPr>
        <w:pStyle w:val="FootnoteText"/>
        <w:spacing w:after="40" w:line="240" w:lineRule="auto"/>
      </w:pPr>
      <w:r>
        <w:rPr>
          <w:rStyle w:val="FootnoteReference"/>
        </w:rPr>
        <w:footnoteRef/>
      </w:r>
      <w:r>
        <w:rPr>
          <w:rFonts w:ascii="Arial" w:hAnsi="Arial"/>
          <w:sz w:val="18"/>
          <w:color w:val="334155"/>
        </w:rPr>
        <w:t xml:space="preserve"> Gu, A., &amp; Dao, T. (2023). Mamba: Linear-time sequence modeling with selective state spaces. arXiv preprint. https://doi.org/10.48550/arXiv.2312.00752</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pPr>
    <w:rPr>
      <w:rFonts w:ascii="Arial" w:hAnsi="Arial"/>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line="276" w:lineRule="auto"/>
      <w:outlineLvl w:val="0"/>
    </w:pPr>
    <w:rPr>
      <w:rFonts w:asciiTheme="majorHAnsi" w:eastAsiaTheme="majorEastAsia" w:hAnsiTheme="majorHAnsi" w:cstheme="majorBidi" w:ascii="Arial" w:hAnsi="Arial"/>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40" w:after="80" w:line="276" w:lineRule="auto"/>
      <w:outlineLvl w:val="1"/>
    </w:pPr>
    <w:rPr>
      <w:rFonts w:asciiTheme="majorHAnsi" w:eastAsiaTheme="majorEastAsia" w:hAnsiTheme="majorHAnsi" w:cstheme="majorBidi" w:ascii="Arial" w:hAnsi="Arial"/>
      <w:b/>
      <w:bCs/>
      <w:color w:val="1E293B"/>
      <w:sz w:val="28"/>
      <w:szCs w:val="26"/>
    </w:rPr>
  </w:style>
  <w:style w:type="paragraph" w:styleId="Heading3">
    <w:name w:val="heading 3"/>
    <w:basedOn w:val="Normal"/>
    <w:next w:val="Normal"/>
    <w:link w:val="Heading3Char"/>
    <w:uiPriority w:val="9"/>
    <w:unhideWhenUsed/>
    <w:qFormat/>
    <w:rsid w:val="00FC693F"/>
    <w:pPr>
      <w:keepNext/>
      <w:keepLines/>
      <w:spacing w:before="160" w:after="60" w:line="276" w:lineRule="auto"/>
      <w:outlineLvl w:val="2"/>
    </w:pPr>
    <w:rPr>
      <w:rFonts w:asciiTheme="majorHAnsi" w:eastAsiaTheme="majorEastAsia" w:hAnsiTheme="majorHAnsi" w:cstheme="majorBidi" w:ascii="Arial" w:hAnsi="Arial"/>
      <w:b/>
      <w:bCs/>
      <w:color w:val="334155"/>
      <w:sz w:val="24"/>
    </w:rPr>
  </w:style>
  <w:style w:type="paragraph" w:styleId="Heading4">
    <w:name w:val="heading 4"/>
    <w:basedOn w:val="Normal"/>
    <w:next w:val="Normal"/>
    <w:link w:val="Heading4Char"/>
    <w:uiPriority w:val="9"/>
    <w:semiHidden/>
    <w:unhideWhenUsed/>
    <w:qFormat/>
    <w:rsid w:val="00FC693F"/>
    <w:pPr>
      <w:keepNext/>
      <w:keepLines/>
      <w:spacing w:before="120" w:after="40" w:line="276" w:lineRule="auto"/>
      <w:outlineLvl w:val="3"/>
    </w:pPr>
    <w:rPr>
      <w:rFonts w:asciiTheme="majorHAnsi" w:eastAsiaTheme="majorEastAsia" w:hAnsiTheme="majorHAnsi" w:cstheme="majorBidi" w:ascii="Arial" w:hAnsi="Arial"/>
      <w:b/>
      <w:bCs/>
      <w:i/>
      <w:iCs/>
      <w:color w:val="475569"/>
      <w:sz w:val="22"/>
    </w:rPr>
  </w:style>
  <w:style w:type="paragraph" w:styleId="Heading5">
    <w:name w:val="heading 5"/>
    <w:basedOn w:val="Normal"/>
    <w:next w:val="Normal"/>
    <w:link w:val="Heading5Char"/>
    <w:uiPriority w:val="9"/>
    <w:semiHidden/>
    <w:unhideWhenUsed/>
    <w:qFormat/>
    <w:rsid w:val="00FC693F"/>
    <w:pPr>
      <w:keepNext/>
      <w:keepLines/>
      <w:spacing w:before="80" w:after="40" w:line="276" w:lineRule="auto"/>
      <w:outlineLvl w:val="4"/>
    </w:pPr>
    <w:rPr>
      <w:rFonts w:asciiTheme="majorHAnsi" w:eastAsiaTheme="majorEastAsia" w:hAnsiTheme="majorHAnsi" w:cstheme="majorBidi" w:ascii="Arial" w:hAnsi="Arial"/>
      <w:b w:val="0"/>
      <w:color w:val="64748B"/>
      <w:sz w:val="21"/>
    </w:rPr>
  </w:style>
  <w:style w:type="paragraph" w:styleId="Heading6">
    <w:name w:val="heading 6"/>
    <w:basedOn w:val="Normal"/>
    <w:next w:val="Normal"/>
    <w:link w:val="Heading6Char"/>
    <w:uiPriority w:val="9"/>
    <w:semiHidden/>
    <w:unhideWhenUsed/>
    <w:qFormat/>
    <w:rsid w:val="00FC693F"/>
    <w:pPr>
      <w:keepNext/>
      <w:keepLines/>
      <w:spacing w:before="80" w:after="40" w:line="276" w:lineRule="auto"/>
      <w:outlineLvl w:val="5"/>
    </w:pPr>
    <w:rPr>
      <w:rFonts w:asciiTheme="majorHAnsi" w:eastAsiaTheme="majorEastAsia" w:hAnsiTheme="majorHAnsi" w:cstheme="majorBidi" w:ascii="Arial" w:hAnsi="Arial"/>
      <w:b w:val="0"/>
      <w:i/>
      <w:iCs/>
      <w:color w:val="64748B"/>
      <w:sz w:val="2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Attention Mechanism Efficiency in Ultra-Low Parameter Architectures</dc:title>
  <dc:subject>Deep Learning &amp; Neural Systems Research</dc:subject>
  <dc:creator>LENOVO</dc:creator>
  <cp:keywords/>
  <dc:description>generated by LENOVO</dc:description>
  <cp:lastModifiedBy>LENOVO</cp:lastModifiedBy>
  <cp:revision>1</cp:revision>
  <dcterms:created xsi:type="dcterms:W3CDTF">2013-12-23T23:15:00Z</dcterms:created>
  <dcterms:modified xsi:type="dcterms:W3CDTF">2013-12-23T23:15:00Z</dcterms:modified>
  <cp:category/>
</cp:coreProperties>
</file>