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20"/>
      </w:pPr>
      <w:r>
        <w:rPr>
          <w:rFonts w:ascii="Arial" w:hAnsi="Arial"/>
          <w:b/>
          <w:color w:val="0F172A"/>
          <w:sz w:val="48"/>
        </w:rPr>
        <w:t>High-Performance Microservice Mesh Architecture</w:t>
      </w:r>
    </w:p>
    <w:p>
      <w:pPr>
        <w:keepNext/>
        <w:spacing w:before="0" w:after="80"/>
      </w:pPr>
      <w:r>
        <w:rPr>
          <w:rFonts w:ascii="Arial" w:hAnsi="Arial"/>
          <w:b/>
          <w:color w:val="0F172A"/>
          <w:sz w:val="48"/>
        </w:rPr>
        <w:t>High-Performance Microservice Mesh Architecture</w:t>
      </w:r>
    </w:p>
    <w:p>
      <w:pPr>
        <w:keepNext/>
        <w:spacing w:before="0" w:after="360"/>
      </w:pPr>
      <w:r>
        <w:rPr>
          <w:rFonts w:ascii="Arial" w:hAnsi="Arial"/>
          <w:color w:val="64748B"/>
          <w:sz w:val="24"/>
        </w:rPr>
        <w:t>Zero-Trust Network Topology, Consensus Protocols, and Latency Optimization</w:t>
      </w:r>
    </w:p>
    <w:p>
      <w:pPr>
        <w:keepNext/>
        <w:spacing w:before="0" w:after="240"/>
      </w:pPr>
      <w:r>
        <w:rPr>
          <w:rFonts w:ascii="Arial" w:hAnsi="Arial"/>
          <w:b/>
          <w:color w:val="0F172A"/>
          <w:sz w:val="36"/>
        </w:rPr>
        <w:t>Table of Contents</w:t>
      </w:r>
    </w:p>
    <w:p>
      <w:r>
        <w:br w:type="page"/>
      </w:r>
    </w:p>
    <w:p>
      <w:pPr>
        <w:keepNext/>
        <w:spacing w:before="0" w:after="240"/>
      </w:pPr>
      <w:r>
        <w:rPr>
          <w:rFonts w:ascii="Arial" w:hAnsi="Arial"/>
          <w:b/>
          <w:color w:val="0F172A"/>
          <w:sz w:val="32"/>
        </w:rPr>
        <w:t>List of Figures</w:t>
      </w:r>
    </w:p>
    <w:p>
      <w:r>
        <w:br w:type="page"/>
      </w:r>
    </w:p>
    <w:p>
      <w:pPr>
        <w:keepNext/>
        <w:spacing w:before="0" w:after="240"/>
      </w:pPr>
      <w:r>
        <w:rPr>
          <w:rFonts w:ascii="Arial" w:hAnsi="Arial"/>
          <w:b/>
          <w:color w:val="0F172A"/>
          <w:sz w:val="32"/>
        </w:rPr>
        <w:t>List of Tables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Arial" w:hAnsi="Arial"/>
          <w:b/>
          <w:color w:val="0F172A"/>
          <w:sz w:val="36"/>
        </w:rPr>
        <w:t>1. Executive Overview and Engineering Constraints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Primary Objective: </w:t>
      </w:r>
      <w:r>
        <w:rPr>
          <w:rFonts w:ascii="Arial" w:hAnsi="Arial"/>
          <w:color w:val="1F2937"/>
          <w:sz w:val="21"/>
        </w:rPr>
        <w:t>Modern cloud microservices face rigorous throughput, partition tolerance, and tail-latency requirements. This specification establishes the hardware, network, and concurrency constraints governing production deployments.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284C7"/>
              <w:bottom w:val="none"/>
              <w:right w:val="none"/>
            </w:tcBorders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0F172A"/>
                <w:sz w:val="20"/>
              </w:rPr>
              <w:t>ARCHITECTURAL SLA DIRECTIVE</w:t>
              <w:br/>
            </w:r>
            <w:r>
              <w:rPr>
                <w:rFonts w:ascii="Arial" w:hAnsi="Arial"/>
                <w:color w:val="1F2937"/>
                <w:sz w:val="20"/>
              </w:rPr>
              <w:t>All ingress-to-pod communications must complete within a strict 15ms p99 budget under 50,000 requests per second.</w:t>
            </w:r>
          </w:p>
        </w:tc>
      </w:tr>
    </w:tbl>
    <w:p>
      <w:pPr>
        <w:spacing w:before="0" w:after="80"/>
      </w:pPr>
    </w:p>
    <w:p>
      <w:pPr>
        <w:pStyle w:val="Heading1"/>
        <w:keepNext/>
        <w:outlineLvl w:val="0"/>
      </w:pPr>
      <w:r>
        <w:rPr>
          <w:rFonts w:ascii="Arial" w:hAnsi="Arial"/>
          <w:b/>
          <w:color w:val="0F172A"/>
          <w:sz w:val="36"/>
        </w:rPr>
        <w:t>2. Foundational Research &amp; Theoretical Grounding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1"/>
        </w:rPr>
        <w:t>Reliability in distributed state machines stems directly from classical research on logical clocks and consensus boundaries.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In his seminal paper on logical clocks, Lamport demonstrated: </w:t>
      </w:r>
      <w:r>
        <w:rPr>
          <w:rFonts w:ascii="Arial" w:hAnsi="Arial"/>
          <w:color w:val="1F2937"/>
          <w:sz w:val="21"/>
        </w:rPr>
        <w:t>"The concept of the time at which an event occurred is fundamentally relativistic."</w:t>
      </w:r>
      <w:r>
        <w:rPr>
          <w:rStyle w:val="FootnoteReference"/>
        </w:rPr>
        <w:footnoteReference w:id="1"/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Regarding distributed snapshotting and asynchronous checkpointing: </w:t>
      </w:r>
      <w:r>
        <w:rPr>
          <w:rFonts w:ascii="Arial" w:hAnsi="Arial"/>
          <w:color w:val="1F2937"/>
          <w:sz w:val="21"/>
        </w:rPr>
        <w:t>"A distributed algorithm is designed to execute on a network of processors. Global state recording algorithms ensure that state consistency can be checkpointed without halting ongoing transaction processing, providing high availability during active state migration."</w:t>
      </w:r>
      <w:r>
        <w:rPr>
          <w:rStyle w:val="FootnoteReference"/>
        </w:rPr>
        <w:footnoteReference w:id="2"/>
      </w:r>
    </w:p>
    <w:p>
      <w:pPr>
        <w:pStyle w:val="Heading1"/>
        <w:keepNext/>
        <w:outlineLvl w:val="0"/>
      </w:pPr>
      <w:r>
        <w:rPr>
          <w:rFonts w:ascii="Arial" w:hAnsi="Arial"/>
          <w:b/>
          <w:color w:val="0F172A"/>
          <w:sz w:val="36"/>
        </w:rPr>
        <w:t>3. Concurrency and Queueing Formulations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1"/>
        </w:rPr>
        <w:t>Steady-state queue capacity and parallel speedup are formulated below. These equations use native Office Math (OMML) and are completely editable in Word.</w:t>
      </w:r>
    </w:p>
    <w:p>
      <w:pPr>
        <w:keepNext/>
        <w:tabs>
          <w:tab w:pos="4680" w:val="center"/>
          <w:tab w:pos="9360" w:val="right"/>
        </w:tabs>
        <w:spacing w:before="160" w:after="40"/>
      </w:pPr>
      <w:r>
        <w:tab/>
      </w:r>
      <m:oMath>
        <m:r>
          <m:rPr>
            <m:sty m:val="p"/>
          </m:rPr>
          <m:t xml:space="preserve">L = λ · W</m:t>
        </m:r>
      </m:oMath>
      <w:r>
        <w:tab/>
      </w:r>
      <w:r>
        <w:rPr>
          <w:rFonts w:ascii="Arial" w:hAnsi="Arial"/>
          <w:color w:val="64748B"/>
          <w:sz w:val="20"/>
        </w:rPr>
        <w:t>(1)</w:t>
      </w:r>
    </w:p>
    <w:p>
      <w:pPr>
        <w:spacing w:before="0" w:after="160"/>
        <w:jc w:val="center"/>
      </w:pPr>
      <w:r>
        <w:rPr>
          <w:rFonts w:ascii="Arial" w:hAnsi="Arial"/>
          <w:i/>
          <w:color w:val="64748B"/>
          <w:sz w:val="19"/>
        </w:rPr>
        <w:t>Little's Law relating queue length (L), request arrival rate (λ), and wait time (W).</w:t>
      </w:r>
    </w:p>
    <w:p>
      <w:pPr>
        <w:keepNext/>
        <w:tabs>
          <w:tab w:pos="4680" w:val="center"/>
          <w:tab w:pos="9360" w:val="right"/>
        </w:tabs>
        <w:spacing w:before="160" w:after="40"/>
      </w:pPr>
      <w:r>
        <w:tab/>
      </w:r>
      <m:oMath>
        <m:r>
          <m:rPr>
            <m:sty m:val="p"/>
          </m:rPr>
          <m:t xml:space="preserve">S(p, s) = 1 / ((1 - p) + (p / s))</m:t>
        </m:r>
      </m:oMath>
      <w:r>
        <w:tab/>
      </w:r>
      <w:r>
        <w:rPr>
          <w:rFonts w:ascii="Arial" w:hAnsi="Arial"/>
          <w:color w:val="64748B"/>
          <w:sz w:val="20"/>
        </w:rPr>
        <w:t>(2)</w:t>
      </w:r>
    </w:p>
    <w:p>
      <w:pPr>
        <w:spacing w:before="0" w:after="160"/>
        <w:jc w:val="center"/>
      </w:pPr>
      <w:r>
        <w:rPr>
          <w:rFonts w:ascii="Arial" w:hAnsi="Arial"/>
          <w:i/>
          <w:color w:val="64748B"/>
          <w:sz w:val="19"/>
        </w:rPr>
        <w:t>Amdahl's Law calculating maximum speedup for parallel fraction (p) across (s) cores.</w:t>
      </w:r>
    </w:p>
    <w:p>
      <w:pPr>
        <w:pStyle w:val="Heading1"/>
        <w:keepNext/>
        <w:outlineLvl w:val="0"/>
      </w:pPr>
      <w:r>
        <w:rPr>
          <w:rFonts w:ascii="Arial" w:hAnsi="Arial"/>
          <w:b/>
          <w:color w:val="0F172A"/>
          <w:sz w:val="36"/>
        </w:rPr>
        <w:t>4. Performance Benchmarks and Topology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1"/>
        </w:rPr>
        <w:t>Verification benchmarks were executed across Kubernetes worker nodes in three isolated availability zones.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40" w:type="dxa"/>
              <w:bottom w:w="14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Service Mesh Pod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Base Memory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Peak RPS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p50 Latency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p99 Latency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edge-gateway-alpha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4 GiB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52,400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1.4 ms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5.8 ms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auth-session-beta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8 GiB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38,900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2.1 ms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7.4 ms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order-router-gamma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16 GiB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61,200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1.1 ms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4.9 ms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ledger-event-delta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32 GiB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24,500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3.6 ms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11.2 ms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  <w:color w:val="1F2937"/>
          <w:sz w:val="21"/>
        </w:rPr>
        <w:t>The following diagram illustrates network traffic segregation through the Envoy ingress layer.</w:t>
      </w:r>
    </w:p>
    <w:p>
      <w:pPr>
        <w:keepNext/>
        <w:spacing w:before="160" w:after="80"/>
        <w:jc w:val="center"/>
      </w:pPr>
      <w:r>
        <w:rPr>
          <w:rFonts w:ascii="Arial" w:hAnsi="Arial"/>
          <w:i/>
          <w:color w:val="64748B"/>
          <w:sz w:val="20"/>
        </w:rPr>
        <w:t>[Diagram: Envoy Service Mesh Mutual-TLS Zero-Trust Routing Topology]</w:t>
      </w:r>
    </w:p>
    <w:p>
      <w:pPr>
        <w:pStyle w:val="Heading1"/>
        <w:keepNext/>
        <w:outlineLvl w:val="0"/>
      </w:pPr>
      <w:r>
        <w:rPr>
          <w:rFonts w:ascii="Arial" w:hAnsi="Arial"/>
          <w:b/>
          <w:color w:val="0F172A"/>
          <w:sz w:val="36"/>
        </w:rPr>
        <w:t>5. Production Deployment Roadmap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1"/>
        </w:rPr>
        <w:t>Canary phases will proceed in 5% increments over 48-hour burn-in periods. Automated telemetry triggers rollback if error thresholds exceed 0.05%.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  <w:p>
      <w:pPr>
        <w:spacing w:before="0" w:after="120" w:line="276" w:lineRule="auto"/>
      </w:pPr>
      <w:r>
        <w:fldChar w:fldCharType="begin"/>
      </w:r>
      <w:r>
        <w:rPr>
          <w:rFonts w:ascii="Arial" w:hAnsi="Arial"/>
          <w:color w:val="64748B"/>
          <w:sz w:val="20"/>
        </w:rPr>
        <w:instrText xml:space="preserve"> TOC \o "1-3" \h \z \u </w:instrText>
      </w:r>
      <w:r>
        <w:fldChar w:fldCharType="separate"/>
      </w:r>
      <w:r>
        <w:rPr>
          <w:rFonts w:ascii="Arial" w:hAnsi="Arial"/>
          <w:color w:val="64748B"/>
          <w:i/>
          <w:sz w:val="19"/>
        </w:rPr>
        <w:t xml:space="preserve">[Table of Contents: Automatically refreshed by Word on open. Press F9 to update anytime]</w:t>
      </w:r>
      <w:r>
        <w:fldChar w:fldCharType="end"/>
      </w:r>
    </w:p>
    <w:p>
      <w:pPr>
        <w:spacing w:before="0" w:after="120" w:line="276" w:lineRule="auto"/>
      </w:pPr>
      <w:r>
        <w:fldChar w:fldCharType="begin"/>
      </w:r>
      <w:r>
        <w:rPr>
          <w:rFonts w:ascii="Arial" w:hAnsi="Arial"/>
          <w:color w:val="64748B"/>
          <w:sz w:val="20"/>
        </w:rPr>
        <w:instrText xml:space="preserve"> TOC \c "Figure" \h \z </w:instrText>
      </w:r>
      <w:r>
        <w:fldChar w:fldCharType="separate"/>
      </w:r>
      <w:r>
        <w:rPr>
          <w:rFonts w:ascii="Arial" w:hAnsi="Arial"/>
          <w:color w:val="64748B"/>
          <w:i/>
          <w:sz w:val="19"/>
        </w:rPr>
        <w:t xml:space="preserve">[List of Figures: Automatically populated by Word. Press F9 to update]</w:t>
      </w:r>
      <w:r>
        <w:fldChar w:fldCharType="end"/>
      </w:r>
    </w:p>
    <w:p>
      <w:pPr>
        <w:spacing w:before="0" w:after="120" w:line="276" w:lineRule="auto"/>
      </w:pPr>
      <w:r>
        <w:fldChar w:fldCharType="begin"/>
      </w:r>
      <w:r>
        <w:rPr>
          <w:rFonts w:ascii="Arial" w:hAnsi="Arial"/>
          <w:color w:val="64748B"/>
          <w:sz w:val="20"/>
        </w:rPr>
        <w:instrText xml:space="preserve"> TOC \c "Table" \h \z </w:instrText>
      </w:r>
      <w:r>
        <w:fldChar w:fldCharType="separate"/>
      </w:r>
      <w:r>
        <w:rPr>
          <w:rFonts w:ascii="Arial" w:hAnsi="Arial"/>
          <w:color w:val="64748B"/>
          <w:i/>
          <w:sz w:val="19"/>
        </w:rPr>
        <w:t xml:space="preserve">[List of Tables: Automatically populated by Word. Press F9 to update]</w:t>
      </w:r>
      <w:r>
        <w:fldChar w:fldCharType="end"/>
      </w:r>
    </w:p>
    <w:p>
      <w:pPr>
        <w:pStyle w:val="Caption"/>
        <w:jc w:val="center"/>
        <w:spacing w:before="80" w:after="200" w:line="240" w:lineRule="auto"/>
      </w:pPr>
      <w:r>
        <w:rPr>
          <w:rFonts w:ascii="Arial" w:hAnsi="Arial"/>
          <w:b/>
          <w:sz w:val="19"/>
          <w:color w:val="475569"/>
        </w:rPr>
        <w:t xml:space="preserve">Table </w:t>
      </w:r>
      <w:fldSimple w:instr="SEQ Table \* ARABIC">
        <w:r>
          <w:rPr>
            <w:rFonts w:ascii="Arial" w:hAnsi="Arial"/>
            <w:b/>
            <w:sz w:val="19"/>
            <w:color w:val="475569"/>
          </w:rPr>
          <w:t>1</w:t>
        </w:r>
      </w:fldSimple>
      <w:r>
        <w:rPr>
          <w:rFonts w:ascii="Arial" w:hAnsi="Arial"/>
          <w:sz w:val="19"/>
          <w:color w:val="475569"/>
        </w:rPr>
        <w:t xml:space="preserve">: Simulated High-Concurrency Throughput and Response Latency across Primary Pod Clusters.</w:t>
      </w:r>
    </w:p>
    <w:p>
      <w:pPr>
        <w:pStyle w:val="Caption"/>
        <w:jc w:val="center"/>
        <w:spacing w:before="80" w:after="200" w:line="240" w:lineRule="auto"/>
      </w:pPr>
      <w:r>
        <w:rPr>
          <w:rFonts w:ascii="Arial" w:hAnsi="Arial"/>
          <w:b/>
          <w:sz w:val="19"/>
          <w:color w:val="475569"/>
        </w:rPr>
        <w:t xml:space="preserve">Figure </w:t>
      </w:r>
      <w:fldSimple w:instr="SEQ Figure \* ARABIC">
        <w:r>
          <w:rPr>
            <w:rFonts w:ascii="Arial" w:hAnsi="Arial"/>
            <w:b/>
            <w:sz w:val="19"/>
            <w:color w:val="475569"/>
          </w:rPr>
          <w:t>1</w:t>
        </w:r>
      </w:fldSimple>
      <w:r>
        <w:rPr>
          <w:rFonts w:ascii="Arial" w:hAnsi="Arial"/>
          <w:sz w:val="19"/>
          <w:color w:val="475569"/>
        </w:rPr>
        <w:t xml:space="preserve">: High-Availability Mutual-TLS Zero-Trust Cluster Boundary Layout.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Arial" w:hAnsi="Arial"/>
        <w:color w:val="64748B"/>
        <w:sz w:val="18"/>
      </w:rPr>
      <w:t xml:space="preserve">Page </w:t>
    </w:r>
    <w:fldSimple w:instr="PAGE">
      <w:r>
        <w:rPr>
          <w:rFonts w:ascii="Arial" w:hAnsi="Arial"/>
          <w:sz w:val="18"/>
          <w:color w:val="64748B"/>
        </w:rPr>
        <w:t>1</w:t>
      </w:r>
    </w:fldSimple>
    <w:r>
      <w:rPr>
        <w:rFonts w:ascii="Arial" w:hAnsi="Arial"/>
        <w:color w:val="64748B"/>
        <w:sz w:val="18"/>
      </w:rPr>
      <w:t xml:space="preserve"> of </w:t>
    </w:r>
    <w:fldSimple w:instr="NUMPAGES">
      <w:r>
        <w:rPr>
          <w:rFonts w:ascii="Arial" w:hAnsi="Arial"/>
          <w:sz w:val="18"/>
          <w:color w:val="64748B"/>
        </w:rP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  <w:spacing w:after="40" w:line="240" w:lineRule="auto"/>
      </w:pPr>
      <w:r>
        <w:rPr>
          <w:rStyle w:val="FootnoteReference"/>
        </w:rPr>
        <w:footnoteRef/>
      </w:r>
      <w:r>
        <w:rPr>
          <w:rFonts w:ascii="Arial" w:hAnsi="Arial"/>
          <w:sz w:val="18"/>
          <w:color w:val="334155"/>
        </w:rPr>
        <w:t xml:space="preserve"> Lamport, L. (1978). Time, clocks, and the ordering of events in a distributed system. Communications of the ACM, 21(7), 558–565. https://doi.org/10.1145/359545.359563</w:t>
      </w:r>
    </w:p>
  </w:footnote>
  <w:footnote w:id="2">
    <w:p>
      <w:pPr>
        <w:pStyle w:val="FootnoteText"/>
        <w:spacing w:after="40" w:line="240" w:lineRule="auto"/>
      </w:pPr>
      <w:r>
        <w:rPr>
          <w:rStyle w:val="FootnoteReference"/>
        </w:rPr>
        <w:footnoteRef/>
      </w:r>
      <w:r>
        <w:rPr>
          <w:rFonts w:ascii="Arial" w:hAnsi="Arial"/>
          <w:sz w:val="18"/>
          <w:color w:val="334155"/>
        </w:rPr>
        <w:t xml:space="preserve"> Chandy, K. M., &amp; Lamport, L. (1985). Distributed snapshots: Determining global states of distributed systems. ACM Transactions on Computer Systems, 3(1), 63–75. https://doi.org/10.1145/214451.214456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 w:line="276" w:lineRule="auto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755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 w:line="276" w:lineRule="auto"/>
      <w:outlineLvl w:val="4"/>
    </w:pPr>
    <w:rPr>
      <w:rFonts w:asciiTheme="majorHAnsi" w:eastAsiaTheme="majorEastAsia" w:hAnsiTheme="majorHAnsi" w:cstheme="majorBidi" w:ascii="Arial" w:hAnsi="Arial"/>
      <w:b w:val="0"/>
      <w:color w:val="64748B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80" w:after="40" w:line="276" w:lineRule="auto"/>
      <w:outlineLvl w:val="5"/>
    </w:pPr>
    <w:rPr>
      <w:rFonts w:asciiTheme="majorHAnsi" w:eastAsiaTheme="majorEastAsia" w:hAnsiTheme="majorHAnsi" w:cstheme="majorBidi" w:ascii="Arial" w:hAnsi="Arial"/>
      <w:b w:val="0"/>
      <w:i/>
      <w:iCs/>
      <w:color w:val="64748B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High-Performance Microservice Mesh Architecture</dc:title>
  <dc:subject>Technical Architecture Specification</dc:subject>
  <dc:creator>LENOVO</dc:creator>
  <cp:keywords/>
  <dc:description>generated by LENOVO</dc:description>
  <cp:lastModifiedBy>LENOVO</cp:lastModifiedBy>
  <cp:revision>1</cp:revision>
  <dcterms:created xsi:type="dcterms:W3CDTF">2013-12-23T23:15:00Z</dcterms:created>
  <dcterms:modified xsi:type="dcterms:W3CDTF">2013-12-23T23:15:00Z</dcterms:modified>
  <cp:category/>
</cp:coreProperties>
</file>