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bookmarkStart w:id="0" w:name="_gjdgxs"/>
      <w:bookmarkStart w:id="1" w:name="_gjdgxs"/>
      <w:bookmarkEnd w:id="1"/>
    </w:p>
    <w:p>
      <w:pPr>
        <w:pStyle w:val="Title"/>
        <w:rPr/>
      </w:pPr>
      <w:bookmarkStart w:id="2" w:name="_1fob9te"/>
      <w:bookmarkEnd w:id="2"/>
      <w:r>
        <w:rPr/>
        <w:t>Course Syllabus</w:t>
      </w:r>
    </w:p>
    <w:p>
      <w:pPr>
        <w:pStyle w:val="Heading3"/>
        <w:rPr/>
      </w:pPr>
      <w:bookmarkStart w:id="3" w:name="_3znysh7"/>
      <w:bookmarkEnd w:id="3"/>
      <w:r>
        <w:rPr/>
        <w:t>I.  Course Information</w:t>
      </w:r>
    </w:p>
    <w:p>
      <w:pPr>
        <w:pStyle w:val="Heading1"/>
        <w:spacing w:before="0" w:after="120"/>
        <w:rPr/>
      </w:pPr>
      <w:bookmarkStart w:id="4" w:name="_2et92p0"/>
      <w:bookmarkEnd w:id="4"/>
      <w:r>
        <w:rPr>
          <w:b/>
          <w:sz w:val="20"/>
          <w:szCs w:val="20"/>
        </w:rPr>
        <w:t>Course Name</w:t>
      </w:r>
      <w:r>
        <w:rPr>
          <w:sz w:val="20"/>
          <w:szCs w:val="20"/>
        </w:rPr>
        <w:t>:  Mathematical Foundations of  Robotics</w:t>
      </w:r>
    </w:p>
    <w:p>
      <w:pPr>
        <w:pStyle w:val="Normal"/>
        <w:tabs>
          <w:tab w:val="left" w:pos="720" w:leader="none"/>
        </w:tabs>
        <w:rPr/>
      </w:pPr>
      <w:r>
        <w:rPr>
          <w:b/>
        </w:rPr>
        <w:t>Course Number :</w:t>
      </w:r>
      <w:r>
        <w:rPr/>
        <w:t xml:space="preserve"> RBOT- 101</w:t>
      </w:r>
    </w:p>
    <w:p>
      <w:pPr>
        <w:pStyle w:val="Normal"/>
        <w:tabs>
          <w:tab w:val="left" w:pos="720" w:leader="none"/>
        </w:tabs>
        <w:rPr/>
      </w:pPr>
      <w:r>
        <w:rPr>
          <w:b/>
        </w:rPr>
        <w:t xml:space="preserve">Course Start &amp; End Dates: </w:t>
      </w:r>
      <w:r>
        <w:rPr/>
        <w:t xml:space="preserve"> January 19, 2021 - XXXXX</w:t>
      </w:r>
    </w:p>
    <w:p>
      <w:pPr>
        <w:pStyle w:val="Normal"/>
        <w:tabs>
          <w:tab w:val="left" w:pos="720" w:leader="none"/>
        </w:tabs>
        <w:ind w:firstLine="15"/>
        <w:rPr>
          <w:highlight w:val="blue"/>
        </w:rPr>
      </w:pPr>
      <w:r>
        <w:rPr>
          <w:b/>
        </w:rPr>
        <w:t>Instructor’s Name and Contact Information</w:t>
      </w:r>
      <w:r>
        <w:rPr>
          <w:shd w:fill="C9DAF8" w:val="clear"/>
        </w:rPr>
        <w:t xml:space="preserve"> </w:t>
      </w:r>
    </w:p>
    <w:p>
      <w:pPr>
        <w:pStyle w:val="Normal"/>
        <w:ind w:left="720" w:hanging="0"/>
        <w:rPr/>
      </w:pPr>
      <w:r>
        <w:rPr/>
        <w:t>Dr. Olalekan Ogunmolu</w:t>
      </w:r>
    </w:p>
    <w:p>
      <w:pPr>
        <w:pStyle w:val="Normal"/>
        <w:ind w:left="720" w:hanging="0"/>
        <w:rPr/>
      </w:pPr>
      <w:r>
        <w:rPr/>
        <w:t>Email: patlekno@brandeis.edu</w:t>
      </w:r>
    </w:p>
    <w:p>
      <w:pPr>
        <w:pStyle w:val="Normal"/>
        <w:ind w:left="720" w:hanging="0"/>
        <w:rPr/>
      </w:pPr>
      <w:r>
        <w:rPr/>
        <w:t>Phone: (optional)</w:t>
      </w:r>
    </w:p>
    <w:p>
      <w:pPr>
        <w:pStyle w:val="Normal"/>
        <w:ind w:left="720" w:hanging="0"/>
        <w:rPr>
          <w:highlight w:val="lightGray"/>
        </w:rPr>
      </w:pPr>
      <w:r>
        <w:rPr/>
        <w:t>Office Hours/Availability –</w:t>
      </w:r>
      <w:r>
        <w:rPr>
          <w:shd w:fill="D9D9D9" w:val="clear"/>
        </w:rPr>
        <w:t xml:space="preserve"> 6pm-8pm, EST Wednesdays and Thursdays</w:t>
      </w:r>
    </w:p>
    <w:p>
      <w:pPr>
        <w:pStyle w:val="Normal"/>
        <w:numPr>
          <w:ilvl w:val="0"/>
          <w:numId w:val="1"/>
        </w:numPr>
        <w:tabs>
          <w:tab w:val="left" w:pos="720" w:leader="none"/>
        </w:tabs>
        <w:rPr/>
      </w:pPr>
      <w:r>
        <w:rPr/>
      </w:r>
    </w:p>
    <w:p>
      <w:pPr>
        <w:pStyle w:val="Heading2"/>
        <w:rPr>
          <w:sz w:val="22"/>
          <w:szCs w:val="22"/>
        </w:rPr>
      </w:pPr>
      <w:bookmarkStart w:id="5" w:name="_tyjcwt"/>
      <w:bookmarkEnd w:id="5"/>
      <w:r>
        <w:rPr>
          <w:sz w:val="22"/>
          <w:szCs w:val="22"/>
        </w:rPr>
        <w:t>Document Overview</w:t>
      </w:r>
    </w:p>
    <w:p>
      <w:pPr>
        <w:pStyle w:val="Normal"/>
        <w:ind w:left="270" w:hanging="0"/>
        <w:rPr/>
      </w:pPr>
      <w:r>
        <w:rPr/>
        <w:t xml:space="preserve">This syllabus contains all relevant information about the course: its objectives and outcomes, the grading criteria, the texts and other materials of instruction, and of weekly topics, outcomes, assignments, and due dates.  </w:t>
      </w:r>
    </w:p>
    <w:p>
      <w:pPr>
        <w:pStyle w:val="Normal"/>
        <w:ind w:left="270" w:hanging="0"/>
        <w:rPr/>
      </w:pPr>
      <w:r>
        <w:rPr/>
      </w:r>
    </w:p>
    <w:p>
      <w:pPr>
        <w:pStyle w:val="Normal"/>
        <w:ind w:left="270" w:hanging="0"/>
        <w:rPr/>
      </w:pPr>
      <w:r>
        <w:rPr/>
        <w:t>Consider this your roadmap for the course.  Please read through the syllabus carefully and feel free to share any questions that you may have.  Please print a copy of this syllabus for reference.</w:t>
      </w:r>
    </w:p>
    <w:p>
      <w:pPr>
        <w:pStyle w:val="Normal"/>
        <w:numPr>
          <w:ilvl w:val="0"/>
          <w:numId w:val="1"/>
        </w:numPr>
        <w:tabs>
          <w:tab w:val="left" w:pos="270" w:leader="none"/>
        </w:tabs>
        <w:rPr/>
      </w:pPr>
      <w:r>
        <w:rPr/>
      </w:r>
    </w:p>
    <w:p>
      <w:pPr>
        <w:pStyle w:val="Heading2"/>
        <w:rPr/>
      </w:pPr>
      <w:bookmarkStart w:id="6" w:name="_3dy6vkm"/>
      <w:bookmarkEnd w:id="6"/>
      <w:r>
        <w:rPr/>
        <w:t>Course Description</w:t>
      </w:r>
    </w:p>
    <w:p>
      <w:pPr>
        <w:pStyle w:val="Normal"/>
        <w:jc w:val="both"/>
        <w:rPr/>
      </w:pPr>
      <w:r>
        <w:rPr/>
        <w:t xml:space="preserve">The course is intended to be a refresher for the mathematical concepts important in robotics that students should have encountered in past courses or avenues of study. The topics covered by this course include the configuration space, rigid bodies, semi-rigid soft bodies, as well as their motions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wrenches, homogeneous transformations, optimal algorithms for rigid body rotations, linear systems theory, probability theory, the Kalman filter. The course will begin and end with a self-assessment to allow students to gauge their strengths and weaknesses in these topics. References for further, in-depth study in each topic are provided.</w:t>
      </w:r>
    </w:p>
    <w:p>
      <w:pPr>
        <w:pStyle w:val="Heading2"/>
        <w:jc w:val="both"/>
        <w:rPr>
          <w:sz w:val="22"/>
          <w:szCs w:val="22"/>
        </w:rPr>
      </w:pPr>
      <w:bookmarkStart w:id="7" w:name="_1t3h5sf"/>
      <w:bookmarkEnd w:id="7"/>
      <w:r>
        <w:rPr>
          <w:sz w:val="22"/>
          <w:szCs w:val="22"/>
        </w:rPr>
        <w:t>Course Outcomes</w:t>
      </w:r>
    </w:p>
    <w:p>
      <w:pPr>
        <w:pStyle w:val="Normal"/>
        <w:ind w:left="720" w:hanging="0"/>
        <w:rPr/>
      </w:pPr>
      <w:r>
        <w:rPr/>
        <w:t>After taking this course, each student will be able to:</w:t>
      </w:r>
    </w:p>
    <w:p>
      <w:pPr>
        <w:pStyle w:val="Normal"/>
        <w:numPr>
          <w:ilvl w:val="0"/>
          <w:numId w:val="5"/>
        </w:numPr>
        <w:rPr/>
      </w:pPr>
      <w:r>
        <w:rPr/>
        <w:t>Develop mathematical tools for solving fundamental kinematic problems in robot operation.</w:t>
      </w:r>
    </w:p>
    <w:p>
      <w:pPr>
        <w:pStyle w:val="Normal"/>
        <w:numPr>
          <w:ilvl w:val="0"/>
          <w:numId w:val="5"/>
        </w:numPr>
        <w:rPr/>
      </w:pPr>
      <w:r>
        <w:rPr/>
        <w:t>Formulate optimal state estimation tools for solving real-time smoothing and filtering operations in robotics.</w:t>
      </w:r>
    </w:p>
    <w:p>
      <w:pPr>
        <w:pStyle w:val="Normal"/>
        <w:numPr>
          <w:ilvl w:val="0"/>
          <w:numId w:val="5"/>
        </w:numPr>
        <w:rPr/>
      </w:pPr>
      <w:r>
        <w:rPr/>
        <w:t>Integrate state estimation with rigid and semi-rigid soft bodies to solve real-world automation problems.</w:t>
      </w:r>
    </w:p>
    <w:p>
      <w:pPr>
        <w:pStyle w:val="Normal"/>
        <w:numPr>
          <w:ilvl w:val="0"/>
          <w:numId w:val="5"/>
        </w:numPr>
        <w:rPr>
          <w:highlight w:val="lightGray"/>
        </w:rPr>
      </w:pPr>
      <w:r>
        <w:rPr/>
        <w:t>Use open-source Python, and C++ tools to solve classical and emerging problems in robotics in our day.</w:t>
      </w:r>
    </w:p>
    <w:p>
      <w:pPr>
        <w:pStyle w:val="Normal"/>
        <w:rPr>
          <w:highlight w:val="yellow"/>
        </w:rPr>
      </w:pPr>
      <w:r>
        <w:rPr>
          <w:highlight w:val="yellow"/>
        </w:rPr>
      </w:r>
    </w:p>
    <w:p>
      <w:pPr>
        <w:pStyle w:val="Normal"/>
        <w:rPr/>
      </w:pPr>
      <w:r>
        <w:rPr/>
      </w:r>
    </w:p>
    <w:p>
      <w:pPr>
        <w:pStyle w:val="Normal"/>
        <w:rPr/>
      </w:pPr>
      <w:r>
        <w:rPr>
          <w:b/>
          <w:sz w:val="22"/>
          <w:szCs w:val="22"/>
        </w:rPr>
        <w:t xml:space="preserve">Relevant Programs: </w:t>
      </w:r>
      <w:r>
        <w:rPr>
          <w:sz w:val="22"/>
          <w:szCs w:val="22"/>
        </w:rPr>
        <w:t>Robotics Software Engineering</w:t>
      </w:r>
    </w:p>
    <w:p>
      <w:pPr>
        <w:pStyle w:val="Normal"/>
        <w:rPr>
          <w:color w:val="333333"/>
          <w:highlight w:val="lightGray"/>
        </w:rPr>
      </w:pPr>
      <w:r>
        <w:rPr>
          <w:b/>
          <w:sz w:val="22"/>
          <w:szCs w:val="22"/>
        </w:rPr>
        <w:t>Prerequisites:</w:t>
      </w:r>
      <w:r>
        <w:rPr/>
        <w:t xml:space="preserve"> </w:t>
      </w:r>
      <w:r>
        <w:rPr>
          <w:color w:val="333333"/>
          <w:shd w:fill="D9D9D9" w:val="clear"/>
        </w:rPr>
        <w:t xml:space="preserve"> An undergraduate-level understanding of linear algebra, analytical mechanics, Python and C++ programming.</w:t>
      </w:r>
    </w:p>
    <w:p>
      <w:pPr>
        <w:pStyle w:val="Normal"/>
        <w:rPr/>
      </w:pPr>
      <w:r>
        <w:rPr/>
      </w:r>
    </w:p>
    <w:p>
      <w:pPr>
        <w:pStyle w:val="Heading2"/>
        <w:tabs>
          <w:tab w:val="left" w:pos="720" w:leader="none"/>
        </w:tabs>
        <w:ind w:left="432" w:hanging="0"/>
        <w:rPr>
          <w:sz w:val="22"/>
          <w:szCs w:val="22"/>
        </w:rPr>
      </w:pPr>
      <w:r>
        <w:rPr>
          <w:sz w:val="22"/>
          <w:szCs w:val="22"/>
        </w:rPr>
      </w:r>
      <w:bookmarkStart w:id="8" w:name="_4d34og8"/>
      <w:bookmarkStart w:id="9" w:name="_4d34og8"/>
      <w:bookmarkEnd w:id="9"/>
    </w:p>
    <w:p>
      <w:pPr>
        <w:pStyle w:val="Heading2"/>
        <w:rPr>
          <w:sz w:val="22"/>
          <w:szCs w:val="22"/>
        </w:rPr>
      </w:pPr>
      <w:bookmarkStart w:id="10" w:name="_2s8eyo1"/>
      <w:bookmarkEnd w:id="10"/>
      <w:r>
        <w:rPr>
          <w:sz w:val="22"/>
          <w:szCs w:val="22"/>
        </w:rPr>
        <w:t>Materials of Instruction</w:t>
      </w:r>
    </w:p>
    <w:p>
      <w:pPr>
        <w:pStyle w:val="ListParagraph"/>
        <w:numPr>
          <w:ilvl w:val="0"/>
          <w:numId w:val="1"/>
        </w:numPr>
        <w:spacing w:before="0" w:after="280"/>
        <w:contextualSpacing/>
        <w:rPr/>
      </w:pPr>
      <w:r>
        <w:rPr/>
        <w:t>Simon, D. (2007). Optimal state estimation: Kalman, H [infinity], and nonlinear approaches. Choice Reviews Online, Vol. 44, pp. 44-3334-44–3334. https://doi.org/10.5860/choice.44-3334</w:t>
      </w:r>
    </w:p>
    <w:p>
      <w:pPr>
        <w:pStyle w:val="Normal"/>
        <w:numPr>
          <w:ilvl w:val="0"/>
          <w:numId w:val="1"/>
        </w:numPr>
        <w:tabs>
          <w:tab w:val="left" w:pos="720" w:leader="none"/>
        </w:tabs>
        <w:rPr/>
      </w:pPr>
      <w:r>
        <w:rPr/>
        <w:t xml:space="preserve">Murray, R. M., Li, Z., &amp; Sastry, S. S. (1994). A Mathematical Introduction to Robotic Manipulation. Book (Vol. 29). Free PDF preprint downloadable from https://www.cds.caltech.edu/~murray/books/MLS/pdf/mls94-complete.pdf </w:t>
      </w:r>
    </w:p>
    <w:p>
      <w:pPr>
        <w:pStyle w:val="Normal"/>
        <w:numPr>
          <w:ilvl w:val="0"/>
          <w:numId w:val="1"/>
        </w:numPr>
        <w:tabs>
          <w:tab w:val="left" w:pos="720" w:leader="none"/>
        </w:tabs>
        <w:rPr/>
      </w:pPr>
      <w:r>
        <w:rPr/>
        <w:t>Modern Robotics: Mechanics, Planning, and Control. Free PDF preprint downloadable from http://hades.mech.northwestern.edu/images/7/7f/MR.pdf</w:t>
      </w:r>
    </w:p>
    <w:p>
      <w:pPr>
        <w:pStyle w:val="Normal"/>
        <w:numPr>
          <w:ilvl w:val="0"/>
          <w:numId w:val="1"/>
        </w:numPr>
        <w:tabs>
          <w:tab w:val="left" w:pos="720" w:leader="none"/>
        </w:tabs>
        <w:rPr/>
      </w:pPr>
      <w:r>
        <w:rPr/>
        <w:t>Theory of Screws: A Study in the Dynamics of a Rigid Body by Robert Stawell Ball, Dublin: Hodges, Foster, and Co., Grafton-Street.</w:t>
        <w:tab/>
      </w:r>
    </w:p>
    <w:p>
      <w:pPr>
        <w:pStyle w:val="Normal"/>
        <w:numPr>
          <w:ilvl w:val="0"/>
          <w:numId w:val="1"/>
        </w:numPr>
        <w:tabs>
          <w:tab w:val="left" w:pos="720" w:leader="none"/>
        </w:tabs>
        <w:rPr/>
      </w:pPr>
      <w:r>
        <w:rPr/>
        <w:t xml:space="preserve">Introduction to Matrix Analysis by </w:t>
      </w:r>
      <w:r>
        <w:rPr>
          <w:i/>
          <w:iCs/>
        </w:rPr>
        <w:t xml:space="preserve">Richard Bellman </w:t>
      </w:r>
      <w:r>
        <w:rPr>
          <w:rFonts w:ascii="Ubuntu" w:hAnsi="Ubuntu"/>
        </w:rPr>
        <w:t>©</w:t>
      </w:r>
      <w:r>
        <w:rPr/>
        <w:t xml:space="preserve">  The RAND Corporation, 1960.</w:t>
        <w:br/>
        <w:tab/>
      </w:r>
    </w:p>
    <w:p>
      <w:pPr>
        <w:pStyle w:val="Heading1"/>
        <w:widowControl w:val="false"/>
        <w:spacing w:lineRule="auto" w:line="240" w:before="0" w:after="120"/>
        <w:ind w:left="630" w:hanging="360"/>
        <w:rPr>
          <w:sz w:val="20"/>
          <w:szCs w:val="20"/>
        </w:rPr>
      </w:pPr>
      <w:bookmarkStart w:id="11" w:name="_17dp8vu"/>
      <w:bookmarkEnd w:id="11"/>
      <w:r>
        <w:rPr>
          <w:sz w:val="20"/>
          <w:szCs w:val="20"/>
        </w:rPr>
        <w:t xml:space="preserve">b. Required/Recommended Software :  </w:t>
      </w:r>
    </w:p>
    <w:p>
      <w:pPr>
        <w:pStyle w:val="Heading1"/>
        <w:widowControl w:val="false"/>
        <w:numPr>
          <w:ilvl w:val="1"/>
          <w:numId w:val="8"/>
        </w:numPr>
        <w:spacing w:lineRule="auto" w:line="240" w:before="0" w:after="120"/>
        <w:rPr>
          <w:sz w:val="20"/>
          <w:szCs w:val="20"/>
        </w:rPr>
      </w:pPr>
      <w:r>
        <w:rPr>
          <w:sz w:val="20"/>
          <w:szCs w:val="20"/>
        </w:rPr>
        <w:t>A working knowledge of *nix Systems</w:t>
      </w:r>
    </w:p>
    <w:p>
      <w:pPr>
        <w:pStyle w:val="Heading1"/>
        <w:widowControl w:val="false"/>
        <w:numPr>
          <w:ilvl w:val="1"/>
          <w:numId w:val="8"/>
        </w:numPr>
        <w:spacing w:lineRule="auto" w:line="240" w:before="0" w:after="120"/>
        <w:rPr/>
      </w:pPr>
      <w:r>
        <w:rPr>
          <w:sz w:val="20"/>
          <w:szCs w:val="20"/>
        </w:rPr>
        <w:t>Python</w:t>
      </w:r>
    </w:p>
    <w:p>
      <w:pPr>
        <w:pStyle w:val="Heading1"/>
        <w:widowControl w:val="false"/>
        <w:numPr>
          <w:ilvl w:val="1"/>
          <w:numId w:val="8"/>
        </w:numPr>
        <w:spacing w:lineRule="auto" w:line="240" w:before="0" w:after="120"/>
        <w:rPr>
          <w:sz w:val="20"/>
          <w:szCs w:val="20"/>
        </w:rPr>
      </w:pPr>
      <w:r>
        <w:rPr>
          <w:sz w:val="20"/>
          <w:szCs w:val="20"/>
        </w:rPr>
        <w:t>GNU C++</w:t>
      </w:r>
    </w:p>
    <w:p>
      <w:pPr>
        <w:pStyle w:val="Heading1"/>
        <w:widowControl w:val="false"/>
        <w:numPr>
          <w:ilvl w:val="0"/>
          <w:numId w:val="8"/>
        </w:numPr>
        <w:spacing w:lineRule="auto" w:line="240" w:before="0" w:after="120"/>
        <w:rPr>
          <w:sz w:val="20"/>
          <w:szCs w:val="20"/>
        </w:rPr>
      </w:pPr>
      <w:r>
        <w:rPr>
          <w:sz w:val="20"/>
          <w:szCs w:val="20"/>
        </w:rPr>
        <w:t>ROS 1.x : http://wiki.ros.org/melodic/Installation/Ubuntu</w:t>
      </w:r>
    </w:p>
    <w:p>
      <w:pPr>
        <w:pStyle w:val="Heading1"/>
        <w:widowControl w:val="false"/>
        <w:numPr>
          <w:ilvl w:val="0"/>
          <w:numId w:val="8"/>
        </w:numPr>
        <w:spacing w:lineRule="auto" w:line="240" w:before="0" w:after="120"/>
        <w:rPr/>
      </w:pPr>
      <w:r>
        <w:rPr>
          <w:sz w:val="20"/>
          <w:szCs w:val="20"/>
        </w:rPr>
        <w:t xml:space="preserve">ROS 2 : </w:t>
      </w:r>
      <w:hyperlink r:id="rId2">
        <w:r>
          <w:rPr>
            <w:rStyle w:val="InternetLink"/>
            <w:sz w:val="20"/>
            <w:szCs w:val="20"/>
          </w:rPr>
          <w:t>https://index.ros.org/doc/ros2/Installation/Crystal/Linux-Install-Binary/</w:t>
        </w:r>
      </w:hyperlink>
    </w:p>
    <w:p>
      <w:pPr>
        <w:pStyle w:val="Normal"/>
        <w:rPr/>
      </w:pPr>
      <w:r>
        <w:rPr/>
      </w:r>
    </w:p>
    <w:p>
      <w:pPr>
        <w:pStyle w:val="Normal"/>
        <w:widowControl w:val="false"/>
        <w:spacing w:lineRule="auto" w:line="240" w:before="0" w:after="120"/>
        <w:ind w:left="630" w:hanging="360"/>
        <w:rPr/>
      </w:pPr>
      <w:r>
        <w:rPr/>
        <w:t>c. Recommended Text(s) / Journals: TBA</w:t>
      </w:r>
    </w:p>
    <w:p>
      <w:pPr>
        <w:pStyle w:val="Normal"/>
        <w:widowControl w:val="false"/>
        <w:tabs>
          <w:tab w:val="left" w:pos="720" w:leader="none"/>
        </w:tabs>
        <w:spacing w:lineRule="auto" w:line="240" w:before="0" w:after="120"/>
        <w:ind w:left="630" w:hanging="360"/>
        <w:rPr/>
      </w:pPr>
      <w:r>
        <w:rPr/>
        <w:t>d. Online Course Content</w:t>
      </w:r>
    </w:p>
    <w:p>
      <w:pPr>
        <w:pStyle w:val="Normal"/>
        <w:ind w:left="270" w:hanging="0"/>
        <w:jc w:val="both"/>
        <w:rPr/>
      </w:pPr>
      <w:r>
        <w:rPr/>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pPr>
        <w:pStyle w:val="Normal"/>
        <w:ind w:left="270" w:hanging="0"/>
        <w:rPr/>
      </w:pPr>
      <w:r>
        <w:rPr/>
      </w:r>
    </w:p>
    <w:p>
      <w:pPr>
        <w:pStyle w:val="Normal"/>
        <w:ind w:left="270" w:hanging="0"/>
        <w:rPr/>
      </w:pPr>
      <w:r>
        <w:rPr/>
        <w:t xml:space="preserve">• </w:t>
      </w:r>
      <w:r>
        <w:rPr/>
        <w:t>Students will be provided with PDF copies of additional course material and links to relevant material, if required.</w:t>
      </w:r>
    </w:p>
    <w:p>
      <w:pPr>
        <w:pStyle w:val="Normal"/>
        <w:ind w:left="270" w:hanging="0"/>
        <w:rPr/>
      </w:pPr>
      <w:r>
        <w:rPr/>
      </w:r>
    </w:p>
    <w:p>
      <w:pPr>
        <w:pStyle w:val="Normal"/>
        <w:rPr>
          <w:b/>
          <w:b/>
          <w:sz w:val="22"/>
          <w:szCs w:val="22"/>
        </w:rPr>
      </w:pPr>
      <w:r>
        <w:rPr>
          <w:b/>
          <w:sz w:val="22"/>
          <w:szCs w:val="22"/>
        </w:rPr>
        <w:t xml:space="preserve">Welcome Message from the Instructor </w:t>
      </w:r>
    </w:p>
    <w:p>
      <w:pPr>
        <w:pStyle w:val="Normal"/>
        <w:rPr/>
      </w:pPr>
      <w:r>
        <w:rPr/>
        <w:t>[Instructor inserts welcome message with an overview of the course and goals]</w:t>
      </w:r>
    </w:p>
    <w:p>
      <w:pPr>
        <w:pStyle w:val="Heading3"/>
        <w:tabs>
          <w:tab w:val="left" w:pos="720" w:leader="none"/>
        </w:tabs>
        <w:rPr/>
      </w:pPr>
      <w:bookmarkStart w:id="12" w:name="_3rdcrjn"/>
      <w:bookmarkEnd w:id="12"/>
      <w:r>
        <w:rPr/>
        <w:t>Course Grading Criteria</w:t>
      </w:r>
    </w:p>
    <w:p>
      <w:pPr>
        <w:pStyle w:val="Normal"/>
        <w:rPr/>
      </w:pPr>
      <w:r>
        <w:rPr/>
      </w:r>
    </w:p>
    <w:p>
      <w:pPr>
        <w:pStyle w:val="Normal"/>
        <w:tabs>
          <w:tab w:val="left" w:pos="720" w:leader="none"/>
        </w:tabs>
        <w:rPr/>
      </w:pPr>
      <w:r>
        <w:rPr/>
      </w:r>
    </w:p>
    <w:tbl>
      <w:tblPr>
        <w:tblW w:w="8310" w:type="dxa"/>
        <w:jc w:val="center"/>
        <w:tblInd w:w="0"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870"/>
        <w:gridCol w:w="2276"/>
        <w:gridCol w:w="3875"/>
        <w:gridCol w:w="1288"/>
      </w:tblGrid>
      <w:tr>
        <w:trPr>
          <w:trHeight w:val="413" w:hRule="atLeast"/>
        </w:trPr>
        <w:tc>
          <w:tcPr>
            <w:tcW w:w="870"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Normal"/>
              <w:spacing w:lineRule="auto" w:line="240"/>
              <w:jc w:val="center"/>
              <w:rPr>
                <w:highlight w:val="yellow"/>
              </w:rPr>
            </w:pPr>
            <w:r>
              <w:rPr/>
              <w:t>Percent</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rPr>
                <w:highlight w:val="yellow"/>
              </w:rPr>
            </w:pPr>
            <w:r>
              <w:rPr/>
              <w:t>Component</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Description</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Week Due</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 xml:space="preserve">20% </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rPr>
                <w:highlight w:val="yellow"/>
              </w:rPr>
            </w:pPr>
            <w:r>
              <w:rPr/>
              <w:t>Discussions/Online participation)</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both"/>
              <w:rPr/>
            </w:pPr>
            <w:bookmarkStart w:id="13" w:name="docs-internal-guid-e1bafb2c-7fff-d129-da"/>
            <w:bookmarkEnd w:id="13"/>
            <w:r>
              <w:rPr>
                <w:color w:val="424242"/>
              </w:rPr>
              <w:t xml:space="preserve">You are encouraged to engage one another, ask questions about assignments, textbook materials, as well as contribute meaningful discussions that enlighten others on the discussion forum. </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center"/>
              <w:rPr>
                <w:highlight w:val="yellow"/>
              </w:rPr>
            </w:pPr>
            <w:r>
              <w:rPr/>
              <w:t>Every week</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40%</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Assignments</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There will be weekly assignments to test your knowledge and understanding of each week’s coursework</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Every other Monday</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30%</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 xml:space="preserve">Term Paper </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Each student will be expected to submit a final self-completed term paper that applies the concepts we have taught in these modules. During the course, students are encouraged to discuss with the instructor one-on-one on what topics interest them and how they envision translating the topic into a meaningful real-world project/term paper.</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Week 10</w:t>
            </w:r>
          </w:p>
        </w:tc>
      </w:tr>
    </w:tbl>
    <w:p>
      <w:pPr>
        <w:pStyle w:val="Normal"/>
        <w:tabs>
          <w:tab w:val="left" w:pos="720" w:leader="none"/>
        </w:tabs>
        <w:rPr/>
      </w:pPr>
      <w:r>
        <w:rPr/>
      </w:r>
    </w:p>
    <w:p>
      <w:pPr>
        <w:pStyle w:val="Heading2"/>
        <w:tabs>
          <w:tab w:val="left" w:pos="720" w:leader="none"/>
        </w:tabs>
        <w:spacing w:before="0" w:after="280"/>
        <w:ind w:left="270" w:hanging="0"/>
        <w:rPr/>
      </w:pPr>
      <w:bookmarkStart w:id="14" w:name="_26in1rg"/>
      <w:bookmarkEnd w:id="14"/>
      <w:r>
        <w:rPr/>
        <w:t xml:space="preserve">Grading Criteria for Discussions/Online Participation </w:t>
      </w:r>
    </w:p>
    <w:p>
      <w:pPr>
        <w:pStyle w:val="Normal"/>
        <w:rPr>
          <w:b/>
          <w:b/>
          <w:bCs/>
          <w:sz w:val="24"/>
          <w:szCs w:val="24"/>
        </w:rPr>
      </w:pPr>
      <w:r>
        <w:rPr>
          <w:b/>
          <w:bCs/>
          <w:sz w:val="24"/>
          <w:szCs w:val="24"/>
        </w:rPr>
        <w:t xml:space="preserve">Discussion responses to instructor posts will be graded according to the criterion outlined below: </w:t>
      </w:r>
    </w:p>
    <w:p>
      <w:pPr>
        <w:pStyle w:val="Normal"/>
        <w:rPr>
          <w:b/>
          <w:b/>
          <w:bCs/>
          <w:sz w:val="24"/>
          <w:szCs w:val="24"/>
        </w:rPr>
      </w:pPr>
      <w:r>
        <w:rPr>
          <w:b/>
          <w:bCs/>
          <w:sz w:val="24"/>
          <w:szCs w:val="24"/>
        </w:rPr>
        <w:t xml:space="preserve">An exceptional post: </w:t>
      </w:r>
    </w:p>
    <w:p>
      <w:pPr>
        <w:pStyle w:val="ListParagraph"/>
        <w:numPr>
          <w:ilvl w:val="0"/>
          <w:numId w:val="9"/>
        </w:numPr>
        <w:rPr/>
      </w:pPr>
      <w:r>
        <w:rPr/>
        <w:t xml:space="preserve">Provides original, substantive, and thought provoking analysis of the course material.  </w:t>
      </w:r>
    </w:p>
    <w:p>
      <w:pPr>
        <w:pStyle w:val="ListParagraph"/>
        <w:numPr>
          <w:ilvl w:val="0"/>
          <w:numId w:val="9"/>
        </w:numPr>
        <w:rPr/>
      </w:pPr>
      <w:r>
        <w:rPr/>
        <w:t xml:space="preserve">Is coherent and has a central thesis. </w:t>
      </w:r>
    </w:p>
    <w:p>
      <w:pPr>
        <w:pStyle w:val="ListParagraph"/>
        <w:numPr>
          <w:ilvl w:val="0"/>
          <w:numId w:val="9"/>
        </w:numPr>
        <w:rPr/>
      </w:pPr>
      <w:r>
        <w:rPr/>
        <w:t xml:space="preserve">Contains properly cited references. </w:t>
      </w:r>
    </w:p>
    <w:p>
      <w:pPr>
        <w:pStyle w:val="ListParagraph"/>
        <w:numPr>
          <w:ilvl w:val="0"/>
          <w:numId w:val="9"/>
        </w:numPr>
        <w:rPr/>
      </w:pPr>
      <w:r>
        <w:rPr/>
        <w:t xml:space="preserve">Is grammatically correct and contains no spelling errors. </w:t>
      </w:r>
    </w:p>
    <w:p>
      <w:pPr>
        <w:pStyle w:val="Normal"/>
        <w:rPr/>
      </w:pPr>
      <w:r>
        <w:rPr/>
        <w:t xml:space="preserve"> </w:t>
      </w:r>
    </w:p>
    <w:p>
      <w:pPr>
        <w:pStyle w:val="Normal"/>
        <w:rPr>
          <w:b/>
          <w:b/>
          <w:bCs/>
          <w:sz w:val="24"/>
          <w:szCs w:val="24"/>
        </w:rPr>
      </w:pPr>
      <w:r>
        <w:rPr>
          <w:b/>
          <w:bCs/>
          <w:sz w:val="24"/>
          <w:szCs w:val="24"/>
        </w:rPr>
        <w:t xml:space="preserve">A good post: </w:t>
      </w:r>
    </w:p>
    <w:p>
      <w:pPr>
        <w:pStyle w:val="ListParagraph"/>
        <w:numPr>
          <w:ilvl w:val="0"/>
          <w:numId w:val="10"/>
        </w:numPr>
        <w:rPr/>
      </w:pPr>
      <w:r>
        <w:rPr/>
        <w:t xml:space="preserve">Contains most elements of an exceptional post, but may lack coherency and/or have a couple minor spelling/grammatical errors. </w:t>
      </w:r>
    </w:p>
    <w:p>
      <w:pPr>
        <w:pStyle w:val="Normal"/>
        <w:rPr/>
      </w:pPr>
      <w:r>
        <w:rPr/>
      </w:r>
    </w:p>
    <w:p>
      <w:pPr>
        <w:pStyle w:val="Normal"/>
        <w:rPr>
          <w:b/>
          <w:b/>
          <w:bCs/>
          <w:sz w:val="24"/>
          <w:szCs w:val="24"/>
        </w:rPr>
      </w:pPr>
      <w:r>
        <w:rPr>
          <w:b/>
          <w:bCs/>
          <w:sz w:val="24"/>
          <w:szCs w:val="24"/>
        </w:rPr>
        <w:t xml:space="preserve">A fair post: </w:t>
      </w:r>
    </w:p>
    <w:p>
      <w:pPr>
        <w:pStyle w:val="ListParagraph"/>
        <w:numPr>
          <w:ilvl w:val="0"/>
          <w:numId w:val="10"/>
        </w:numPr>
        <w:rPr/>
      </w:pPr>
      <w:r>
        <w:rPr/>
        <w:t xml:space="preserve">Provides only a surface-level analysis of the course material. </w:t>
      </w:r>
    </w:p>
    <w:p>
      <w:pPr>
        <w:pStyle w:val="ListParagraph"/>
        <w:numPr>
          <w:ilvl w:val="0"/>
          <w:numId w:val="10"/>
        </w:numPr>
        <w:rPr/>
      </w:pPr>
      <w:r>
        <w:rPr/>
        <w:t xml:space="preserve">Contains properly cited references. </w:t>
      </w:r>
    </w:p>
    <w:p>
      <w:pPr>
        <w:pStyle w:val="ListParagraph"/>
        <w:numPr>
          <w:ilvl w:val="0"/>
          <w:numId w:val="10"/>
        </w:numPr>
        <w:rPr/>
      </w:pPr>
      <w:r>
        <w:rPr/>
        <w:t xml:space="preserve">Contains a few grammatical and/or spelling errors </w:t>
      </w:r>
    </w:p>
    <w:p>
      <w:pPr>
        <w:pStyle w:val="Normal"/>
        <w:rPr/>
      </w:pPr>
      <w:r>
        <w:rPr/>
      </w:r>
    </w:p>
    <w:p>
      <w:pPr>
        <w:pStyle w:val="Normal"/>
        <w:rPr>
          <w:b/>
          <w:b/>
          <w:bCs/>
          <w:sz w:val="24"/>
          <w:szCs w:val="24"/>
        </w:rPr>
      </w:pPr>
      <w:r>
        <w:rPr>
          <w:b/>
          <w:bCs/>
          <w:sz w:val="24"/>
          <w:szCs w:val="24"/>
        </w:rPr>
        <w:t xml:space="preserve">A poor post: </w:t>
      </w:r>
    </w:p>
    <w:p>
      <w:pPr>
        <w:pStyle w:val="ListParagraph"/>
        <w:numPr>
          <w:ilvl w:val="0"/>
          <w:numId w:val="11"/>
        </w:numPr>
        <w:rPr/>
      </w:pPr>
      <w:r>
        <w:rPr/>
        <w:t xml:space="preserve">Provides only a surface-level analysis of the course material. </w:t>
      </w:r>
    </w:p>
    <w:p>
      <w:pPr>
        <w:pStyle w:val="ListParagraph"/>
        <w:numPr>
          <w:ilvl w:val="0"/>
          <w:numId w:val="11"/>
        </w:numPr>
        <w:rPr/>
      </w:pPr>
      <w:r>
        <w:rPr/>
        <w:t xml:space="preserve">Does not properly cite references. </w:t>
      </w:r>
    </w:p>
    <w:p>
      <w:pPr>
        <w:pStyle w:val="ListParagraph"/>
        <w:numPr>
          <w:ilvl w:val="0"/>
          <w:numId w:val="11"/>
        </w:numPr>
        <w:rPr/>
      </w:pPr>
      <w:r>
        <w:rPr/>
        <w:t xml:space="preserve">Contains several grammatical and/or spelling errors. </w:t>
      </w:r>
    </w:p>
    <w:p>
      <w:pPr>
        <w:pStyle w:val="Normal"/>
        <w:rPr/>
      </w:pPr>
      <w:r>
        <w:rPr/>
        <w:t xml:space="preserve"> </w:t>
      </w:r>
      <w:r>
        <w:rPr/>
        <w:tab/>
      </w:r>
    </w:p>
    <w:p>
      <w:pPr>
        <w:pStyle w:val="Normal"/>
        <w:rPr/>
      </w:pPr>
      <w:r>
        <w:rPr/>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(i.e. not simply “I agree/disagree with you”).</w:t>
      </w:r>
    </w:p>
    <w:p>
      <w:pPr>
        <w:pStyle w:val="Normal"/>
        <w:spacing w:before="0" w:after="280"/>
        <w:ind w:left="360" w:hanging="0"/>
        <w:rPr/>
      </w:pPr>
      <w:r>
        <w:rPr>
          <w:b/>
          <w:sz w:val="24"/>
          <w:szCs w:val="24"/>
        </w:rPr>
        <w:t>Timing</w:t>
      </w:r>
      <w:r>
        <w:rPr/>
        <w:t>:</w:t>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pPr>
        <w:pStyle w:val="Normal"/>
        <w:spacing w:before="0" w:after="280"/>
        <w:ind w:left="360" w:hanging="0"/>
        <w:rPr/>
      </w:pPr>
      <w:r>
        <w:rP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disagreement </w:t>
      </w:r>
    </w:p>
    <w:p>
      <w:pPr>
        <w:pStyle w:val="Heading3"/>
        <w:tabs>
          <w:tab w:val="left" w:pos="720" w:leader="none"/>
        </w:tabs>
        <w:rPr/>
      </w:pPr>
      <w:bookmarkStart w:id="15" w:name="_1ksv4uv"/>
      <w:bookmarkStart w:id="16" w:name="_lnxbz9"/>
      <w:bookmarkStart w:id="17" w:name="_44sinio"/>
      <w:bookmarkEnd w:id="15"/>
      <w:bookmarkEnd w:id="16"/>
      <w:bookmarkEnd w:id="17"/>
      <w:r>
        <w:rPr/>
        <w:t>II. Weekly Information &amp; Assignment Outline</w:t>
      </w:r>
    </w:p>
    <w:tbl>
      <w:tblPr>
        <w:tblW w:w="9435" w:type="dxa"/>
        <w:jc w:val="left"/>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2038"/>
        <w:gridCol w:w="7396"/>
      </w:tblGrid>
      <w:tr>
        <w:trPr/>
        <w:tc>
          <w:tcPr>
            <w:tcW w:w="2038"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8" w:name="_xab4don0tate"/>
            <w:bookmarkEnd w:id="18"/>
            <w:r>
              <w:rPr/>
              <w:t>Week 1</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999999" w:val="clear"/>
              </w:rPr>
              <w:t>Introduction to Optimization of Functions of Variables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t>Minimization, Maximization of  Functions of a Variable</w:t>
            </w:r>
          </w:p>
          <w:p>
            <w:pPr>
              <w:pStyle w:val="Normal"/>
              <w:numPr>
                <w:ilvl w:val="0"/>
                <w:numId w:val="2"/>
              </w:numPr>
              <w:rPr>
                <w:highlight w:val="yellow"/>
              </w:rPr>
            </w:pPr>
            <w:r>
              <w:rPr>
                <w:highlight w:val="yellow"/>
              </w:rPr>
              <w:t>Minimization, Maximization of  Functions of Two Variables</w:t>
            </w:r>
          </w:p>
          <w:p>
            <w:pPr>
              <w:pStyle w:val="Normal"/>
              <w:numPr>
                <w:ilvl w:val="0"/>
                <w:numId w:val="2"/>
              </w:numPr>
              <w:rPr>
                <w:highlight w:val="yellow"/>
              </w:rPr>
            </w:pPr>
            <w:r>
              <w:rPr>
                <w:highlight w:val="yellow"/>
              </w:rPr>
              <w:t>Analytic Approach and Algebraic Approaches</w:t>
            </w:r>
          </w:p>
          <w:p>
            <w:pPr>
              <w:pStyle w:val="Normal"/>
              <w:numPr>
                <w:ilvl w:val="0"/>
                <w:numId w:val="2"/>
              </w:numPr>
              <w:rPr>
                <w:highlight w:val="yellow"/>
              </w:rPr>
            </w:pPr>
            <w:r>
              <w:rPr>
                <w:highlight w:val="yellow"/>
              </w:rPr>
              <w:t>Definite and Indefinite Forms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Chapter 1, Class Notes</w:t>
            </w:r>
          </w:p>
        </w:tc>
      </w:tr>
      <w:tr>
        <w:trPr>
          <w:trHeight w:val="30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ind w:left="720" w:hanging="0"/>
              <w:rPr>
                <w:i/>
                <w:i/>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6"/>
              </w:numPr>
              <w:rPr>
                <w:highlight w:val="yellow"/>
              </w:rPr>
            </w:pPr>
            <w:r>
              <w:rPr>
                <w:highlight w:val="yellow"/>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9" w:name="_437bjf15f3qm"/>
            <w:bookmarkEnd w:id="19"/>
            <w:r>
              <w:rPr/>
              <w:t>Week 2</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highlight w:val="yellow"/>
              </w:rPr>
              <w:t>Vectors and Matrices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t>Vectors, Vector Addition, Scalar Multiplication</w:t>
            </w:r>
          </w:p>
          <w:p>
            <w:pPr>
              <w:pStyle w:val="Normal"/>
              <w:numPr>
                <w:ilvl w:val="0"/>
                <w:numId w:val="2"/>
              </w:numPr>
              <w:rPr>
                <w:highlight w:val="yellow"/>
              </w:rPr>
            </w:pPr>
            <w:r>
              <w:rPr>
                <w:highlight w:val="yellow"/>
              </w:rPr>
              <w:t>Inner Product of Two Vectors, Orthogonality</w:t>
            </w:r>
          </w:p>
          <w:p>
            <w:pPr>
              <w:pStyle w:val="Normal"/>
              <w:numPr>
                <w:ilvl w:val="0"/>
                <w:numId w:val="2"/>
              </w:numPr>
              <w:rPr>
                <w:highlight w:val="yellow"/>
              </w:rPr>
            </w:pPr>
            <w:r>
              <w:rPr>
                <w:highlight w:val="yellow"/>
              </w:rPr>
              <w:t>Matrix and Multiplication – Vector by Matrix</w:t>
            </w:r>
          </w:p>
          <w:p>
            <w:pPr>
              <w:pStyle w:val="Normal"/>
              <w:numPr>
                <w:ilvl w:val="0"/>
                <w:numId w:val="2"/>
              </w:numPr>
              <w:rPr>
                <w:highlight w:val="yellow"/>
              </w:rPr>
            </w:pPr>
            <w:r>
              <w:rPr>
                <w:highlight w:val="yellow"/>
              </w:rPr>
              <w:t>Matrix Multiplication – Matrix by Matrix</w:t>
            </w:r>
          </w:p>
          <w:p>
            <w:pPr>
              <w:pStyle w:val="Normal"/>
              <w:numPr>
                <w:ilvl w:val="0"/>
                <w:numId w:val="2"/>
              </w:numPr>
              <w:rPr>
                <w:highlight w:val="yellow"/>
              </w:rPr>
            </w:pPr>
            <w:r>
              <w:rPr>
                <w:highlight w:val="yellow"/>
              </w:rPr>
              <w:t>Noncommutativity, Associativity, Invariant Vectors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Chapter 2,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yellow"/>
              </w:rPr>
            </w:pPr>
            <w:r>
              <w:rPr>
                <w:highlight w:val="yellow"/>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20" w:name="_cxnp30bkbhna"/>
            <w:bookmarkEnd w:id="20"/>
            <w:r>
              <w:rPr/>
              <w:t>Week 3</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Matrices and Bayesian Theory</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shd w:fill="D9D9D9" w:val="clear"/>
              </w:rPr>
              <w:t>Matrix Transpose, Symmetric Matrices</w:t>
            </w:r>
          </w:p>
          <w:p>
            <w:pPr>
              <w:pStyle w:val="Normal"/>
              <w:numPr>
                <w:ilvl w:val="0"/>
                <w:numId w:val="2"/>
              </w:numPr>
              <w:rPr>
                <w:highlight w:val="yellow"/>
              </w:rPr>
            </w:pPr>
            <w:r>
              <w:rPr>
                <w:highlight w:val="yellow"/>
                <w:shd w:fill="D9D9D9" w:val="clear"/>
              </w:rPr>
              <w:t>Hermitian Matrices</w:t>
            </w:r>
          </w:p>
          <w:p>
            <w:pPr>
              <w:pStyle w:val="Normal"/>
              <w:numPr>
                <w:ilvl w:val="0"/>
                <w:numId w:val="2"/>
              </w:numPr>
              <w:rPr>
                <w:highlight w:val="yellow"/>
              </w:rPr>
            </w:pPr>
            <w:r>
              <w:rPr>
                <w:highlight w:val="yellow"/>
                <w:shd w:fill="D9D9D9" w:val="clear"/>
              </w:rPr>
              <w:t>Invariance of Distance – Orthogonal Matrices</w:t>
            </w:r>
          </w:p>
          <w:p>
            <w:pPr>
              <w:pStyle w:val="Normal"/>
              <w:numPr>
                <w:ilvl w:val="0"/>
                <w:numId w:val="2"/>
              </w:numPr>
              <w:rPr/>
            </w:pPr>
            <w:r>
              <w:rPr>
                <w:highlight w:val="yellow"/>
                <w:shd w:fill="D9D9D9" w:val="clear"/>
              </w:rPr>
              <w:t>Unitary Matrices</w:t>
            </w:r>
          </w:p>
          <w:p>
            <w:pPr>
              <w:pStyle w:val="Normal"/>
              <w:numPr>
                <w:ilvl w:val="0"/>
                <w:numId w:val="2"/>
              </w:numPr>
              <w:rPr/>
            </w:pPr>
            <w:r>
              <w:rPr>
                <w:highlight w:val="yellow"/>
                <w:shd w:fill="D9D9D9" w:val="clear"/>
              </w:rPr>
              <w:t>The Matrix Determinant and its Properties</w:t>
            </w:r>
          </w:p>
          <w:p>
            <w:pPr>
              <w:pStyle w:val="Normal"/>
              <w:numPr>
                <w:ilvl w:val="0"/>
                <w:numId w:val="2"/>
              </w:numPr>
              <w:rPr/>
            </w:pPr>
            <w:r>
              <w:rPr>
                <w:highlight w:val="yellow"/>
                <w:shd w:fill="D9D9D9" w:val="clear"/>
              </w:rPr>
              <w:t>The Trace of a Matrix</w:t>
            </w:r>
          </w:p>
          <w:p>
            <w:pPr>
              <w:pStyle w:val="Normal"/>
              <w:numPr>
                <w:ilvl w:val="0"/>
                <w:numId w:val="2"/>
              </w:numPr>
              <w:rPr/>
            </w:pPr>
            <w:r>
              <w:rPr>
                <w:highlight w:val="yellow"/>
                <w:shd w:fill="D9D9D9" w:val="clear"/>
              </w:rPr>
              <w:t>EigenData of a Matrix</w:t>
            </w:r>
          </w:p>
          <w:p>
            <w:pPr>
              <w:pStyle w:val="Normal"/>
              <w:numPr>
                <w:ilvl w:val="0"/>
                <w:numId w:val="2"/>
              </w:numPr>
              <w:rPr/>
            </w:pPr>
            <w:r>
              <w:rPr>
                <w:highlight w:val="yellow"/>
                <w:shd w:fill="D9D9D9" w:val="clear"/>
              </w:rPr>
              <w:t>The Matrix Inversion Lemma</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Chapter  II/III,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1" w:name="_3abz2cmp8f4r"/>
            <w:bookmarkEnd w:id="21"/>
            <w:r>
              <w:rPr/>
              <w:t>Week 4</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Registration of Objects in Robotics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t>Metric Spaces, Manifolds, Submanifolds</w:t>
            </w:r>
          </w:p>
          <w:p>
            <w:pPr>
              <w:pStyle w:val="Normal"/>
              <w:numPr>
                <w:ilvl w:val="0"/>
                <w:numId w:val="2"/>
              </w:numPr>
              <w:rPr>
                <w:highlight w:val="lightGray"/>
              </w:rPr>
            </w:pPr>
            <w:r>
              <w:rPr>
                <w:shd w:fill="D9D9D9" w:val="clear"/>
              </w:rPr>
              <w:t>Distance between line segments, triangle sets</w:t>
            </w:r>
          </w:p>
          <w:p>
            <w:pPr>
              <w:pStyle w:val="Normal"/>
              <w:numPr>
                <w:ilvl w:val="0"/>
                <w:numId w:val="2"/>
              </w:numPr>
              <w:rPr>
                <w:highlight w:val="lightGray"/>
              </w:rPr>
            </w:pPr>
            <w:r>
              <w:rPr>
                <w:shd w:fill="D9D9D9" w:val="clear"/>
              </w:rPr>
              <w:t>Distance between a point and (i) a parameterized entity, and (ii) an implicit entity</w:t>
            </w:r>
          </w:p>
          <w:p>
            <w:pPr>
              <w:pStyle w:val="Normal"/>
              <w:numPr>
                <w:ilvl w:val="0"/>
                <w:numId w:val="2"/>
              </w:numPr>
              <w:rPr>
                <w:highlight w:val="lightGray"/>
              </w:rPr>
            </w:pPr>
            <w:r>
              <w:rPr>
                <w:highlight w:val="lightGray"/>
              </w:rPr>
              <w:t>Quaternions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Besl, P. J. and N. D. McKay (1992). Method for registration of 3-d shapes. In Sensor fusion IV: Control Paradigms and Data Structures, Volume 1611, pp. 586–606. International Society for Optics and Photonics.</w:t>
            </w:r>
          </w:p>
          <w:p>
            <w:pPr>
              <w:pStyle w:val="Normal"/>
              <w:numPr>
                <w:ilvl w:val="0"/>
                <w:numId w:val="2"/>
              </w:numPr>
              <w:rPr/>
            </w:pPr>
            <w:r>
              <w:rPr>
                <w:i/>
              </w:rPr>
              <w:t>Kabsch, W. (1978). A discussion of the solution for the best rotation to relate two sets of vectors. Acta Crystallographica Section A 34(5), 827–828.</w:t>
            </w:r>
          </w:p>
          <w:p>
            <w:pPr>
              <w:pStyle w:val="Normal"/>
              <w:numPr>
                <w:ilvl w:val="0"/>
                <w:numId w:val="2"/>
              </w:numPr>
              <w:rPr/>
            </w:pPr>
            <w:r>
              <w:rPr>
                <w:i/>
              </w:rPr>
              <w:t>Horn, B. K. (1987). Closed-form solution of absolute orientation using unit quaternions. Josa a 4(4), 629–642.</w:t>
            </w:r>
          </w:p>
          <w:p>
            <w:pPr>
              <w:pStyle w:val="Normal"/>
              <w:numPr>
                <w:ilvl w:val="0"/>
                <w:numId w:val="2"/>
              </w:numPr>
              <w:rPr/>
            </w:pPr>
            <w:r>
              <w:rPr>
                <w:i/>
              </w:rPr>
              <w:t>Chapter III,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2" w:name="_wwidriljp361"/>
            <w:bookmarkEnd w:id="22"/>
            <w:r>
              <w:rPr/>
              <w:t>Week 5</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Registration of Objects in Robotics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t>Kabsch Algorithm</w:t>
            </w:r>
          </w:p>
          <w:p>
            <w:pPr>
              <w:pStyle w:val="Normal"/>
              <w:numPr>
                <w:ilvl w:val="0"/>
                <w:numId w:val="2"/>
              </w:numPr>
              <w:rPr>
                <w:highlight w:val="lightGray"/>
              </w:rPr>
            </w:pPr>
            <w:r>
              <w:rPr>
                <w:shd w:fill="D9D9D9" w:val="clear"/>
              </w:rPr>
              <w:t>Closed-form solutions with least squares</w:t>
            </w:r>
          </w:p>
          <w:p>
            <w:pPr>
              <w:pStyle w:val="Normal"/>
              <w:numPr>
                <w:ilvl w:val="0"/>
                <w:numId w:val="2"/>
              </w:numPr>
              <w:rPr>
                <w:highlight w:val="lightGray"/>
              </w:rPr>
            </w:pPr>
            <w:r>
              <w:rPr>
                <w:shd w:fill="D9D9D9" w:val="clear"/>
              </w:rPr>
              <w:t>Point set registration with quaternions</w:t>
            </w:r>
          </w:p>
          <w:p>
            <w:pPr>
              <w:pStyle w:val="Normal"/>
              <w:numPr>
                <w:ilvl w:val="0"/>
                <w:numId w:val="2"/>
              </w:numPr>
              <w:rPr>
                <w:highlight w:val="lightGray"/>
              </w:rPr>
            </w:pPr>
            <w:r>
              <w:rPr>
                <w:shd w:fill="D9D9D9" w:val="clear"/>
              </w:rPr>
              <w:t>Iterative Closest Point Algorithm</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Besl, P. J. and N. D. McKay (1992). Method for registration of 3-d shapes. In Sensor fusion IV: Control Paradigms and Data Structures, Volume 1611, pp. 586–606. International Society for Optics and Photonics.</w:t>
            </w:r>
          </w:p>
          <w:p>
            <w:pPr>
              <w:pStyle w:val="Normal"/>
              <w:numPr>
                <w:ilvl w:val="0"/>
                <w:numId w:val="2"/>
              </w:numPr>
              <w:rPr/>
            </w:pPr>
            <w:r>
              <w:rPr>
                <w:i/>
              </w:rPr>
              <w:t>Kabsch, W. (1978). A discussion of the solution for the best rotation to relate two sets of vectors. Acta Crystallographica Section A 34(5), 827–828.</w:t>
            </w:r>
          </w:p>
          <w:p>
            <w:pPr>
              <w:pStyle w:val="Normal"/>
              <w:numPr>
                <w:ilvl w:val="0"/>
                <w:numId w:val="2"/>
              </w:numPr>
              <w:rPr/>
            </w:pPr>
            <w:r>
              <w:rPr>
                <w:i/>
              </w:rPr>
              <w:t>Horn, B. K. (1987). Closed-form solution of absolute orientation using unit quaternions. Josa a 4(4), 629–642.</w:t>
            </w:r>
          </w:p>
          <w:p>
            <w:pPr>
              <w:pStyle w:val="Normal"/>
              <w:numPr>
                <w:ilvl w:val="0"/>
                <w:numId w:val="2"/>
              </w:numPr>
              <w:rPr/>
            </w:pPr>
            <w:r>
              <w:rPr>
                <w:i/>
              </w:rPr>
              <w:t>Chapter III,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8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3" w:name="_39mljsek6181"/>
            <w:bookmarkEnd w:id="23"/>
            <w:r>
              <w:rPr/>
              <w:t>Week 6</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bookmarkStart w:id="24" w:name="docs-internal-guid-19ca7133-7fff-7eb2-94"/>
            <w:bookmarkEnd w:id="24"/>
            <w:r>
              <w:rPr>
                <w:color w:val="000000"/>
                <w:shd w:fill="D9D9D9" w:val="clear"/>
              </w:rPr>
              <w:t>Robot Configurations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pPr>
            <w:bookmarkStart w:id="25" w:name="docs-internal-guid-7a9caae0-7fff-fae4-91"/>
            <w:bookmarkEnd w:id="25"/>
            <w:r>
              <w:rPr/>
              <w:t>The symbolic definition of robots: Links, Joints and End-Effectors</w:t>
            </w:r>
          </w:p>
          <w:p>
            <w:pPr>
              <w:pStyle w:val="Normal"/>
              <w:numPr>
                <w:ilvl w:val="0"/>
                <w:numId w:val="2"/>
              </w:numPr>
              <w:rPr/>
            </w:pPr>
            <w:r>
              <w:rPr/>
              <w:t>Robot spaces, serial and parallel robot  geometries, classifications based on link components</w:t>
            </w:r>
          </w:p>
          <w:p>
            <w:pPr>
              <w:pStyle w:val="Normal"/>
              <w:numPr>
                <w:ilvl w:val="0"/>
                <w:numId w:val="2"/>
              </w:numPr>
              <w:rPr/>
            </w:pPr>
            <w:r>
              <w:rPr/>
              <w:t>Open and Closed kinematic chains</w:t>
            </w:r>
          </w:p>
          <w:p>
            <w:pPr>
              <w:pStyle w:val="Normal"/>
              <w:numPr>
                <w:ilvl w:val="0"/>
                <w:numId w:val="2"/>
              </w:numPr>
              <w:rPr/>
            </w:pPr>
            <w:r>
              <w:rPr/>
              <w:t>End Effectors, Connectivity Criterion: Gruebler-Kutzbach mobility condition</w:t>
            </w:r>
          </w:p>
        </w:tc>
      </w:tr>
      <w:tr>
        <w:trPr>
          <w:trHeight w:val="640"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Chapter IV,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6" w:name="_j26k5oa6n7vj"/>
            <w:bookmarkEnd w:id="26"/>
            <w:r>
              <w:rPr/>
              <w:t>Week 7</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Rigid Body Motions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rFonts w:ascii="Calibri;sans-serif" w:hAnsi="Calibri;sans-serif"/>
                <w:color w:val="000000"/>
                <w:sz w:val="24"/>
              </w:rPr>
            </w:pPr>
            <w:bookmarkStart w:id="27" w:name="docs-internal-guid-bf10ba3e-7fff-532a-a0"/>
            <w:bookmarkEnd w:id="27"/>
            <w:r>
              <w:rPr>
                <w:rFonts w:ascii="Calibri;sans-serif" w:hAnsi="Calibri;sans-serif"/>
                <w:color w:val="000000"/>
                <w:sz w:val="24"/>
              </w:rPr>
              <w:t>Theory of Screws: twist, wrench, pitch, axis</w:t>
            </w:r>
          </w:p>
          <w:p>
            <w:pPr>
              <w:pStyle w:val="Normal"/>
              <w:numPr>
                <w:ilvl w:val="0"/>
                <w:numId w:val="2"/>
              </w:numPr>
              <w:rPr>
                <w:rFonts w:ascii="Calibri;sans-serif" w:hAnsi="Calibri;sans-serif"/>
                <w:color w:val="000000"/>
                <w:sz w:val="24"/>
              </w:rPr>
            </w:pPr>
            <w:bookmarkStart w:id="28" w:name="docs-internal-guid-0d9a5c3a-7fff-69e1-33"/>
            <w:bookmarkEnd w:id="28"/>
            <w:r>
              <w:rPr>
                <w:rFonts w:ascii="Calibri;sans-serif" w:hAnsi="Calibri;sans-serif"/>
                <w:color w:val="000000"/>
                <w:sz w:val="24"/>
              </w:rPr>
              <w:t>Homogeneous coordinates for motion representation</w:t>
            </w:r>
          </w:p>
          <w:p>
            <w:pPr>
              <w:pStyle w:val="Normal"/>
              <w:numPr>
                <w:ilvl w:val="0"/>
                <w:numId w:val="2"/>
              </w:numPr>
              <w:rPr>
                <w:rFonts w:ascii="Calibri;sans-serif" w:hAnsi="Calibri;sans-serif"/>
                <w:color w:val="000000"/>
                <w:sz w:val="24"/>
              </w:rPr>
            </w:pPr>
            <w:bookmarkStart w:id="29" w:name="docs-internal-guid-8e71f588-7fff-82f6-6f"/>
            <w:bookmarkEnd w:id="29"/>
            <w:r>
              <w:rPr>
                <w:rFonts w:ascii="Calibri;sans-serif" w:hAnsi="Calibri;sans-serif"/>
                <w:color w:val="000000"/>
                <w:sz w:val="24"/>
              </w:rPr>
              <w:t>The matrix exponential and Rodrigues’ formula</w:t>
            </w:r>
          </w:p>
          <w:p>
            <w:pPr>
              <w:pStyle w:val="Normal"/>
              <w:numPr>
                <w:ilvl w:val="0"/>
                <w:numId w:val="2"/>
              </w:numPr>
              <w:rPr/>
            </w:pPr>
            <w:bookmarkStart w:id="30" w:name="docs-internal-guid-a698aec8-7fff-a451-0e"/>
            <w:bookmarkEnd w:id="30"/>
            <w:r>
              <w:rPr>
                <w:rFonts w:ascii="Calibri;sans-serif" w:hAnsi="Calibri;sans-serif"/>
                <w:color w:val="000000"/>
                <w:sz w:val="24"/>
              </w:rPr>
              <w:t>Exponential Coordinates for rigid motions and twists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bookmarkStart w:id="31" w:name="docs-internal-guid-9c69b609-7fff-72d9-9e"/>
            <w:bookmarkEnd w:id="31"/>
            <w:r>
              <w:rPr>
                <w:color w:val="424242"/>
              </w:rPr>
              <w:t xml:space="preserve">Murray, R. M., Li, Z., &amp; Sastry, S. S. (1994). </w:t>
            </w:r>
            <w:r>
              <w:rPr>
                <w:i/>
                <w:color w:val="424242"/>
              </w:rPr>
              <w:t>A Mathematical Introduction to Robotic Manipulation</w:t>
            </w:r>
            <w:r>
              <w:rPr>
                <w:color w:val="424242"/>
              </w:rPr>
              <w:t xml:space="preserve">. </w:t>
            </w:r>
            <w:r>
              <w:rPr>
                <w:i/>
                <w:color w:val="424242"/>
              </w:rPr>
              <w:t>Book</w:t>
            </w:r>
            <w:r>
              <w:rPr>
                <w:color w:val="424242"/>
              </w:rPr>
              <w:t xml:space="preserve"> (Vol. 29), Chapter 2</w:t>
            </w:r>
          </w:p>
          <w:p>
            <w:pPr>
              <w:pStyle w:val="Normal"/>
              <w:numPr>
                <w:ilvl w:val="0"/>
                <w:numId w:val="2"/>
              </w:numPr>
              <w:rPr>
                <w:color w:val="424242"/>
              </w:rPr>
            </w:pPr>
            <w:bookmarkStart w:id="32" w:name="docs-internal-guid-16a7e940-7fff-c7b5-bf"/>
            <w:bookmarkEnd w:id="32"/>
            <w:r>
              <w:rPr>
                <w:color w:val="424242"/>
              </w:rPr>
              <w:t>A Treatise on the Theory of Screws. Sir R.S. Ball, Chapter 1</w:t>
            </w:r>
          </w:p>
          <w:p>
            <w:pPr>
              <w:pStyle w:val="Normal"/>
              <w:numPr>
                <w:ilvl w:val="0"/>
                <w:numId w:val="2"/>
              </w:numPr>
              <w:rPr/>
            </w:pPr>
            <w:bookmarkStart w:id="33" w:name="docs-internal-guid-9d37d39f-7fff-e779-d5"/>
            <w:bookmarkEnd w:id="33"/>
            <w:r>
              <w:rPr>
                <w:color w:val="424242"/>
              </w:rPr>
              <w:t>Screw Theory for Robotics. Jose M. Pardos-Gotors, IROS2018 Tutorial Madrid (Instructor will provide a copy of the materials)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TextBody"/>
              <w:numPr>
                <w:ilvl w:val="0"/>
                <w:numId w:val="2"/>
              </w:numPr>
              <w:rPr>
                <w:color w:val="000000"/>
              </w:rPr>
            </w:pPr>
            <w:bookmarkStart w:id="34" w:name="docs-internal-guid-cf133a96-7fff-832d-4a"/>
            <w:bookmarkEnd w:id="34"/>
            <w:r>
              <w:rPr>
                <w:color w:val="000000"/>
                <w:shd w:fill="D9D9D9" w:val="clear"/>
              </w:rPr>
              <w:t>Assignment #2 (4% of Term Assignments): Matlab examples of Rodrigues’ formula, exponential coordinates for rigid bodies etc</w:t>
            </w:r>
          </w:p>
          <w:p>
            <w:pPr>
              <w:pStyle w:val="TextBody"/>
              <w:numPr>
                <w:ilvl w:val="0"/>
                <w:numId w:val="2"/>
              </w:numPr>
              <w:spacing w:lineRule="auto" w:line="288" w:before="0" w:after="0"/>
              <w:rPr/>
            </w:pPr>
            <w:r>
              <w:rPr>
                <w:color w:val="000000"/>
              </w:rPr>
              <w:t>Week 7 Discussion Topics (2%)</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5" w:name="_393skl7b32bw"/>
            <w:bookmarkEnd w:id="35"/>
            <w:r>
              <w:rPr/>
              <w:t>Week 8</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State Estimation  and Control Systems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pPr>
            <w:r>
              <w:rPr>
                <w:highlight w:val="lightGray"/>
              </w:rPr>
              <w:t>States, Linear Systems, Canonical Forms</w:t>
            </w:r>
          </w:p>
          <w:p>
            <w:pPr>
              <w:pStyle w:val="Normal"/>
              <w:numPr>
                <w:ilvl w:val="0"/>
                <w:numId w:val="2"/>
              </w:numPr>
              <w:rPr/>
            </w:pPr>
            <w:r>
              <w:rPr>
                <w:highlight w:val="lightGray"/>
              </w:rPr>
              <w:t>Nonlinear Systems</w:t>
            </w:r>
          </w:p>
          <w:p>
            <w:pPr>
              <w:pStyle w:val="Normal"/>
              <w:numPr>
                <w:ilvl w:val="0"/>
                <w:numId w:val="2"/>
              </w:numPr>
              <w:rPr/>
            </w:pPr>
            <w:r>
              <w:rPr>
                <w:highlight w:val="lightGray"/>
              </w:rPr>
              <w:t>Discretization, Simulation</w:t>
            </w:r>
          </w:p>
          <w:p>
            <w:pPr>
              <w:pStyle w:val="Normal"/>
              <w:numPr>
                <w:ilvl w:val="0"/>
                <w:numId w:val="2"/>
              </w:numPr>
              <w:rPr/>
            </w:pPr>
            <w:r>
              <w:rPr>
                <w:highlight w:val="lightGray"/>
              </w:rPr>
              <w:t>Trapezoidal, Rectangular, Runge-Kutta Integration</w:t>
            </w:r>
          </w:p>
          <w:p>
            <w:pPr>
              <w:pStyle w:val="Normal"/>
              <w:numPr>
                <w:ilvl w:val="0"/>
                <w:numId w:val="2"/>
              </w:numPr>
              <w:rPr/>
            </w:pPr>
            <w:r>
              <w:rPr>
                <w:highlight w:val="lightGray"/>
              </w:rPr>
              <w:t>Stability, Controllability, Observability</w:t>
            </w:r>
          </w:p>
          <w:p>
            <w:pPr>
              <w:pStyle w:val="Normal"/>
              <w:numPr>
                <w:ilvl w:val="0"/>
                <w:numId w:val="2"/>
              </w:numPr>
              <w:rPr/>
            </w:pPr>
            <w:r>
              <w:rPr>
                <w:highlight w:val="lightGray"/>
              </w:rPr>
              <w:t>Stabilizability and Detectability</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8 Learning Guide</w:t>
            </w:r>
          </w:p>
          <w:p>
            <w:pPr>
              <w:pStyle w:val="Normal"/>
              <w:numPr>
                <w:ilvl w:val="0"/>
                <w:numId w:val="2"/>
              </w:numPr>
              <w:rPr>
                <w:i/>
                <w:i/>
              </w:rPr>
            </w:pPr>
            <w:r>
              <w:rPr>
                <w:i/>
              </w:rPr>
              <w:t>[Identify each additional learning material; include page-range, video/audio length]</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6" w:name="_u76a1an6ntnu"/>
            <w:bookmarkEnd w:id="36"/>
            <w:r>
              <w:rPr/>
              <w:t>Week 9</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Probability Theory</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0"/>
              </w:numPr>
              <w:ind w:left="720" w:hanging="0"/>
              <w:rPr>
                <w:highlight w:val="lightGray"/>
              </w:rPr>
            </w:pPr>
            <w:r>
              <w:rPr>
                <w:highlight w:val="lightGray"/>
              </w:rPr>
              <w:t>Classical/Frequentist Interpretation of Probability</w:t>
            </w:r>
          </w:p>
          <w:p>
            <w:pPr>
              <w:pStyle w:val="Normal"/>
              <w:numPr>
                <w:ilvl w:val="0"/>
                <w:numId w:val="2"/>
              </w:numPr>
              <w:rPr>
                <w:highlight w:val="lightGray"/>
              </w:rPr>
            </w:pPr>
            <w:r>
              <w:rPr>
                <w:highlight w:val="lightGray"/>
              </w:rPr>
              <w:t>Rules of Probability: Sum rule; Product rule</w:t>
            </w:r>
          </w:p>
          <w:p>
            <w:pPr>
              <w:pStyle w:val="Normal"/>
              <w:numPr>
                <w:ilvl w:val="0"/>
                <w:numId w:val="2"/>
              </w:numPr>
              <w:rPr>
                <w:highlight w:val="lightGray"/>
              </w:rPr>
            </w:pPr>
            <w:r>
              <w:rPr>
                <w:highlight w:val="lightGray"/>
              </w:rPr>
              <w:t xml:space="preserve">Random variables, Skew and Skewness, </w:t>
            </w:r>
            <w:r>
              <w:rPr>
                <w:highlight w:val="lightGray"/>
              </w:rPr>
              <w:t>Stochastic Processes</w:t>
            </w:r>
          </w:p>
          <w:p>
            <w:pPr>
              <w:pStyle w:val="Normal"/>
              <w:numPr>
                <w:ilvl w:val="0"/>
                <w:numId w:val="2"/>
              </w:numPr>
              <w:rPr>
                <w:highlight w:val="lightGray"/>
              </w:rPr>
            </w:pPr>
            <w:r>
              <w:rPr>
                <w:highlight w:val="lightGray"/>
              </w:rPr>
              <w:t>White Noise, Colored Noise</w:t>
            </w:r>
          </w:p>
          <w:p>
            <w:pPr>
              <w:pStyle w:val="Normal"/>
              <w:numPr>
                <w:ilvl w:val="0"/>
                <w:numId w:val="2"/>
              </w:numPr>
              <w:rPr>
                <w:highlight w:val="lightGray"/>
              </w:rPr>
            </w:pPr>
            <w:r>
              <w:rPr>
                <w:highlight w:val="lightGray"/>
              </w:rPr>
              <w:t>Probability Densities</w:t>
            </w:r>
          </w:p>
          <w:p>
            <w:pPr>
              <w:pStyle w:val="Normal"/>
              <w:numPr>
                <w:ilvl w:val="0"/>
                <w:numId w:val="2"/>
              </w:numPr>
              <w:rPr>
                <w:highlight w:val="lightGray"/>
              </w:rPr>
            </w:pPr>
            <w:r>
              <w:rPr>
                <w:highlight w:val="lightGray"/>
              </w:rPr>
              <w:t>Multivariate Statistics</w:t>
            </w:r>
          </w:p>
          <w:p>
            <w:pPr>
              <w:pStyle w:val="Normal"/>
              <w:numPr>
                <w:ilvl w:val="0"/>
                <w:numId w:val="2"/>
              </w:numPr>
              <w:rPr>
                <w:highlight w:val="lightGray"/>
              </w:rPr>
            </w:pPr>
            <w:r>
              <w:rPr>
                <w:highlight w:val="lightGray"/>
              </w:rPr>
              <w:t>Expectations and Covariances</w:t>
            </w:r>
          </w:p>
          <w:p>
            <w:pPr>
              <w:pStyle w:val="Normal"/>
              <w:numPr>
                <w:ilvl w:val="0"/>
                <w:numId w:val="0"/>
              </w:numPr>
              <w:ind w:left="720" w:hanging="0"/>
              <w:rPr>
                <w:highlight w:val="lightGray"/>
              </w:rPr>
            </w:pPr>
            <w:r>
              <w:rPr>
                <w:highlight w:val="lightGray"/>
              </w:rPr>
              <w:t>Bayesian Probabilities</w:t>
            </w:r>
          </w:p>
          <w:p>
            <w:pPr>
              <w:pStyle w:val="Normal"/>
              <w:numPr>
                <w:ilvl w:val="0"/>
                <w:numId w:val="2"/>
              </w:numPr>
              <w:rPr>
                <w:highlight w:val="lightGray"/>
              </w:rPr>
            </w:pPr>
            <w:r>
              <w:rPr>
                <w:highlight w:val="lightGray"/>
              </w:rPr>
              <w:t>Relative entropy and mutual information</w:t>
            </w:r>
          </w:p>
          <w:p>
            <w:pPr>
              <w:pStyle w:val="Normal"/>
              <w:numPr>
                <w:ilvl w:val="0"/>
                <w:numId w:val="2"/>
              </w:numPr>
              <w:rPr>
                <w:highlight w:val="lightGray"/>
              </w:rPr>
            </w:pPr>
            <w:r>
              <w:rPr>
                <w:highlight w:val="lightGray"/>
              </w:rPr>
              <w:t>Binary variables; Multinomial variables; The Dirichlet distribution</w:t>
            </w:r>
          </w:p>
          <w:p>
            <w:pPr>
              <w:pStyle w:val="Normal"/>
              <w:numPr>
                <w:ilvl w:val="0"/>
                <w:numId w:val="2"/>
              </w:numPr>
              <w:rPr>
                <w:highlight w:val="lightGray"/>
              </w:rPr>
            </w:pPr>
            <w:r>
              <w:rPr>
                <w:highlight w:val="lightGray"/>
              </w:rPr>
              <w:t xml:space="preserve">The </w:t>
            </w:r>
            <w:r>
              <w:rPr>
                <w:highlight w:val="lightGray"/>
              </w:rPr>
              <w:t>Gaussian distribution</w:t>
            </w:r>
          </w:p>
          <w:p>
            <w:pPr>
              <w:pStyle w:val="Normal"/>
              <w:numPr>
                <w:ilvl w:val="0"/>
                <w:numId w:val="2"/>
              </w:numPr>
              <w:rPr>
                <w:highlight w:val="lightGray"/>
              </w:rPr>
            </w:pPr>
            <w:r>
              <w:rPr>
                <w:highlight w:val="lightGray"/>
              </w:rPr>
              <w:t>Conditional Gaussian distributions</w:t>
            </w:r>
          </w:p>
          <w:p>
            <w:pPr>
              <w:pStyle w:val="Normal"/>
              <w:numPr>
                <w:ilvl w:val="0"/>
                <w:numId w:val="2"/>
              </w:numPr>
              <w:rPr>
                <w:highlight w:val="lightGray"/>
              </w:rPr>
            </w:pPr>
            <w:r>
              <w:rPr>
                <w:highlight w:val="lightGray"/>
              </w:rPr>
              <w:t>Marginal Gaussian distributions</w:t>
            </w:r>
          </w:p>
          <w:p>
            <w:pPr>
              <w:pStyle w:val="Normal"/>
              <w:numPr>
                <w:ilvl w:val="0"/>
                <w:numId w:val="2"/>
              </w:numPr>
              <w:rPr>
                <w:highlight w:val="lightGray"/>
              </w:rPr>
            </w:pPr>
            <w:r>
              <w:rPr>
                <w:highlight w:val="lightGray"/>
              </w:rPr>
              <w:t>Bayes’ theorem for Gaussian variables</w:t>
            </w:r>
          </w:p>
          <w:p>
            <w:pPr>
              <w:pStyle w:val="Normal"/>
              <w:numPr>
                <w:ilvl w:val="0"/>
                <w:numId w:val="2"/>
              </w:numPr>
              <w:rPr>
                <w:highlight w:val="lightGray"/>
              </w:rPr>
            </w:pPr>
            <w:r>
              <w:rPr>
                <w:highlight w:val="lightGray"/>
              </w:rPr>
              <w:t xml:space="preserve">Maximum Likelihood of the Gaussian </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9 Learning Guide</w:t>
            </w:r>
          </w:p>
          <w:p>
            <w:pPr>
              <w:pStyle w:val="Normal"/>
              <w:numPr>
                <w:ilvl w:val="0"/>
                <w:numId w:val="2"/>
              </w:numPr>
              <w:rPr>
                <w:i/>
                <w:i/>
              </w:rPr>
            </w:pPr>
            <w:r>
              <w:rPr>
                <w:i/>
              </w:rPr>
              <w:t>[Identify each additional learning material; include page-range, video/audio length]</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7" w:name="_5xrqms3ailxs"/>
            <w:bookmarkEnd w:id="37"/>
            <w:r>
              <w:rPr/>
              <w:t>Week 10</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highlight w:val="lightGray"/>
                <w:shd w:fill="D9D9D9" w:val="clear"/>
              </w:rPr>
              <w:t>Probabilistic Robotics, Introduction</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highlight w:val="lightGray"/>
              </w:rPr>
              <w:t>Student’s t-distribution</w:t>
            </w:r>
          </w:p>
          <w:p>
            <w:pPr>
              <w:pStyle w:val="Normal"/>
              <w:numPr>
                <w:ilvl w:val="0"/>
                <w:numId w:val="2"/>
              </w:numPr>
              <w:rPr>
                <w:highlight w:val="lightGray"/>
              </w:rPr>
            </w:pPr>
            <w:r>
              <w:rPr>
                <w:highlight w:val="lightGray"/>
              </w:rPr>
              <w:t>Gaussian Mixtures</w:t>
            </w:r>
          </w:p>
          <w:p>
            <w:pPr>
              <w:pStyle w:val="Normal"/>
              <w:numPr>
                <w:ilvl w:val="0"/>
                <w:numId w:val="2"/>
              </w:numPr>
              <w:rPr>
                <w:highlight w:val="lightGray"/>
              </w:rPr>
            </w:pPr>
            <w:r>
              <w:rPr>
                <w:highlight w:val="lightGray"/>
              </w:rPr>
              <w:t>Kernel Density Estimators</w:t>
            </w:r>
          </w:p>
          <w:p>
            <w:pPr>
              <w:pStyle w:val="Normal"/>
              <w:numPr>
                <w:ilvl w:val="0"/>
                <w:numId w:val="2"/>
              </w:numPr>
              <w:rPr>
                <w:highlight w:val="lightGray"/>
              </w:rPr>
            </w:pPr>
            <w:r>
              <w:rPr>
                <w:highlight w:val="lightGray"/>
              </w:rPr>
              <w:t>Nearest Neighbors</w:t>
            </w:r>
          </w:p>
          <w:p>
            <w:pPr>
              <w:pStyle w:val="Normal"/>
              <w:numPr>
                <w:ilvl w:val="0"/>
                <w:numId w:val="2"/>
              </w:numPr>
              <w:rPr>
                <w:highlight w:val="lightGray"/>
              </w:rPr>
            </w:pPr>
            <w:r>
              <w:rPr>
                <w:highlight w:val="lightGray"/>
              </w:rPr>
              <w:t>Probabilistic Generative Laws</w:t>
            </w:r>
          </w:p>
          <w:p>
            <w:pPr>
              <w:pStyle w:val="Normal"/>
              <w:numPr>
                <w:ilvl w:val="0"/>
                <w:numId w:val="2"/>
              </w:numPr>
              <w:rPr>
                <w:highlight w:val="lightGray"/>
              </w:rPr>
            </w:pPr>
            <w:r>
              <w:rPr>
                <w:highlight w:val="lightGray"/>
              </w:rPr>
              <w:t>Belief Distributions</w:t>
            </w:r>
          </w:p>
          <w:p>
            <w:pPr>
              <w:pStyle w:val="Normal"/>
              <w:numPr>
                <w:ilvl w:val="0"/>
                <w:numId w:val="2"/>
              </w:numPr>
              <w:rPr>
                <w:highlight w:val="lightGray"/>
              </w:rPr>
            </w:pPr>
            <w:r>
              <w:rPr>
                <w:highlight w:val="lightGray"/>
              </w:rPr>
              <w:t>The Markov assumption</w:t>
            </w:r>
          </w:p>
          <w:p>
            <w:pPr>
              <w:pStyle w:val="Normal"/>
              <w:numPr>
                <w:ilvl w:val="0"/>
                <w:numId w:val="2"/>
              </w:numPr>
              <w:rPr>
                <w:highlight w:val="lightGray"/>
              </w:rPr>
            </w:pPr>
            <w:r>
              <w:rPr>
                <w:highlight w:val="lightGray"/>
              </w:rPr>
              <w:t>Gaussian filters: The discrete-time Kalman Filter, The Extended Kalman Filter, The Information Filter</w:t>
            </w:r>
          </w:p>
          <w:p>
            <w:pPr>
              <w:pStyle w:val="Normal"/>
              <w:numPr>
                <w:ilvl w:val="0"/>
                <w:numId w:val="2"/>
              </w:numPr>
              <w:rPr>
                <w:highlight w:val="lightGray"/>
              </w:rPr>
            </w:pPr>
            <w:r>
              <w:rPr>
                <w:highlight w:val="lightGray"/>
              </w:rPr>
              <w:t>properties of the Kalman filteringOne-Step Kalman filter equations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rFonts w:ascii="Arial" w:hAnsi="Arial" w:eastAsia="Arial" w:cs="Arial"/>
              </w:rPr>
            </w:pPr>
            <w:r>
              <w:rPr/>
              <w:t>Week 10 Learning Guide</w:t>
            </w:r>
          </w:p>
          <w:p>
            <w:pPr>
              <w:pStyle w:val="Normal"/>
              <w:numPr>
                <w:ilvl w:val="0"/>
                <w:numId w:val="4"/>
              </w:numPr>
              <w:rPr>
                <w:rFonts w:ascii="Arial" w:hAnsi="Arial" w:eastAsia="Arial" w:cs="Arial"/>
                <w:i/>
                <w:i/>
              </w:rPr>
            </w:pPr>
            <w:r>
              <w:rPr>
                <w:i/>
              </w:rPr>
              <w:t>[Identify each additional learning material; include page-range, video/audio length]</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bl>
    <w:p>
      <w:pPr>
        <w:pStyle w:val="Normal"/>
        <w:pBdr>
          <w:bottom w:val="single" w:sz="4" w:space="1" w:color="000000"/>
        </w:pBdr>
        <w:rPr>
          <w:rFonts w:ascii="Roboto" w:hAnsi="Roboto" w:eastAsia="Roboto" w:cs="Roboto"/>
          <w:sz w:val="22"/>
          <w:szCs w:val="22"/>
        </w:rPr>
      </w:pPr>
      <w:r>
        <w:rPr>
          <w:rFonts w:eastAsia="Roboto" w:cs="Roboto" w:ascii="Roboto" w:hAnsi="Roboto"/>
          <w:sz w:val="22"/>
          <w:szCs w:val="22"/>
        </w:rPr>
      </w:r>
    </w:p>
    <w:p>
      <w:pPr>
        <w:pStyle w:val="Heading3"/>
        <w:rPr>
          <w:rFonts w:ascii="Calibri" w:hAnsi="Calibri" w:eastAsia="Calibri" w:cs="Calibri"/>
        </w:rPr>
      </w:pPr>
      <w:bookmarkStart w:id="38" w:name="_tr4nbgkz4uno"/>
      <w:bookmarkStart w:id="39" w:name="kix.plcw6b2lpz92"/>
      <w:bookmarkEnd w:id="38"/>
      <w:bookmarkEnd w:id="39"/>
      <w:r>
        <w:rPr>
          <w:rFonts w:eastAsia="Calibri" w:cs="Calibri" w:ascii="Calibri" w:hAnsi="Calibri"/>
        </w:rPr>
        <w:t>III. Course Policies and Procedures</w:t>
      </w:r>
    </w:p>
    <w:p>
      <w:pPr>
        <w:pStyle w:val="Heading2"/>
        <w:tabs>
          <w:tab w:val="left" w:pos="720" w:leader="none"/>
        </w:tabs>
        <w:rPr/>
      </w:pPr>
      <w:bookmarkStart w:id="40" w:name="_ea9ljvb3qmh8"/>
      <w:bookmarkEnd w:id="40"/>
      <w:r>
        <w:rPr/>
        <w:t>Late Policies</w:t>
      </w:r>
    </w:p>
    <w:p>
      <w:pPr>
        <w:pStyle w:val="Normal"/>
        <w:tabs>
          <w:tab w:val="left" w:pos="77" w:leader="none"/>
        </w:tabs>
        <w:rPr/>
      </w:pPr>
      <w:r>
        <w:rPr>
          <w:b/>
        </w:rPr>
        <w:t>Late discussion posts</w:t>
      </w:r>
      <w:r>
        <w:rPr/>
        <w:t xml:space="preserve"> are strongly discouraged as the success of class discussion is dependent upon the active engagement of all participants in the course. Late policies related to discussion posts can be found in the Evaluation Criteria section above.</w:t>
      </w:r>
    </w:p>
    <w:p>
      <w:pPr>
        <w:pStyle w:val="Normal"/>
        <w:tabs>
          <w:tab w:val="left" w:pos="77" w:leader="none"/>
        </w:tabs>
        <w:rPr/>
      </w:pPr>
      <w:r>
        <w:rPr/>
      </w:r>
    </w:p>
    <w:p>
      <w:pPr>
        <w:pStyle w:val="Normal"/>
        <w:tabs>
          <w:tab w:val="left" w:pos="77" w:leader="none"/>
        </w:tabs>
        <w:rPr/>
      </w:pPr>
      <w:r>
        <w:rPr>
          <w:b/>
        </w:rPr>
        <w:t>For late assignments</w:t>
      </w:r>
      <w:r>
        <w:rPr/>
        <w:t>, points will be deducted according to the following scale:</w:t>
      </w:r>
    </w:p>
    <w:p>
      <w:pPr>
        <w:pStyle w:val="Normal"/>
        <w:tabs>
          <w:tab w:val="left" w:pos="77" w:leader="none"/>
        </w:tabs>
        <w:ind w:left="720" w:hanging="0"/>
        <w:rPr/>
      </w:pPr>
      <w:r>
        <w:rPr/>
        <w:t>1-2 days late</w:t>
        <w:tab/>
        <w:t>-5 points</w:t>
      </w:r>
    </w:p>
    <w:p>
      <w:pPr>
        <w:pStyle w:val="Normal"/>
        <w:tabs>
          <w:tab w:val="left" w:pos="77" w:leader="none"/>
        </w:tabs>
        <w:ind w:left="720" w:hanging="0"/>
        <w:rPr/>
      </w:pPr>
      <w:r>
        <w:rPr/>
        <w:t>3-4 days late</w:t>
        <w:tab/>
        <w:t>-10 points</w:t>
      </w:r>
    </w:p>
    <w:p>
      <w:pPr>
        <w:pStyle w:val="Normal"/>
        <w:tabs>
          <w:tab w:val="left" w:pos="77" w:leader="none"/>
        </w:tabs>
        <w:ind w:left="720" w:hanging="0"/>
        <w:rPr/>
      </w:pPr>
      <w:r>
        <w:rPr/>
        <w:t>5-6 days late</w:t>
        <w:tab/>
        <w:t>-15 points</w:t>
      </w:r>
    </w:p>
    <w:p>
      <w:pPr>
        <w:pStyle w:val="Normal"/>
        <w:tabs>
          <w:tab w:val="left" w:pos="77" w:leader="none"/>
        </w:tabs>
        <w:ind w:left="720" w:hanging="0"/>
        <w:rPr/>
      </w:pPr>
      <w:r>
        <w:rPr/>
        <w:t xml:space="preserve">7 or more days late - not accepted </w:t>
      </w:r>
    </w:p>
    <w:p>
      <w:pPr>
        <w:pStyle w:val="Normal"/>
        <w:tabs>
          <w:tab w:val="left" w:pos="77" w:leader="none"/>
        </w:tabs>
        <w:ind w:left="720" w:hanging="0"/>
        <w:rPr/>
      </w:pPr>
      <w:r>
        <w:rPr/>
        <w:t>*Late Final Projects cannot be accepted</w:t>
      </w:r>
    </w:p>
    <w:p>
      <w:pPr>
        <w:pStyle w:val="Normal"/>
        <w:tabs>
          <w:tab w:val="left" w:pos="77" w:leader="none"/>
        </w:tabs>
        <w:rPr/>
      </w:pPr>
      <w:r>
        <w:rPr/>
      </w:r>
    </w:p>
    <w:p>
      <w:pPr>
        <w:pStyle w:val="Normal"/>
        <w:tabs>
          <w:tab w:val="left" w:pos="77" w:leader="none"/>
        </w:tabs>
        <w:rPr/>
      </w:pPr>
      <w:r>
        <w:rPr/>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pPr>
        <w:pStyle w:val="Normal"/>
        <w:tabs>
          <w:tab w:val="left" w:pos="720" w:leader="none"/>
        </w:tabs>
        <w:rPr>
          <w:b/>
          <w:b/>
          <w:bCs/>
        </w:rPr>
      </w:pPr>
      <w:r>
        <w:rPr>
          <w:b/>
          <w:bCs/>
        </w:rPr>
      </w:r>
    </w:p>
    <w:p>
      <w:pPr>
        <w:pStyle w:val="Heading2"/>
        <w:tabs>
          <w:tab w:val="left" w:pos="720" w:leader="none"/>
        </w:tabs>
        <w:rPr>
          <w:b/>
          <w:b/>
          <w:bCs/>
        </w:rPr>
      </w:pPr>
      <w:bookmarkStart w:id="41" w:name="_s0p5z7qtz06t"/>
      <w:bookmarkEnd w:id="41"/>
      <w:r>
        <w:rPr>
          <w:b/>
          <w:bCs/>
        </w:rPr>
        <w:t>Grading Standards</w:t>
      </w:r>
    </w:p>
    <w:p>
      <w:pPr>
        <w:pStyle w:val="Normal"/>
        <w:numPr>
          <w:ilvl w:val="1"/>
          <w:numId w:val="3"/>
        </w:numPr>
        <w:rPr/>
      </w:pPr>
      <w:r>
        <w:rPr/>
        <w:t>Work expectations – Students are responsible to explore each week's materials and submit required work by their due dates.  On average, a student can expect to spend approximately 5-6 hours per week reading and approximately 3-4 hours per week completing assignments and posting to discussions.</w:t>
      </w:r>
    </w:p>
    <w:p>
      <w:pPr>
        <w:pStyle w:val="Normal"/>
        <w:numPr>
          <w:ilvl w:val="1"/>
          <w:numId w:val="3"/>
        </w:numPr>
        <w:rPr/>
      </w:pPr>
      <w:r>
        <w:rPr/>
        <w:t>How points and percentages equate to grades</w:t>
      </w:r>
    </w:p>
    <w:p>
      <w:pPr>
        <w:pStyle w:val="Normal"/>
        <w:rPr/>
      </w:pPr>
      <w:r>
        <w:rPr/>
      </w:r>
    </w:p>
    <w:p>
      <w:pPr>
        <w:pStyle w:val="Normal"/>
        <w:ind w:left="2160" w:hanging="0"/>
        <w:rPr/>
      </w:pPr>
      <w:r>
        <w:rPr/>
      </w:r>
    </w:p>
    <w:tbl>
      <w:tblPr>
        <w:tblW w:w="5025" w:type="dxa"/>
        <w:jc w:val="left"/>
        <w:tblInd w:w="118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353"/>
        <w:gridCol w:w="877"/>
        <w:gridCol w:w="617"/>
        <w:gridCol w:w="1286"/>
        <w:gridCol w:w="892"/>
      </w:tblGrid>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100-94</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76-73</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93-90</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72-70</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89-87</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69-67</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86-83</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66-63</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82-80</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62-60</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79-77</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C+</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59 or &lt;</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F</w:t>
            </w:r>
          </w:p>
        </w:tc>
      </w:tr>
    </w:tbl>
    <w:p>
      <w:pPr>
        <w:pStyle w:val="Normal"/>
        <w:rPr/>
      </w:pPr>
      <w:r>
        <w:rPr/>
      </w:r>
    </w:p>
    <w:p>
      <w:pPr>
        <w:pStyle w:val="Heading2"/>
        <w:tabs>
          <w:tab w:val="left" w:pos="720" w:leader="none"/>
        </w:tabs>
        <w:rPr>
          <w:b/>
          <w:b/>
          <w:bCs/>
        </w:rPr>
      </w:pPr>
      <w:bookmarkStart w:id="42" w:name="_f4uiopbts0es"/>
      <w:bookmarkEnd w:id="42"/>
      <w:r>
        <w:rPr>
          <w:b/>
          <w:bCs/>
        </w:rPr>
        <w:t>Feedback</w:t>
      </w:r>
    </w:p>
    <w:p>
      <w:pPr>
        <w:pStyle w:val="Normal"/>
        <w:tabs>
          <w:tab w:val="left" w:pos="720" w:leader="none"/>
        </w:tabs>
        <w:rPr/>
      </w:pPr>
      <w:r>
        <w:rP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pPr>
        <w:pStyle w:val="Normal"/>
        <w:rPr/>
      </w:pPr>
      <w:r>
        <w:rPr/>
        <w:t> </w:t>
      </w:r>
    </w:p>
    <w:p>
      <w:pPr>
        <w:pStyle w:val="Normal"/>
        <w:rPr/>
      </w:pPr>
      <w:r>
        <w:rPr/>
        <w:t>If you have questions about assignments, the most reliable private way to reach me is via the One on One Discussion forum.  If your question will help the entire class, I may take the liberty of answering it via the Questions and Answers forum.</w:t>
      </w:r>
    </w:p>
    <w:p>
      <w:pPr>
        <w:pStyle w:val="Normal"/>
        <w:rPr/>
      </w:pPr>
      <w:r>
        <w:rPr/>
        <w:t> </w:t>
      </w:r>
    </w:p>
    <w:p>
      <w:pPr>
        <w:pStyle w:val="Normal"/>
        <w:tabs>
          <w:tab w:val="left" w:pos="720" w:leader="none"/>
        </w:tabs>
        <w:rPr/>
      </w:pPr>
      <w:r>
        <w:rPr/>
        <w:t>If you send me a message at my Brandeis email address, I normally respond within 24 hours of receiving it.  However, email may be delayed several days.</w:t>
      </w:r>
    </w:p>
    <w:p>
      <w:pPr>
        <w:pStyle w:val="Normal"/>
        <w:tabs>
          <w:tab w:val="left" w:pos="720" w:leader="none"/>
        </w:tabs>
        <w:rPr/>
      </w:pPr>
      <w:r>
        <w:rPr/>
      </w:r>
    </w:p>
    <w:p>
      <w:pPr>
        <w:pStyle w:val="Heading2"/>
        <w:tabs>
          <w:tab w:val="left" w:pos="720" w:leader="none"/>
        </w:tabs>
        <w:rPr>
          <w:b/>
          <w:b/>
          <w:bCs/>
        </w:rPr>
      </w:pPr>
      <w:bookmarkStart w:id="43" w:name="_dnc8py4eu75x"/>
      <w:bookmarkEnd w:id="43"/>
      <w:r>
        <w:rPr>
          <w:b/>
          <w:bCs/>
        </w:rPr>
        <w:t>Confidentiality</w:t>
      </w:r>
    </w:p>
    <w:p>
      <w:pPr>
        <w:pStyle w:val="Normal"/>
        <w:numPr>
          <w:ilvl w:val="1"/>
          <w:numId w:val="3"/>
        </w:numPr>
        <w:rPr/>
      </w:pPr>
      <w:r>
        <w:rPr/>
        <w:t>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particular organizations) stays within the confines of the classroom.</w:t>
      </w:r>
    </w:p>
    <w:p>
      <w:pPr>
        <w:pStyle w:val="Normal"/>
        <w:numPr>
          <w:ilvl w:val="1"/>
          <w:numId w:val="3"/>
        </w:numPr>
        <w:rPr/>
      </w:pPr>
      <w:r>
        <w:rPr/>
        <w:t>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that individuals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pPr>
        <w:pStyle w:val="Normal"/>
        <w:tabs>
          <w:tab w:val="left" w:pos="720" w:leader="none"/>
        </w:tabs>
        <w:rPr/>
      </w:pPr>
      <w:r>
        <w:rPr/>
      </w:r>
    </w:p>
    <w:p>
      <w:pPr>
        <w:pStyle w:val="Heading2"/>
        <w:tabs>
          <w:tab w:val="left" w:pos="720" w:leader="none"/>
        </w:tabs>
        <w:ind w:hanging="360"/>
        <w:rPr>
          <w:b/>
          <w:b/>
          <w:bCs/>
        </w:rPr>
      </w:pPr>
      <w:bookmarkStart w:id="44" w:name="_i6vbsytksn1g"/>
      <w:bookmarkEnd w:id="44"/>
      <w:r>
        <w:rPr>
          <w:b/>
          <w:bCs/>
        </w:rPr>
        <w:t>Time Management</w:t>
      </w:r>
    </w:p>
    <w:p>
      <w:pPr>
        <w:pStyle w:val="Normal"/>
        <w:rPr/>
      </w:pPr>
      <w:r>
        <w:rPr/>
        <w:t>Students sometimes run into problems related to managing their time, especially in distance learning courses.  I hope these ideas will help you to succeed in the class:</w:t>
      </w:r>
    </w:p>
    <w:p>
      <w:pPr>
        <w:pStyle w:val="Normal"/>
        <w:rPr/>
      </w:pPr>
      <w:r>
        <w:rPr/>
      </w:r>
    </w:p>
    <w:p>
      <w:pPr>
        <w:pStyle w:val="Normal"/>
        <w:numPr>
          <w:ilvl w:val="0"/>
          <w:numId w:val="7"/>
        </w:numPr>
        <w:rPr/>
      </w:pPr>
      <w:r>
        <w:rPr/>
        <w:t>If you are employed full-time, do not take more than two courses at a time.  I have never yet met a student who could successfully manage this, especially toward the end of the term as finals and projects come due.</w:t>
      </w:r>
    </w:p>
    <w:p>
      <w:pPr>
        <w:pStyle w:val="Normal"/>
        <w:numPr>
          <w:ilvl w:val="0"/>
          <w:numId w:val="7"/>
        </w:numPr>
        <w:rPr/>
      </w:pPr>
      <w:r>
        <w:rPr/>
        <w:t>Keep up with the course week-to-week.  Don’t let yourself fall behind on readings, discussion posts, etc.  Brandeis courses are not self-paced, and they depend on the collaboration of everyone.  Participating late, or “trying to get ahead” is very disruptive.</w:t>
      </w:r>
    </w:p>
    <w:p>
      <w:pPr>
        <w:pStyle w:val="Normal"/>
        <w:numPr>
          <w:ilvl w:val="0"/>
          <w:numId w:val="7"/>
        </w:numPr>
        <w:rPr/>
      </w:pPr>
      <w:r>
        <w:rPr/>
        <w:t>Take a look at course assignments early in the week and consider how you will approach the solutions.  Ask questions early, so I have time to answer them.  Don’t wait until Tuesday night to begin work.</w:t>
      </w:r>
    </w:p>
    <w:p>
      <w:pPr>
        <w:pStyle w:val="Normal"/>
        <w:numPr>
          <w:ilvl w:val="0"/>
          <w:numId w:val="7"/>
        </w:numPr>
        <w:rPr/>
      </w:pPr>
      <w:r>
        <w:rPr/>
        <w:t>If you are planning a vacation, plan to continue participating in the class.  Thanks to LATTE, you can post discussions and submit homework from virtually anywhere in the world.  I will not be able to accept homework late because of a scheduled vacation.</w:t>
      </w:r>
    </w:p>
    <w:p>
      <w:pPr>
        <w:pStyle w:val="Normal"/>
        <w:numPr>
          <w:ilvl w:val="0"/>
          <w:numId w:val="7"/>
        </w:numPr>
        <w:rPr/>
      </w:pPr>
      <w:r>
        <w:rPr/>
        <w:t>If you do find yourself short of time, remember that discussion posts count for 30% of your grade.  Do not forgo discussions, because it’s impossible to complete the course successfully without them.</w:t>
      </w:r>
    </w:p>
    <w:p>
      <w:pPr>
        <w:pStyle w:val="Normal"/>
        <w:numPr>
          <w:ilvl w:val="0"/>
          <w:numId w:val="7"/>
        </w:numPr>
        <w:tabs>
          <w:tab w:val="left" w:pos="720" w:leader="none"/>
        </w:tabs>
        <w:rPr/>
      </w:pPr>
      <w:r>
        <w:rPr/>
        <w:t xml:space="preserve"> </w:t>
      </w:r>
      <w:r>
        <w:rPr/>
        <w:tab/>
        <w:t>If you experience a serious situation, such as a severe illness, contact me as soon as you can, or contact the GPS office.</w:t>
      </w:r>
    </w:p>
    <w:p>
      <w:pPr>
        <w:pStyle w:val="Normal"/>
        <w:tabs>
          <w:tab w:val="left" w:pos="720" w:leader="none"/>
        </w:tabs>
        <w:rPr/>
      </w:pPr>
      <w:r>
        <w:rPr/>
      </w:r>
    </w:p>
    <w:p>
      <w:pPr>
        <w:pStyle w:val="Heading2"/>
        <w:tabs>
          <w:tab w:val="left" w:pos="720" w:leader="none"/>
        </w:tabs>
        <w:rPr>
          <w:b/>
          <w:b/>
          <w:bCs/>
        </w:rPr>
      </w:pPr>
      <w:bookmarkStart w:id="45" w:name="_4vlnnb751m3f"/>
      <w:bookmarkEnd w:id="45"/>
      <w:r>
        <w:rPr>
          <w:b/>
          <w:bCs/>
        </w:rPr>
        <w:t>Find out where to get help.</w:t>
      </w:r>
    </w:p>
    <w:p>
      <w:pPr>
        <w:pStyle w:val="Normal"/>
        <w:spacing w:before="240" w:after="240"/>
        <w:rPr/>
      </w:pPr>
      <w:r>
        <w:rPr>
          <w:color w:val="373A3C"/>
        </w:rPr>
        <w:t xml:space="preserve">For questions or problems with your LATTE course, contact the </w:t>
      </w:r>
      <w:hyperlink r:id="rId3">
        <w:r>
          <w:rPr>
            <w:rStyle w:val="ListLabel50"/>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4">
        <w:r>
          <w:rPr>
            <w:rStyle w:val="ListLabel50"/>
          </w:rPr>
          <w:t>OneSearch</w:t>
        </w:r>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5">
        <w:r>
          <w:rPr>
            <w:rStyle w:val="ListLabel50"/>
          </w:rPr>
          <w:t>Find Your Librarian</w:t>
        </w:r>
      </w:hyperlink>
    </w:p>
    <w:p>
      <w:pPr>
        <w:pStyle w:val="Heading3"/>
        <w:tabs>
          <w:tab w:val="left" w:pos="720" w:leader="none"/>
        </w:tabs>
        <w:rPr/>
      </w:pPr>
      <w:bookmarkStart w:id="46" w:name="_ycffatbi20fp"/>
      <w:bookmarkEnd w:id="46"/>
      <w:r>
        <w:rPr/>
        <w:t>IV. University and Division of Graduate Professional Studies Standards</w:t>
      </w:r>
    </w:p>
    <w:p>
      <w:pPr>
        <w:pStyle w:val="Normal"/>
        <w:tabs>
          <w:tab w:val="left" w:pos="720" w:leader="none"/>
        </w:tabs>
        <w:spacing w:before="280" w:after="120"/>
        <w:rPr/>
      </w:pPr>
      <w:r>
        <w:rPr/>
        <w:t>Please review the policies and procedures of Graduate Professional Studies, found at http://www.brandeis.edu/gps/students/studentresources/policiesprocedures/index.html.  We would like to highlight the following.</w:t>
      </w:r>
    </w:p>
    <w:p>
      <w:pPr>
        <w:pStyle w:val="Heading2"/>
        <w:shd w:val="clear" w:color="auto" w:fill="FFFFFF"/>
        <w:spacing w:before="0" w:after="240"/>
        <w:rPr>
          <w:color w:val="373A3C"/>
          <w:sz w:val="23"/>
          <w:szCs w:val="23"/>
        </w:rPr>
      </w:pPr>
      <w:bookmarkStart w:id="47" w:name="_n8vubd824w33"/>
      <w:bookmarkEnd w:id="47"/>
      <w:r>
        <w:rPr/>
        <w:t>Student Accessibility Support</w:t>
      </w:r>
    </w:p>
    <w:p>
      <w:pPr>
        <w:pStyle w:val="Normal"/>
        <w:shd w:val="clear" w:color="auto" w:fill="FFFFFF"/>
        <w:spacing w:before="320" w:after="0"/>
        <w:ind w:right="-660" w:hanging="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pPr>
        <w:pStyle w:val="Normal"/>
        <w:shd w:val="clear" w:color="auto" w:fill="FFFFFF"/>
        <w:spacing w:before="320" w:after="0"/>
        <w:ind w:right="-660" w:hanging="0"/>
        <w:rPr>
          <w:color w:val="373A3C"/>
        </w:rPr>
      </w:pPr>
      <w:r>
        <w:rPr>
          <w:color w:val="373A3C"/>
        </w:rPr>
        <w:t xml:space="preserve">Disclosing a disability and requesting accommodations are personal decisions. Brandeis does not require you to disclose the existence of a disability, but requesting accommodations does require that you disclose your disability. Be sure to contact Student Accessibility Support (SAS) as soon as possible to ensure all your accommodations are delivered in a timely manner. </w:t>
      </w:r>
    </w:p>
    <w:p>
      <w:pPr>
        <w:pStyle w:val="Normal"/>
        <w:shd w:val="clear" w:color="auto" w:fill="FFFFFF"/>
        <w:spacing w:before="320" w:after="0"/>
        <w:ind w:right="-660" w:hanging="0"/>
        <w:rPr/>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6">
        <w:r>
          <w:rPr>
            <w:rStyle w:val="ListLabel51"/>
          </w:rPr>
          <w:t>jaspreet26@brandeis.edu</w:t>
        </w:r>
      </w:hyperlink>
      <w:r>
        <w:rPr>
          <w:color w:val="373A3C"/>
        </w:rPr>
        <w:t>.</w:t>
      </w:r>
    </w:p>
    <w:p>
      <w:pPr>
        <w:pStyle w:val="Heading2"/>
        <w:tabs>
          <w:tab w:val="left" w:pos="720" w:leader="none"/>
        </w:tabs>
        <w:rPr/>
      </w:pPr>
      <w:r>
        <w:rPr/>
      </w:r>
      <w:bookmarkStart w:id="48" w:name="_nzr4hydfhi44"/>
      <w:bookmarkStart w:id="49" w:name="_nzr4hydfhi44"/>
      <w:bookmarkEnd w:id="49"/>
    </w:p>
    <w:p>
      <w:pPr>
        <w:pStyle w:val="Heading2"/>
        <w:tabs>
          <w:tab w:val="left" w:pos="720" w:leader="none"/>
        </w:tabs>
        <w:rPr/>
      </w:pPr>
      <w:bookmarkStart w:id="50" w:name="_z7jh3m3exwyo"/>
      <w:bookmarkEnd w:id="50"/>
      <w:r>
        <w:rPr/>
        <w:t>Academic Honesty and Student Integrity</w:t>
      </w:r>
    </w:p>
    <w:p>
      <w:pPr>
        <w:pStyle w:val="Normal"/>
        <w:tabs>
          <w:tab w:val="left" w:pos="720" w:leader="none"/>
        </w:tabs>
        <w:spacing w:before="280" w:after="120"/>
        <w:rPr/>
      </w:pPr>
      <w:r>
        <w:rPr/>
        <w:t xml:space="preserve">Academic honesty and student integrity are of fundamental importance at Brandeis University and we want students to understand this clearly at the start of the term.  As stated in the Brandeis Rights and Responsibilities handbook, “Every member of the University Community is expected to maintain the highest standards of academic 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In particular, students must be aware that material (including ideas, phrases, sentences, etc.) taken from the Internet and other sources MUST be appropriately cited if quoted, and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br/>
        <w:br/>
        <w:t>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citation or false data) should consult either the course instructor or other staff of the Rabb School Graduate Professional Studies.</w:t>
      </w:r>
    </w:p>
    <w:p>
      <w:pPr>
        <w:pStyle w:val="Heading2"/>
        <w:tabs>
          <w:tab w:val="left" w:pos="720" w:leader="none"/>
        </w:tabs>
        <w:rPr/>
      </w:pPr>
      <w:bookmarkStart w:id="51" w:name="_ch2jmx5wvyf2"/>
      <w:bookmarkEnd w:id="51"/>
      <w:r>
        <w:rPr/>
        <w:t>University Caveat</w:t>
      </w:r>
    </w:p>
    <w:p>
      <w:pPr>
        <w:pStyle w:val="Normal"/>
        <w:tabs>
          <w:tab w:val="left" w:pos="720" w:leader="none"/>
        </w:tabs>
        <w:spacing w:before="280" w:after="120"/>
        <w:rPr/>
      </w:pPr>
      <w:r>
        <w:rPr/>
        <w:t xml:space="preserve">The above schedule, content, and procedures in this course are subject to change in the event of extenuating circumstances.  If you have questions or concerns about course content before the start of the course, please contact the instructor. </w:t>
      </w:r>
    </w:p>
    <w:sectPr>
      <w:headerReference w:type="default" r:id="rId7"/>
      <w:headerReference w:type="first" r:id="rId8"/>
      <w:footerReference w:type="default" r:id="rId9"/>
      <w:footerReference w:type="first" r:id="rId10"/>
      <w:type w:val="nextPage"/>
      <w:pgSz w:w="12240" w:h="15840"/>
      <w:pgMar w:left="1440" w:right="1440" w:header="360" w:top="108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Ubuntu">
    <w:charset w:val="01"/>
    <w:family w:val="roman"/>
    <w:pitch w:val="variable"/>
  </w:font>
  <w:font w:name="Roboto">
    <w:charset w:val="01"/>
    <w:family w:val="roman"/>
    <w:pitch w:val="variable"/>
  </w:font>
  <w:font w:name="Symbol">
    <w:charset w:val="02"/>
    <w:family w:val="auto"/>
    <w:pitch w:val="default"/>
  </w:font>
  <w:font w:name="Arial">
    <w:charset w:val="01"/>
    <w:family w:val="swiss"/>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980" w:leader="none"/>
        <w:tab w:val="left" w:pos="3960" w:leader="none"/>
        <w:tab w:val="left" w:pos="5940" w:leader="none"/>
        <w:tab w:val="left" w:pos="82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anchor behindDoc="1" distT="114300" distB="114300" distL="114300" distR="114300" simplePos="0" locked="0" layoutInCell="1" allowOverlap="1" relativeHeight="2">
          <wp:simplePos x="0" y="0"/>
          <wp:positionH relativeFrom="column">
            <wp:posOffset>-352425</wp:posOffset>
          </wp:positionH>
          <wp:positionV relativeFrom="paragraph">
            <wp:posOffset>104775</wp:posOffset>
          </wp:positionV>
          <wp:extent cx="2828925" cy="40513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 w:hanging="432"/>
      </w:pPr>
      <w:rPr>
        <w:rFonts w:ascii="Symbol" w:hAnsi="Symbol" w:cs="Symbol" w:hint="default"/>
        <w:rFonts w:cs="Symbol"/>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Arial" w:hAnsi="Arial" w:cs="Arial" w:hint="default"/>
        <w:sz w:val="24"/>
        <w:szCs w:val="20"/>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Arial" w:hAnsi="Arial" w:cs="Arial" w:hint="default"/>
        <w:sz w:val="20"/>
        <w:szCs w:val="20"/>
        <w:rFonts w:cs="Arial"/>
      </w:rPr>
    </w:lvl>
    <w:lvl w:ilvl="1">
      <w:start w:val="1"/>
      <w:numFmt w:val="bullet"/>
      <w:lvlText w:val="●"/>
      <w:lvlJc w:val="left"/>
      <w:pPr>
        <w:ind w:left="720" w:hanging="360"/>
      </w:pPr>
      <w:rPr>
        <w:rFonts w:ascii="Arial" w:hAnsi="Arial" w:cs="Arial" w:hint="default"/>
        <w:sz w:val="20"/>
        <w:szCs w:val="20"/>
        <w:rFonts w:cs="Arial"/>
      </w:rPr>
    </w:lvl>
    <w:lvl w:ilvl="2">
      <w:start w:val="1"/>
      <w:numFmt w:val="bullet"/>
      <w:lvlText w:val="●"/>
      <w:lvlJc w:val="left"/>
      <w:pPr>
        <w:ind w:left="2160" w:hanging="360"/>
      </w:pPr>
      <w:rPr>
        <w:rFonts w:ascii="Arial" w:hAnsi="Arial" w:cs="Arial" w:hint="default"/>
        <w:sz w:val="20"/>
        <w:szCs w:val="20"/>
        <w:rFonts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900" w:hanging="360"/>
      </w:pPr>
      <w:rPr>
        <w:rFonts w:ascii="Arial" w:hAnsi="Arial" w:cs="Arial" w:hint="default"/>
        <w:rFonts w:cs="Arial"/>
      </w:rPr>
    </w:lvl>
    <w:lvl w:ilvl="1">
      <w:start w:val="1"/>
      <w:numFmt w:val="bullet"/>
      <w:lvlText w:val=""/>
      <w:lvlJc w:val="left"/>
      <w:pPr>
        <w:ind w:left="0" w:hanging="0"/>
      </w:pPr>
      <w:rPr>
        <w:rFonts w:ascii="Wingdings 2" w:hAnsi="Wingdings 2" w:cs="Wingdings 2" w:hint="default"/>
        <w:rFonts w:cs="Wingdings 2"/>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Wingdings" w:hAnsi="Wingdings" w:cs="Wingdings" w:hint="default"/>
        <w:rFonts w:cs="Wingdings"/>
      </w:rPr>
    </w:lvl>
    <w:lvl w:ilvl="4">
      <w:start w:val="1"/>
      <w:numFmt w:val="bullet"/>
      <w:lvlText w:val=""/>
      <w:lvlJc w:val="left"/>
      <w:pPr>
        <w:ind w:left="0" w:hanging="0"/>
      </w:pPr>
      <w:rPr>
        <w:rFonts w:ascii="Wingdings 2" w:hAnsi="Wingdings 2" w:cs="Wingdings 2" w:hint="default"/>
        <w:rFonts w:cs="Wingdings 2"/>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Wingdings" w:hAnsi="Wingdings" w:cs="Wingdings" w:hint="default"/>
        <w:rFonts w:cs="Wingdings"/>
      </w:rPr>
    </w:lvl>
    <w:lvl w:ilvl="7">
      <w:start w:val="1"/>
      <w:numFmt w:val="bullet"/>
      <w:lvlText w:val=""/>
      <w:lvlJc w:val="left"/>
      <w:pPr>
        <w:ind w:left="0" w:hanging="0"/>
      </w:pPr>
      <w:rPr>
        <w:rFonts w:ascii="Wingdings 2" w:hAnsi="Wingdings 2" w:cs="Wingdings 2" w:hint="default"/>
        <w:rFonts w:cs="Wingdings 2"/>
      </w:rPr>
    </w:lvl>
    <w:lvl w:ilvl="8">
      <w:start w:val="1"/>
      <w:numFmt w:val="bullet"/>
      <w:lvlText w:val="■"/>
      <w:lvlJc w:val="left"/>
      <w:pPr>
        <w:ind w:left="0" w:hanging="0"/>
      </w:pPr>
      <w:rPr>
        <w:rFonts w:ascii="OpenSymbol" w:hAnsi="OpenSymbol" w:cs="OpenSymbol" w:hint="default"/>
        <w:rFonts w:cs="OpenSymbol"/>
      </w:rPr>
    </w:lvl>
  </w:abstractNum>
  <w:abstractNum w:abstractNumId="8">
    <w:lvl w:ilvl="0">
      <w:start w:val="1"/>
      <w:numFmt w:val="bullet"/>
      <w:lvlText w:val="o"/>
      <w:lvlJc w:val="left"/>
      <w:pPr>
        <w:ind w:left="1035" w:hanging="360"/>
      </w:pPr>
      <w:rPr>
        <w:rFonts w:ascii="Courier New" w:hAnsi="Courier New" w:cs="Courier New" w:hint="default"/>
        <w:sz w:val="20"/>
        <w:rFonts w:cs="Courier New"/>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2475" w:hanging="360"/>
      </w:pPr>
      <w:rPr>
        <w:rFonts w:ascii="Wingdings" w:hAnsi="Wingdings" w:cs="Wingdings" w:hint="default"/>
        <w:rFonts w:cs="Wingdings"/>
      </w:rPr>
    </w:lvl>
    <w:lvl w:ilvl="3">
      <w:start w:val="1"/>
      <w:numFmt w:val="bullet"/>
      <w:lvlText w:val=""/>
      <w:lvlJc w:val="left"/>
      <w:pPr>
        <w:ind w:left="3195" w:hanging="360"/>
      </w:pPr>
      <w:rPr>
        <w:rFonts w:ascii="Symbol" w:hAnsi="Symbol" w:cs="Symbol" w:hint="default"/>
        <w:rFonts w:cs="Symbol"/>
      </w:rPr>
    </w:lvl>
    <w:lvl w:ilvl="4">
      <w:start w:val="1"/>
      <w:numFmt w:val="bullet"/>
      <w:lvlText w:val="o"/>
      <w:lvlJc w:val="left"/>
      <w:pPr>
        <w:ind w:left="3915" w:hanging="360"/>
      </w:pPr>
      <w:rPr>
        <w:rFonts w:ascii="Courier New" w:hAnsi="Courier New" w:cs="Courier New" w:hint="default"/>
        <w:rFonts w:cs="Courier New"/>
      </w:rPr>
    </w:lvl>
    <w:lvl w:ilvl="5">
      <w:start w:val="1"/>
      <w:numFmt w:val="bullet"/>
      <w:lvlText w:val=""/>
      <w:lvlJc w:val="left"/>
      <w:pPr>
        <w:ind w:left="4635" w:hanging="360"/>
      </w:pPr>
      <w:rPr>
        <w:rFonts w:ascii="Wingdings" w:hAnsi="Wingdings" w:cs="Wingdings" w:hint="default"/>
        <w:rFonts w:cs="Wingdings"/>
      </w:rPr>
    </w:lvl>
    <w:lvl w:ilvl="6">
      <w:start w:val="1"/>
      <w:numFmt w:val="bullet"/>
      <w:lvlText w:val=""/>
      <w:lvlJc w:val="left"/>
      <w:pPr>
        <w:ind w:left="5355" w:hanging="360"/>
      </w:pPr>
      <w:rPr>
        <w:rFonts w:ascii="Symbol" w:hAnsi="Symbol" w:cs="Symbol" w:hint="default"/>
        <w:rFonts w:cs="Symbol"/>
      </w:rPr>
    </w:lvl>
    <w:lvl w:ilvl="7">
      <w:start w:val="1"/>
      <w:numFmt w:val="bullet"/>
      <w:lvlText w:val="o"/>
      <w:lvlJc w:val="left"/>
      <w:pPr>
        <w:ind w:left="6075" w:hanging="360"/>
      </w:pPr>
      <w:rPr>
        <w:rFonts w:ascii="Courier New" w:hAnsi="Courier New" w:cs="Courier New" w:hint="default"/>
        <w:rFonts w:cs="Courier New"/>
      </w:rPr>
    </w:lvl>
    <w:lvl w:ilvl="8">
      <w:start w:val="1"/>
      <w:numFmt w:val="bullet"/>
      <w:lvlText w:val=""/>
      <w:lvlJc w:val="left"/>
      <w:pPr>
        <w:ind w:left="6795"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6"/>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uiPriority w:val="9"/>
    <w:qFormat/>
    <w:pPr>
      <w:keepNext w:val="true"/>
      <w:keepLines/>
      <w:tabs>
        <w:tab w:val="left" w:pos="720" w:leader="none"/>
      </w:tabs>
      <w:spacing w:before="280" w:after="120"/>
      <w:outlineLvl w:val="0"/>
    </w:pPr>
    <w:rPr>
      <w:sz w:val="36"/>
      <w:szCs w:val="36"/>
    </w:rPr>
  </w:style>
  <w:style w:type="paragraph" w:styleId="Heading2">
    <w:name w:val="Heading 2"/>
    <w:basedOn w:val="Normal"/>
    <w:next w:val="Normal"/>
    <w:uiPriority w:val="9"/>
    <w:unhideWhenUsed/>
    <w:qFormat/>
    <w:pPr>
      <w:keepNext w:val="true"/>
      <w:keepLines/>
      <w:outlineLvl w:val="1"/>
    </w:pPr>
    <w:rPr>
      <w:sz w:val="24"/>
      <w:szCs w:val="24"/>
    </w:rPr>
  </w:style>
  <w:style w:type="paragraph" w:styleId="Heading3">
    <w:name w:val="Heading 3"/>
    <w:basedOn w:val="Normal"/>
    <w:next w:val="Normal"/>
    <w:uiPriority w:val="9"/>
    <w:unhideWhenUsed/>
    <w:qFormat/>
    <w:pPr>
      <w:keepNext w:val="true"/>
      <w:keepLines/>
      <w:spacing w:before="280" w:after="120"/>
      <w:outlineLvl w:val="2"/>
    </w:pPr>
    <w:rPr>
      <w:rFonts w:ascii="Arial" w:hAnsi="Arial" w:eastAsia="Arial" w:cs="Arial"/>
      <w:color w:val="073763"/>
      <w:sz w:val="28"/>
      <w:szCs w:val="28"/>
    </w:rPr>
  </w:style>
  <w:style w:type="paragraph" w:styleId="Heading4">
    <w:name w:val="Heading 4"/>
    <w:basedOn w:val="Normal"/>
    <w:next w:val="Normal"/>
    <w:uiPriority w:val="9"/>
    <w:unhideWhenUsed/>
    <w:qFormat/>
    <w:pPr>
      <w:keepNext w:val="true"/>
      <w:keepLines/>
      <w:tabs>
        <w:tab w:val="left" w:pos="720" w:leader="none"/>
      </w:tabs>
      <w:outlineLvl w:val="3"/>
    </w:pPr>
    <w:rPr>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94b78"/>
    <w:rPr>
      <w:color w:val="808080"/>
    </w:rPr>
  </w:style>
  <w:style w:type="character" w:styleId="InternetLink" w:customStyle="1">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fill="E1DFDD" w:val="clear"/>
    </w:rPr>
  </w:style>
  <w:style w:type="character" w:styleId="ListLabel1" w:customStyle="1">
    <w:name w:val="ListLabel 1"/>
    <w:qFormat/>
    <w:rPr>
      <w:rFonts w:eastAsia="Arial" w:cs="Arial"/>
      <w:sz w:val="20"/>
      <w:szCs w:val="20"/>
    </w:rPr>
  </w:style>
  <w:style w:type="character" w:styleId="ListLabel2" w:customStyle="1">
    <w:name w:val="ListLabel 2"/>
    <w:qFormat/>
    <w:rPr>
      <w:rFonts w:eastAsia="Arial" w:cs="Arial"/>
      <w:sz w:val="20"/>
      <w:szCs w:val="20"/>
    </w:rPr>
  </w:style>
  <w:style w:type="character" w:styleId="ListLabel3" w:customStyle="1">
    <w:name w:val="ListLabel 3"/>
    <w:qFormat/>
    <w:rPr>
      <w:rFonts w:eastAsia="Arial" w:cs="Arial"/>
      <w:sz w:val="20"/>
      <w:szCs w:val="20"/>
    </w:rPr>
  </w:style>
  <w:style w:type="character" w:styleId="ListLabel4" w:customStyle="1">
    <w:name w:val="ListLabel 4"/>
    <w:qFormat/>
    <w:rPr>
      <w:rFonts w:eastAsia="Arial" w:cs="Arial"/>
      <w:sz w:val="20"/>
      <w:szCs w:val="20"/>
    </w:rPr>
  </w:style>
  <w:style w:type="character" w:styleId="ListLabel5" w:customStyle="1">
    <w:name w:val="ListLabel 5"/>
    <w:qFormat/>
    <w:rPr>
      <w:rFonts w:ascii="Arial" w:hAnsi="Arial"/>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rFonts w:eastAsia="Arial" w:cs="Arial"/>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sz w:val="20"/>
    </w:rPr>
  </w:style>
  <w:style w:type="character" w:styleId="ListLabel37" w:customStyle="1">
    <w:name w:val="ListLabel 37"/>
    <w:qFormat/>
    <w:rPr>
      <w:rFonts w:cs="Courier New"/>
      <w:sz w:val="20"/>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sz w:val="20"/>
      <w:szCs w:val="20"/>
    </w:rPr>
  </w:style>
  <w:style w:type="character" w:styleId="ListLabel50" w:customStyle="1">
    <w:name w:val="ListLabel 50"/>
    <w:qFormat/>
    <w:rPr>
      <w:b/>
      <w:color w:val="073763"/>
      <w:u w:val="single"/>
    </w:rPr>
  </w:style>
  <w:style w:type="character" w:styleId="ListLabel51" w:customStyle="1">
    <w:name w:val="ListLabel 51"/>
    <w:qFormat/>
    <w:rPr>
      <w:color w:val="1155CC"/>
      <w:u w:val="single"/>
    </w:rPr>
  </w:style>
  <w:style w:type="character" w:styleId="Bullets" w:customStyle="1">
    <w:name w:val="Bullets"/>
    <w:qFormat/>
    <w:rPr>
      <w:rFonts w:ascii="OpenSymbol" w:hAnsi="OpenSymbol" w:eastAsia="OpenSymbol" w:cs="OpenSymbol"/>
    </w:rPr>
  </w:style>
  <w:style w:type="character" w:styleId="ListLabel52">
    <w:name w:val="ListLabel 52"/>
    <w:qFormat/>
    <w:rPr>
      <w:rFonts w:cs="Symbol"/>
    </w:rPr>
  </w:style>
  <w:style w:type="character" w:styleId="ListLabel53">
    <w:name w:val="ListLabel 53"/>
    <w:qFormat/>
    <w:rPr>
      <w:rFonts w:ascii="Calibri;sans-serif" w:hAnsi="Calibri;sans-serif" w:cs="Arial"/>
      <w:sz w:val="24"/>
      <w:szCs w:val="2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Arial"/>
      <w:sz w:val="20"/>
      <w:szCs w:val="20"/>
    </w:rPr>
  </w:style>
  <w:style w:type="character" w:styleId="ListLabel63">
    <w:name w:val="ListLabel 63"/>
    <w:qFormat/>
    <w:rPr>
      <w:rFonts w:cs="Arial"/>
      <w:sz w:val="20"/>
      <w:szCs w:val="20"/>
    </w:rPr>
  </w:style>
  <w:style w:type="character" w:styleId="ListLabel64">
    <w:name w:val="ListLabel 64"/>
    <w:qFormat/>
    <w:rPr>
      <w:rFonts w:cs="Arial"/>
      <w:sz w:val="20"/>
      <w:szCs w:val="20"/>
    </w:rPr>
  </w:style>
  <w:style w:type="character" w:styleId="ListLabel65">
    <w:name w:val="ListLabel 65"/>
    <w:qFormat/>
    <w:rPr>
      <w:rFonts w:ascii="Arial" w:hAnsi="Arial"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Arial"/>
    </w:rPr>
  </w:style>
  <w:style w:type="character" w:styleId="ListLabel93">
    <w:name w:val="ListLabel 93"/>
    <w:qFormat/>
    <w:rPr>
      <w:rFonts w:cs="Wingdings 2"/>
    </w:rPr>
  </w:style>
  <w:style w:type="character" w:styleId="ListLabel94">
    <w:name w:val="ListLabel 94"/>
    <w:qFormat/>
    <w:rPr>
      <w:rFonts w:cs="OpenSymbol"/>
    </w:rPr>
  </w:style>
  <w:style w:type="character" w:styleId="ListLabel95">
    <w:name w:val="ListLabel 95"/>
    <w:qFormat/>
    <w:rPr>
      <w:rFonts w:cs="Wingdings"/>
    </w:rPr>
  </w:style>
  <w:style w:type="character" w:styleId="ListLabel96">
    <w:name w:val="ListLabel 96"/>
    <w:qFormat/>
    <w:rPr>
      <w:rFonts w:cs="Wingdings 2"/>
    </w:rPr>
  </w:style>
  <w:style w:type="character" w:styleId="ListLabel97">
    <w:name w:val="ListLabel 97"/>
    <w:qFormat/>
    <w:rPr>
      <w:rFonts w:cs="OpenSymbol"/>
    </w:rPr>
  </w:style>
  <w:style w:type="character" w:styleId="ListLabel98">
    <w:name w:val="ListLabel 98"/>
    <w:qFormat/>
    <w:rPr>
      <w:rFonts w:cs="Wingdings"/>
    </w:rPr>
  </w:style>
  <w:style w:type="character" w:styleId="ListLabel99">
    <w:name w:val="ListLabel 99"/>
    <w:qFormat/>
    <w:rPr>
      <w:rFonts w:cs="Wingdings 2"/>
    </w:rPr>
  </w:style>
  <w:style w:type="character" w:styleId="ListLabel100">
    <w:name w:val="ListLabel 100"/>
    <w:qFormat/>
    <w:rPr>
      <w:rFonts w:cs="OpenSymbol"/>
    </w:rPr>
  </w:style>
  <w:style w:type="character" w:styleId="ListLabel101">
    <w:name w:val="ListLabel 101"/>
    <w:qFormat/>
    <w:rPr>
      <w:rFonts w:cs="Courier New"/>
      <w:sz w:val="20"/>
    </w:rPr>
  </w:style>
  <w:style w:type="character" w:styleId="ListLabel102">
    <w:name w:val="ListLabel 102"/>
    <w:qFormat/>
    <w:rPr>
      <w:rFonts w:cs="Courier New"/>
      <w:sz w:val="20"/>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sz w:val="20"/>
      <w:szCs w:val="20"/>
    </w:rPr>
  </w:style>
  <w:style w:type="character" w:styleId="ListLabel138">
    <w:name w:val="ListLabel 138"/>
    <w:qFormat/>
    <w:rPr/>
  </w:style>
  <w:style w:type="character" w:styleId="ListLabel139">
    <w:name w:val="ListLabel 139"/>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0" w:after="60"/>
      <w:jc w:val="center"/>
    </w:pPr>
    <w:rPr>
      <w:sz w:val="36"/>
      <w:szCs w:val="36"/>
    </w:rPr>
  </w:style>
  <w:style w:type="paragraph" w:styleId="Subtitle">
    <w:name w:val="Subtitle"/>
    <w:basedOn w:val="Normal"/>
    <w:next w:val="Normal"/>
    <w:uiPriority w:val="11"/>
    <w:qFormat/>
    <w:pPr>
      <w:keepNext w:val="true"/>
      <w:keepLines/>
      <w:pBdr>
        <w:bottom w:val="single" w:sz="4" w:space="1" w:color="000000"/>
      </w:pBdr>
      <w:tabs>
        <w:tab w:val="left" w:pos="720" w:leader="none"/>
      </w:tabs>
      <w:spacing w:before="280" w:after="120"/>
    </w:pPr>
    <w:rPr>
      <w:rFonts w:ascii="Arial" w:hAnsi="Arial" w:eastAsia="Arial" w:cs="Arial"/>
      <w:color w:val="666666"/>
      <w:sz w:val="28"/>
      <w:szCs w:val="28"/>
    </w:rPr>
  </w:style>
  <w:style w:type="paragraph" w:styleId="ListParagraph">
    <w:name w:val="List Paragraph"/>
    <w:basedOn w:val="Normal"/>
    <w:uiPriority w:val="34"/>
    <w:qFormat/>
    <w:rsid w:val="00a204f6"/>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ex.ros.org/doc/ros2/Installation/Crystal/Linux-Install-Binary/" TargetMode="External"/><Relationship Id="rId3" Type="http://schemas.openxmlformats.org/officeDocument/2006/relationships/hyperlink" Target="https://brandeis.zendesk.com/hc/en-us" TargetMode="External"/><Relationship Id="rId4" Type="http://schemas.openxmlformats.org/officeDocument/2006/relationships/hyperlink" Target="http://search.library.brandeis.edu/" TargetMode="External"/><Relationship Id="rId5" Type="http://schemas.openxmlformats.org/officeDocument/2006/relationships/hyperlink" Target="http://www.brandeis.edu/library/research/help/liaison-subject-sort.html" TargetMode="External"/><Relationship Id="rId6" Type="http://schemas.openxmlformats.org/officeDocument/2006/relationships/hyperlink" Target="mailto:jaspreet26@brandeis.ed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14282</TotalTime>
  <Application>LibreOffice/6.0.7.3$Linux_X86_64 LibreOffice_project/00m0$Build-3</Application>
  <Pages>10</Pages>
  <Words>3349</Words>
  <Characters>19137</Characters>
  <CharactersWithSpaces>22122</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2020-12-13T17:52:00Z</dcterms:created>
  <dc:creator/>
  <dc:description/>
  <dc:language>en-US</dc:language>
  <cp:lastModifiedBy/>
  <dcterms:modified xsi:type="dcterms:W3CDTF">2021-01-07T20:00:52Z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