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pPr>
      <w:r>
        <w:rPr/>
        <w:t xml:space="preserve">TOKAT İCRA HUKUK MAHKEMESİ </w:t>
      </w:r>
    </w:p>
    <w:p>
      <w:pPr>
        <w:pStyle w:val="Standard"/>
        <w:jc w:val="center"/>
        <w:rPr/>
      </w:pPr>
      <w:r>
        <w:rPr/>
        <w:t>SAYIN HAKİMLİĞİNE</w:t>
      </w:r>
    </w:p>
    <w:p>
      <w:pPr>
        <w:pStyle w:val="Standard"/>
        <w:jc w:val="right"/>
        <w:rPr/>
      </w:pPr>
      <w:r>
        <w:rPr/>
        <w:t>Dosya No: 2023/206 Esas No</w:t>
      </w:r>
    </w:p>
    <w:p>
      <w:pPr>
        <w:pStyle w:val="Standard"/>
        <w:rPr/>
      </w:pPr>
      <w:r>
        <w:rPr/>
      </w:r>
    </w:p>
    <w:p>
      <w:pPr>
        <w:pStyle w:val="Standard"/>
        <w:numPr>
          <w:ilvl w:val="0"/>
          <w:numId w:val="0"/>
        </w:numPr>
        <w:ind w:left="420" w:hanging="0"/>
        <w:rPr>
          <w:u w:val="single"/>
        </w:rPr>
      </w:pPr>
      <w:r>
        <w:rPr/>
      </w:r>
    </w:p>
    <w:p>
      <w:pPr>
        <w:pStyle w:val="Standard"/>
        <w:ind w:firstLine="708"/>
        <w:rPr>
          <w:b/>
          <w:b/>
          <w:bCs/>
        </w:rPr>
      </w:pPr>
      <w:r>
        <w:rPr/>
        <w:t>Tokat İli, Merkez İlçesi, Kaleardı Mahallesi, 2053 ada, 10 parselde kayıtlı taşınmaz, Tokat 1. Noterliğinin 06 Temmuz 2012 tarih 4485 Yevmiye numaralı kira sözleşmesi ile 2 yıl süre ile Davalı-kiracı-</w:t>
      </w:r>
      <w:r>
        <w:rPr/>
        <w:t>kiracı</w:t>
      </w:r>
      <w:r>
        <w:rPr/>
        <w:t xml:space="preserve">ya kiralanmıştır. </w:t>
      </w:r>
    </w:p>
    <w:p>
      <w:pPr>
        <w:pStyle w:val="Normal"/>
        <w:rPr/>
      </w:pPr>
      <w:r>
        <w:rPr/>
        <w:t>Davalı-kiracı;</w:t>
      </w:r>
    </w:p>
    <w:p>
      <w:pPr>
        <w:pStyle w:val="Standard"/>
        <w:numPr>
          <w:ilvl w:val="0"/>
          <w:numId w:val="1"/>
        </w:numPr>
        <w:rPr/>
      </w:pPr>
      <w:r>
        <w:rPr/>
        <w:t>Sözleşmede belirtilen  2012 -2014 kira dönemi için belirlenen iki yıllık kira bedeli olan 26,000 TL ‘yi 17/08/2012 tarihinde 13,000 TL ‘lik iki banka havalesi ile peşin ödemiştir.</w:t>
      </w:r>
    </w:p>
    <w:p>
      <w:pPr>
        <w:pStyle w:val="Standard"/>
        <w:numPr>
          <w:ilvl w:val="0"/>
          <w:numId w:val="1"/>
        </w:numPr>
        <w:rPr/>
      </w:pPr>
      <w:r>
        <w:rPr/>
        <w:t xml:space="preserve">Davalı-kiracının </w:t>
      </w:r>
      <w:r>
        <w:rPr>
          <w:b w:val="false"/>
          <w:bCs w:val="false"/>
        </w:rPr>
        <w:t>sözleşmenin feshine yönelik bir bildiriminin olmaması sebebiyle,</w:t>
      </w:r>
      <w:r>
        <w:rPr/>
        <w:t xml:space="preserve"> kira sözleşmesi “belirsiz süreli sözleşme” haline gelmiş ve kira süresi kendiliğinden bir yıl uzamıştır. İzleyen dönemlerde de </w:t>
      </w:r>
      <w:r>
        <w:rPr>
          <w:b/>
          <w:bCs/>
        </w:rPr>
        <w:t>davalı-kiracının tarafımıza yönelik bir fesih bildirimi olmamıştır.</w:t>
      </w:r>
      <w:r>
        <w:rPr/>
        <w:t xml:space="preserve">  </w:t>
      </w:r>
    </w:p>
    <w:p>
      <w:pPr>
        <w:pStyle w:val="Standard"/>
        <w:numPr>
          <w:ilvl w:val="0"/>
          <w:numId w:val="1"/>
        </w:numPr>
        <w:rPr/>
      </w:pPr>
      <w:r>
        <w:rPr/>
        <w:t>2014 -2015 kira yılı için kira bedelini yıllık tüfe oranında artış yaparak 15,000 TL olarak 09/09/2014 tarihinde banka havalesi ile peşin ödemiştir.</w:t>
      </w:r>
    </w:p>
    <w:p>
      <w:pPr>
        <w:pStyle w:val="Standard"/>
        <w:numPr>
          <w:ilvl w:val="0"/>
          <w:numId w:val="1"/>
        </w:numPr>
        <w:rPr/>
      </w:pPr>
      <w:r>
        <w:rPr/>
        <w:t>2015 -2016 kira yılı için kira bedelini yıllık tüfe oranında artış yaparak 20,000 TL olarak 15/07/2015 tarihinde banka havalesi ile peşin ödemiştir.</w:t>
      </w:r>
    </w:p>
    <w:p>
      <w:pPr>
        <w:pStyle w:val="Standard"/>
        <w:numPr>
          <w:ilvl w:val="0"/>
          <w:numId w:val="1"/>
        </w:numPr>
        <w:rPr/>
      </w:pPr>
      <w:r>
        <w:rPr/>
        <w:t xml:space="preserve">Davalı-kiracı, 15/07/2015 tarihinden sonra tarafımıza herhangi bir </w:t>
      </w:r>
      <w:r>
        <w:rPr>
          <w:b/>
          <w:bCs/>
        </w:rPr>
        <w:t xml:space="preserve">ödeme </w:t>
      </w:r>
      <w:r>
        <w:rPr>
          <w:b/>
          <w:bCs/>
        </w:rPr>
        <w:t>de</w:t>
      </w:r>
      <w:r>
        <w:rPr>
          <w:b/>
          <w:bCs/>
        </w:rPr>
        <w:t xml:space="preserve"> yapmamıştır</w:t>
      </w:r>
      <w:r>
        <w:rPr/>
        <w:t>.</w:t>
      </w:r>
    </w:p>
    <w:p>
      <w:pPr>
        <w:pStyle w:val="Standard"/>
        <w:ind w:firstLine="708"/>
        <w:rPr>
          <w:b/>
          <w:b/>
          <w:bCs/>
        </w:rPr>
      </w:pPr>
      <w:r>
        <w:rPr/>
      </w:r>
    </w:p>
    <w:p>
      <w:pPr>
        <w:pStyle w:val="Standard"/>
        <w:ind w:firstLine="708"/>
        <w:rPr>
          <w:b/>
          <w:b/>
          <w:bCs/>
        </w:rPr>
      </w:pPr>
      <w:r>
        <w:rPr/>
        <w:t xml:space="preserve">Davalı-kiracının mecuru tahliye etmesi için, </w:t>
      </w:r>
      <w:r>
        <w:rPr>
          <w:b/>
          <w:bCs/>
        </w:rPr>
        <w:t>06-08-2015</w:t>
      </w:r>
      <w:r>
        <w:rPr/>
        <w:t xml:space="preserve"> tarihinde </w:t>
      </w:r>
      <w:r>
        <w:rPr/>
        <w:t xml:space="preserve">Tokat Sulh Hukuk Mahkemesinde 2015/1016 esas no ile açtığımız “kiralananın tahliyesi” davasında, 28/04/2016 tarihinde 2016/749 karar no ile, “tahliye” kararı verilmiş; </w:t>
      </w:r>
      <w:r>
        <w:rPr/>
        <w:t>d</w:t>
      </w:r>
      <w:r>
        <w:rPr/>
        <w:t>avalı-kiracı</w:t>
      </w:r>
      <w:r>
        <w:rPr/>
        <w:t>nın</w:t>
      </w:r>
      <w:r>
        <w:rPr/>
        <w:t xml:space="preserve">, </w:t>
      </w:r>
      <w:r>
        <w:rPr>
          <w:b/>
          <w:bCs/>
        </w:rPr>
        <w:t>17/05/2016</w:t>
      </w:r>
      <w:r>
        <w:rPr/>
        <w:t xml:space="preserve"> tarihinde 2017/6422 Esas No ile Yargıtay 3. Hukuk Dairesine “Tahliyenin iptali” istemi ile başvur</w:t>
      </w:r>
      <w:r>
        <w:rPr/>
        <w:t xml:space="preserve">usu sonucu </w:t>
      </w:r>
      <w:r>
        <w:rPr/>
        <w:t>12/12/2017 tarih</w:t>
      </w:r>
      <w:r>
        <w:rPr/>
        <w:t>l</w:t>
      </w:r>
      <w:r>
        <w:rPr/>
        <w:t xml:space="preserve">i 2017/15565 Karar nolu ilam ile “tahliye” reddedilmiş, Tokat Sulh Hukuk Mahkemesi-2017/2115 Esas no ve 2018/841 karar no ile </w:t>
      </w:r>
      <w:r>
        <w:rPr>
          <w:b w:val="false"/>
          <w:bCs w:val="false"/>
        </w:rPr>
        <w:t>Yargıtay 3. Hukuk Dairesinden gelen usulden bozma kararı ile</w:t>
      </w:r>
      <w:r>
        <w:rPr>
          <w:b/>
          <w:bCs/>
        </w:rPr>
        <w:t xml:space="preserve"> </w:t>
      </w:r>
      <w:r>
        <w:rPr>
          <w:b/>
          <w:bCs/>
        </w:rPr>
        <w:t xml:space="preserve">05-06-2018 tarihinde “tahliye” </w:t>
      </w:r>
      <w:r>
        <w:rPr>
          <w:b/>
          <w:bCs/>
        </w:rPr>
        <w:t>reddedilmiştir</w:t>
      </w:r>
      <w:r>
        <w:rPr/>
        <w:t>.</w:t>
      </w:r>
    </w:p>
    <w:p>
      <w:pPr>
        <w:pStyle w:val="Standard"/>
        <w:ind w:firstLine="708"/>
        <w:rPr>
          <w:b/>
          <w:b/>
          <w:bCs/>
        </w:rPr>
      </w:pPr>
      <w:r>
        <w:rPr/>
        <w:t>Davalı-kiracı</w:t>
      </w:r>
      <w:r>
        <w:rPr/>
        <w:t>nın</w:t>
      </w:r>
      <w:r>
        <w:rPr/>
        <w:t xml:space="preserve"> tüm bu davalar sürecinde kiralananın tahliyesinin gerçekleşmemesi için yaptığı itirazlar, harcadığı çaba duruşma tutanaklarında ve davalı-kiracının hemen her duruşmada verdiği beyan dilekçelerinde açıkça görülmektedir. Ama davalı-kiracı tahliyenin reddi için gösterdiği bu çabayı kira bedellerini ödeme konusunda göstermemiştir.</w:t>
      </w:r>
    </w:p>
    <w:p>
      <w:pPr>
        <w:pStyle w:val="Standard"/>
        <w:ind w:firstLine="708"/>
        <w:rPr>
          <w:b/>
          <w:b/>
          <w:bCs/>
        </w:rPr>
      </w:pPr>
      <w:r>
        <w:rPr/>
      </w:r>
    </w:p>
    <w:p>
      <w:pPr>
        <w:pStyle w:val="Standard"/>
        <w:rPr/>
      </w:pPr>
      <w:r>
        <w:rPr/>
        <w:tab/>
        <w:t xml:space="preserve">19/06/2022 tarihinde, 2017-2022 dönemine ait kira bedellerinin tahsili için Tokat İcra Dairesinde 2022/7795 Esas no ile </w:t>
      </w:r>
      <w:r>
        <w:rPr/>
        <w:t>tarafımızca</w:t>
      </w:r>
      <w:r>
        <w:rPr/>
        <w:t xml:space="preserve"> “Tahliye ve Haciz talepli takip” başlatılmıştır. Davalı-kiracının 22/06/2022 tarihinde takibe süresinde itiraz etmesiyle takip durdurulmuştur. </w:t>
      </w:r>
      <w:r>
        <w:rPr/>
        <w:t>Davalı-kiracı taki</w:t>
      </w:r>
      <w:r>
        <w:rPr/>
        <w:t>be itiraz dilekçesinde</w:t>
      </w:r>
      <w:r>
        <w:rPr/>
        <w:t>, “</w:t>
      </w:r>
      <w:r>
        <w:rPr/>
        <w:t xml:space="preserve">Asıl alacağa, icra takibine, ödeme emrine, faize ve borcun diğer ferilerine” itiraz </w:t>
      </w:r>
      <w:r>
        <w:rPr/>
        <w:t xml:space="preserve">etmiş, </w:t>
      </w:r>
      <w:r>
        <w:rPr/>
        <w:t xml:space="preserve"> </w:t>
      </w:r>
      <w:r>
        <w:rPr>
          <w:rFonts w:eastAsia="Times New Roman" w:cs="Times New Roman"/>
          <w:b/>
          <w:bCs/>
          <w:color w:val="auto"/>
          <w:kern w:val="0"/>
          <w:lang w:eastAsia="tr-TR" w:bidi="ar-SA"/>
        </w:rPr>
        <w:t xml:space="preserve">itirazında takibe dayanak </w:t>
      </w:r>
      <w:r>
        <w:rPr>
          <w:rFonts w:eastAsia="Times New Roman" w:cs="Times New Roman"/>
          <w:b/>
          <w:bCs/>
          <w:color w:val="auto"/>
          <w:kern w:val="0"/>
          <w:lang w:eastAsia="tr-TR" w:bidi="ar-SA"/>
        </w:rPr>
        <w:t>noter marifetiyle hazırlanan</w:t>
      </w:r>
      <w:r>
        <w:rPr>
          <w:rFonts w:eastAsia="Times New Roman" w:cs="Times New Roman"/>
          <w:b/>
          <w:bCs/>
          <w:color w:val="auto"/>
          <w:kern w:val="0"/>
          <w:lang w:eastAsia="tr-TR" w:bidi="ar-SA"/>
        </w:rPr>
        <w:t xml:space="preserve"> kira sözleşmesindeki imzasını açık ve kesin olarak redde</w:t>
      </w:r>
      <w:r>
        <w:rPr>
          <w:rFonts w:eastAsia="Times New Roman" w:cs="Times New Roman"/>
          <w:b/>
          <w:bCs/>
          <w:color w:val="auto"/>
          <w:kern w:val="0"/>
          <w:lang w:eastAsia="tr-TR" w:bidi="ar-SA"/>
        </w:rPr>
        <w:t>d</w:t>
      </w:r>
      <w:r>
        <w:rPr>
          <w:rFonts w:eastAsia="Times New Roman" w:cs="Times New Roman"/>
          <w:b/>
          <w:bCs/>
          <w:color w:val="auto"/>
          <w:kern w:val="0"/>
          <w:lang w:eastAsia="tr-TR" w:bidi="ar-SA"/>
        </w:rPr>
        <w:t>e</w:t>
      </w:r>
      <w:r>
        <w:rPr>
          <w:rFonts w:eastAsia="Times New Roman" w:cs="Times New Roman"/>
          <w:b/>
          <w:bCs/>
          <w:color w:val="auto"/>
          <w:kern w:val="0"/>
          <w:lang w:eastAsia="tr-TR" w:bidi="ar-SA"/>
        </w:rPr>
        <w:t>me</w:t>
      </w:r>
      <w:r>
        <w:rPr>
          <w:rFonts w:eastAsia="Times New Roman" w:cs="Times New Roman"/>
          <w:b/>
          <w:bCs/>
          <w:color w:val="auto"/>
          <w:kern w:val="0"/>
          <w:lang w:eastAsia="tr-TR" w:bidi="ar-SA"/>
        </w:rPr>
        <w:t>diğinden</w:t>
      </w:r>
      <w:r>
        <w:rPr>
          <w:rFonts w:eastAsia="Times New Roman" w:cs="Times New Roman"/>
          <w:color w:val="auto"/>
          <w:kern w:val="0"/>
          <w:lang w:eastAsia="tr-TR" w:bidi="ar-SA"/>
        </w:rPr>
        <w:t xml:space="preserve"> İİK’nın 269 maddesinin 2. fıkrası uyarınca kira sözleşmesinin varlığı ve içeriği, belirlenen kira alacağı bakımından kesinleşmiştir.</w:t>
      </w:r>
      <w:r>
        <w:rPr>
          <w:b/>
          <w:bCs/>
        </w:rPr>
        <w:tab/>
      </w:r>
    </w:p>
    <w:p>
      <w:pPr>
        <w:pStyle w:val="Standard"/>
        <w:rPr/>
      </w:pPr>
      <w:r>
        <w:rPr/>
      </w:r>
    </w:p>
    <w:p>
      <w:pPr>
        <w:pStyle w:val="Standard"/>
        <w:rPr/>
      </w:pPr>
      <w:r>
        <w:rPr/>
        <w:tab/>
        <w:t>03/08/2022 tarihinde 2022/219 Esas no ile “İtirazın kaldırılması” için İcra Hukuk Mahkemesine yaptığımız başvuru, takip talebinde “Tahliye” ‘nin talep edilmemesi nedeniyle 2022/402 Karar no ile reddedilmiş, 06/06/2023 tarihinde 2023/933 Esas no ile Samsun Bölge Adliye Mahkemesi 4. Hukuk Dairesine yaptığımız istinaf başvurusu, 2023/1627 Karar no ile "itirazın kaldırılması" talebinin "tahliye" den bağımsız olduğu gerekçesiyle davanın tekrar görülmesine karar verilmesiyle sonuçlanmıştır.</w:t>
      </w:r>
    </w:p>
    <w:p>
      <w:pPr>
        <w:pStyle w:val="Standard"/>
        <w:rPr/>
      </w:pPr>
      <w:r>
        <w:rPr/>
        <w:tab/>
      </w:r>
    </w:p>
    <w:p>
      <w:pPr>
        <w:pStyle w:val="Standard"/>
        <w:rPr/>
      </w:pPr>
      <w:r>
        <w:rPr/>
        <w:tab/>
        <w:t>2023/206 Esas No ile devam edilen davanın 2. celse</w:t>
      </w:r>
      <w:r>
        <w:rPr/>
        <w:t>sinde d</w:t>
      </w:r>
      <w:r>
        <w:rPr/>
        <w:t xml:space="preserve">avalı-kiracı vekiline beyan ettiği dekontları sunmak için gelecek celseye kadar süre verilmesine </w:t>
      </w:r>
      <w:r>
        <w:rPr/>
        <w:t>ve</w:t>
      </w:r>
      <w:r>
        <w:rPr/>
        <w:t xml:space="preserve"> </w:t>
      </w:r>
      <w:r>
        <w:rPr/>
        <w:t>k</w:t>
      </w:r>
      <w:r>
        <w:rPr/>
        <w:t>olluğa müzekkere yazılarak dosyaya konu taşınmazın güncel kaydının fotoğraflarının istenmesi ile çevre araştırması yapılarak taşınmazın Davalı-kiracı tarafından hangi dönemlerde kullanıldığı hususunda tutanak tanzim edilmesine karar verilmiştir.</w:t>
      </w:r>
    </w:p>
    <w:p>
      <w:pPr>
        <w:pStyle w:val="Standard"/>
        <w:rPr/>
      </w:pPr>
      <w:r>
        <w:rPr/>
        <w:tab/>
        <w:t xml:space="preserve">Türk Borçlar Kanununa göre genel hükümlere tabii taşınmazın, </w:t>
      </w:r>
      <w:r>
        <w:rPr/>
        <w:t>d</w:t>
      </w:r>
      <w:r>
        <w:rPr/>
        <w:t xml:space="preserve">avalı-kiracı tarafından TBK 328 ve 329. maddelerine uygun, </w:t>
      </w:r>
      <w:r>
        <w:rPr>
          <w:b/>
          <w:bCs/>
        </w:rPr>
        <w:t>kira başlangıç tarihinden günümüze kadar</w:t>
      </w:r>
      <w:r>
        <w:rPr>
          <w:b/>
          <w:bCs/>
        </w:rPr>
        <w:t xml:space="preserve"> sözleşme fesih ih</w:t>
      </w:r>
      <w:r>
        <w:rPr>
          <w:b/>
          <w:bCs/>
        </w:rPr>
        <w:t>b</w:t>
      </w:r>
      <w:r>
        <w:rPr>
          <w:b/>
          <w:bCs/>
        </w:rPr>
        <w:t>arı</w:t>
      </w:r>
      <w:r>
        <w:rPr/>
        <w:t xml:space="preserve"> olmadığından</w:t>
      </w:r>
      <w:r>
        <w:rPr>
          <w:b/>
          <w:bCs/>
        </w:rPr>
        <w:t xml:space="preserve"> </w:t>
      </w:r>
      <w:r>
        <w:rPr>
          <w:b/>
          <w:bCs/>
        </w:rPr>
        <w:t xml:space="preserve">KÖTÜ NİYETLİ </w:t>
      </w:r>
      <w:r>
        <w:rPr/>
        <w:t>d</w:t>
      </w:r>
      <w:r>
        <w:rPr>
          <w:b/>
          <w:bCs/>
        </w:rPr>
        <w:t xml:space="preserve">avalı-kiracının mecuru tahliye ettiğine dair beyanını kesinlikle kabul etmiyoruz. </w:t>
      </w:r>
      <w:r>
        <w:rPr>
          <w:b/>
          <w:bCs/>
        </w:rPr>
        <w:t>Davalı-kiracının  tarafımıza sözleşme fesih bildirim</w:t>
      </w:r>
      <w:r>
        <w:rPr>
          <w:b/>
          <w:bCs/>
        </w:rPr>
        <w:t>inde</w:t>
      </w:r>
      <w:r>
        <w:rPr>
          <w:b/>
          <w:bCs/>
        </w:rPr>
        <w:t xml:space="preserve"> bulunmaması sebebiyle belirsiz süreli kira sözleşmesi halen geçerlidir.</w:t>
      </w:r>
    </w:p>
    <w:p>
      <w:pPr>
        <w:pStyle w:val="Standard"/>
        <w:ind w:firstLine="708"/>
        <w:rPr>
          <w:rStyle w:val="Strong"/>
        </w:rPr>
      </w:pPr>
      <w:r>
        <w:rPr>
          <w:b w:val="false"/>
          <w:bCs w:val="false"/>
        </w:rPr>
        <w:t xml:space="preserve">Davalı-kiracının mecuru tahliye ettiğini </w:t>
      </w:r>
      <w:r>
        <w:rPr>
          <w:rStyle w:val="Strong"/>
        </w:rPr>
        <w:t xml:space="preserve">İcra İflas Kanunu’nun 269/c maddesinin 1. fıkrasında yazılı belgelerle ispatlanması zorunludur. Tahliye </w:t>
      </w:r>
      <w:r>
        <w:rPr>
          <w:rStyle w:val="Strong"/>
        </w:rPr>
        <w:t>istemimizi</w:t>
      </w:r>
      <w:r>
        <w:rPr>
          <w:rStyle w:val="Strong"/>
        </w:rPr>
        <w:t xml:space="preserve"> reddeden davalı-kiracının, </w:t>
      </w:r>
      <w:r>
        <w:rPr>
          <w:rStyle w:val="Strong"/>
        </w:rPr>
        <w:t xml:space="preserve">herhangi bir </w:t>
      </w:r>
      <w:r>
        <w:rPr>
          <w:rStyle w:val="Strong"/>
        </w:rPr>
        <w:t xml:space="preserve"> fesih bildirimi bulunmadığı gibi, herhangi bir belgeyle ispat edebileceği tahliye ve teslim girişimi de olmamıştır. </w:t>
      </w:r>
    </w:p>
    <w:p>
      <w:pPr>
        <w:pStyle w:val="Standard"/>
        <w:rPr/>
      </w:pPr>
      <w:r>
        <w:rPr/>
      </w:r>
    </w:p>
    <w:p>
      <w:pPr>
        <w:pStyle w:val="Standard"/>
        <w:rPr>
          <w:b/>
          <w:b/>
          <w:bCs/>
        </w:rPr>
      </w:pPr>
      <w:r>
        <w:rPr>
          <w:b/>
          <w:bCs/>
        </w:rPr>
        <w:t>SONUÇ ve TALEP</w:t>
      </w:r>
    </w:p>
    <w:p>
      <w:pPr>
        <w:pStyle w:val="Standard"/>
        <w:ind w:firstLine="708"/>
        <w:rPr/>
      </w:pPr>
      <w:r>
        <w:rPr/>
        <w:t xml:space="preserve">Davalı-kiracının mecurun kullanım döneminin belirlenmesine yönelik talebi, mecuru kullanmadığı, mecuru tahliye ve teslim ettiği iddiaları geçerli talep ve iddialar değildir. Davalı-kiracı AÇIK BİR ŞEKİLDE KÖTÜ NİYETLİDİR. </w:t>
      </w:r>
      <w:r>
        <w:rPr/>
        <w:t>M</w:t>
      </w:r>
      <w:r>
        <w:rPr/>
        <w:t xml:space="preserve">ecuru tahliye ve teslim ettiğini gösteren yazılı belge olmamasına </w:t>
      </w:r>
      <w:r>
        <w:rPr/>
        <w:t xml:space="preserve">ve tahliyeyi her durumda reddetmesine </w:t>
      </w:r>
      <w:r>
        <w:rPr/>
        <w:t xml:space="preserve">rağmen </w:t>
      </w:r>
      <w:r>
        <w:rPr/>
        <w:t xml:space="preserve">tahliye ve </w:t>
      </w:r>
      <w:r>
        <w:rPr/>
        <w:t>teslimin gerçekleştiğini belirtmesi gerçekten uzak bir hayaldir.</w:t>
      </w:r>
    </w:p>
    <w:p>
      <w:pPr>
        <w:pStyle w:val="Standard"/>
        <w:ind w:firstLine="708"/>
        <w:rPr/>
      </w:pPr>
      <w:r>
        <w:rPr/>
      </w:r>
    </w:p>
    <w:p>
      <w:pPr>
        <w:pStyle w:val="Standard"/>
        <w:numPr>
          <w:ilvl w:val="0"/>
          <w:numId w:val="3"/>
        </w:numPr>
        <w:rPr/>
      </w:pPr>
      <w:r>
        <w:rPr>
          <w:u w:val="single"/>
        </w:rPr>
        <w:t>Davalı-kiracı</w:t>
      </w:r>
      <w:r>
        <w:rPr>
          <w:u w:val="single"/>
        </w:rPr>
        <w:t xml:space="preserve">nın sözleşmeyi fesih edeceğine </w:t>
      </w:r>
      <w:r>
        <w:rPr>
          <w:u w:val="single"/>
        </w:rPr>
        <w:t>veya ettiğine</w:t>
      </w:r>
      <w:r>
        <w:rPr>
          <w:u w:val="single"/>
        </w:rPr>
        <w:t xml:space="preserve"> dair bir fesih bildirimi yoktur.</w:t>
      </w:r>
    </w:p>
    <w:p>
      <w:pPr>
        <w:pStyle w:val="Standard"/>
        <w:numPr>
          <w:ilvl w:val="0"/>
          <w:numId w:val="3"/>
        </w:numPr>
        <w:rPr/>
      </w:pPr>
      <w:r>
        <w:rPr>
          <w:u w:val="single"/>
        </w:rPr>
        <w:t xml:space="preserve">Davalı-kiracının tahliye ve teslimi gösterir yazılı bir belgesi yoktur. </w:t>
      </w:r>
    </w:p>
    <w:p>
      <w:pPr>
        <w:pStyle w:val="Standard"/>
        <w:numPr>
          <w:ilvl w:val="0"/>
          <w:numId w:val="3"/>
        </w:numPr>
        <w:rPr/>
      </w:pPr>
      <w:r>
        <w:rPr>
          <w:u w:val="single"/>
        </w:rPr>
        <w:t>Davalı-kiracı</w:t>
      </w:r>
      <w:r>
        <w:rPr>
          <w:u w:val="single"/>
        </w:rPr>
        <w:t>nın</w:t>
      </w:r>
      <w:r>
        <w:rPr>
          <w:u w:val="single"/>
        </w:rPr>
        <w:t xml:space="preserve"> </w:t>
      </w:r>
      <w:r>
        <w:rPr>
          <w:u w:val="single"/>
        </w:rPr>
        <w:t>kira bedellerinin ödendiğine dair bir belgesi yoktur.</w:t>
      </w:r>
    </w:p>
    <w:p>
      <w:pPr>
        <w:pStyle w:val="Standard"/>
        <w:rPr>
          <w:rFonts w:eastAsia="Times New Roman" w:cs="Times New Roman"/>
          <w:color w:val="auto"/>
          <w:kern w:val="0"/>
          <w:lang w:eastAsia="tr-TR" w:bidi="ar-SA"/>
        </w:rPr>
      </w:pPr>
      <w:r>
        <w:rPr/>
      </w:r>
    </w:p>
    <w:p>
      <w:pPr>
        <w:pStyle w:val="Standard"/>
        <w:ind w:firstLine="708"/>
        <w:rPr/>
      </w:pPr>
      <w:r>
        <w:rPr>
          <w:rFonts w:eastAsia="Times New Roman" w:cs="Times New Roman"/>
          <w:color w:val="auto"/>
          <w:kern w:val="0"/>
          <w:lang w:eastAsia="tr-TR" w:bidi="ar-SA"/>
        </w:rPr>
        <w:t xml:space="preserve">Yargıtay Hukuk Genel Kurulunun 18.01.2022 tarih, 2018/708 Esas no,  2022/11 Karar nolu kararında özetle;   </w:t>
      </w:r>
    </w:p>
    <w:p>
      <w:pPr>
        <w:pStyle w:val="Normal"/>
        <w:widowControl/>
        <w:suppressAutoHyphens w:val="false"/>
        <w:jc w:val="both"/>
        <w:textAlignment w:val="auto"/>
        <w:rPr>
          <w:rFonts w:eastAsia="Times New Roman" w:cs="Times New Roman"/>
          <w:color w:val="auto"/>
          <w:kern w:val="0"/>
          <w:lang w:eastAsia="tr-TR" w:bidi="ar-SA"/>
        </w:rPr>
      </w:pPr>
      <w:r>
        <w:rPr>
          <w:rFonts w:eastAsia="Times New Roman" w:cs="Times New Roman"/>
          <w:color w:val="auto"/>
          <w:kern w:val="0"/>
          <w:lang w:eastAsia="tr-TR" w:bidi="ar-SA"/>
        </w:rPr>
        <w:t> </w:t>
      </w:r>
      <w:r>
        <w:rPr>
          <w:rFonts w:eastAsia="Times New Roman" w:cs="Times New Roman"/>
          <w:color w:val="auto"/>
          <w:kern w:val="0"/>
          <w:lang w:eastAsia="tr-TR" w:bidi="ar-SA"/>
        </w:rPr>
        <w:tab/>
      </w:r>
      <w:r>
        <w:rPr>
          <w:rFonts w:eastAsia="Times New Roman" w:cs="Times New Roman"/>
          <w:i/>
          <w:iCs/>
          <w:color w:val="auto"/>
          <w:kern w:val="0"/>
          <w:lang w:eastAsia="tr-TR" w:bidi="ar-SA"/>
        </w:rPr>
        <w:t xml:space="preserve">“Dava, kira alacağının tahsili amacıyla başlatılan icra takibine vaki itirazın kaldırılması ve kiralananın tahliyesi istemine ilişkindir. Uyuşmazlık; kiracı borçlu tarafından anahtar teslimi ve tahliyenin kanıtlanıp kanıtlanmadığı, buradan varılacak sonuca göre mahkemece alacaklı tarafından bildirilen tarihin tahliye tarihi olarak kabul edilmesinin gerekip gerekmediği noktasında toplanmaktadır. </w:t>
      </w:r>
      <w:r>
        <w:rPr>
          <w:rFonts w:eastAsia="Times New Roman" w:cs="Times New Roman"/>
          <w:b/>
          <w:bCs/>
          <w:i/>
          <w:iCs/>
          <w:color w:val="auto"/>
          <w:kern w:val="0"/>
          <w:lang w:eastAsia="tr-TR" w:bidi="ar-SA"/>
        </w:rPr>
        <w:t>Borçlu itirazında takibe dayanak kira sözleşmesindeki imzasını açık ve kesin olarak reddetmediğinden İİK’nın 269 maddesinin 2. fıkrası uyarınca kira sözleşmesinin varlığı ve içeriği, sözleşmenin hususi şartlarına göre belirlenen kira alacağı takip hukuku bakımından kesinleşmiştir.</w:t>
      </w:r>
      <w:r>
        <w:rPr>
          <w:rFonts w:eastAsia="Times New Roman" w:cs="Times New Roman"/>
          <w:i/>
          <w:iCs/>
          <w:color w:val="auto"/>
          <w:kern w:val="0"/>
          <w:lang w:eastAsia="tr-TR" w:bidi="ar-SA"/>
        </w:rPr>
        <w:t xml:space="preserve"> </w:t>
      </w:r>
      <w:r>
        <w:rPr>
          <w:rFonts w:eastAsia="Times New Roman" w:cs="Times New Roman"/>
          <w:b/>
          <w:bCs/>
          <w:i/>
          <w:iCs/>
          <w:color w:val="auto"/>
          <w:kern w:val="0"/>
          <w:lang w:eastAsia="tr-TR" w:bidi="ar-SA"/>
        </w:rPr>
        <w:t>Kiralananın tahliye edildiğinin ve anahtarın da kiralayana teslim edildiğinin borçlu tarafından İİK’nın 269/c maddesinin 1. fıkrasında yazılı belgelerle ispatlanması zorunludur.</w:t>
      </w:r>
      <w:r>
        <w:rPr>
          <w:rFonts w:eastAsia="Times New Roman" w:cs="Times New Roman"/>
          <w:i/>
          <w:iCs/>
          <w:color w:val="auto"/>
          <w:kern w:val="0"/>
          <w:lang w:eastAsia="tr-TR" w:bidi="ar-SA"/>
        </w:rPr>
        <w:t xml:space="preserve"> Kiralananın anahtarının teslim edildiği yönünde borçlunun iddiası bulunmayıp, anahtar teslimi açıklaması taşımayan ve alacaklıya tebliğ edildiği ispatlanamayan tahliye ihbarnamesi İİK’nın 269/c maddesinin 1. fıkrasında yazılı belgelerden kabul edilemez. Tahliye ihbarnamesi tebliğinin sözleşme koşullarına göre yapıldığı iddiası ise İİK’nın 269/c maddesi uyarınca sınırlı inceleme yapan icra mahkemesinde dinlenmez. O hâlde anahtarın teslim edildiği borçlu tarafından İİK’nın 269/c maddesinin 1. fıkrasında yazılı belgelerle ispatlanamadığından alacaklı tarafından bildirilen tarihin tahliye tarihi olarak kabul edilmesi gerekir.” denilmektedir.</w:t>
      </w:r>
    </w:p>
    <w:p>
      <w:pPr>
        <w:pStyle w:val="Textbody1"/>
        <w:spacing w:before="0" w:after="0"/>
        <w:jc w:val="both"/>
        <w:rPr>
          <w:b/>
          <w:b/>
          <w:bCs/>
        </w:rPr>
      </w:pPr>
      <w:r>
        <w:rPr/>
      </w:r>
    </w:p>
    <w:p>
      <w:pPr>
        <w:pStyle w:val="Standard"/>
        <w:jc w:val="both"/>
        <w:rPr/>
      </w:pPr>
      <w:r>
        <w:rPr>
          <w:rStyle w:val="Emphasis"/>
          <w:i w:val="false"/>
          <w:iCs w:val="false"/>
        </w:rPr>
        <w:t>Yargıtay 3. Hukuk Dairesi 2017/8357 E. 2019/4928 Kararında;</w:t>
      </w:r>
    </w:p>
    <w:p>
      <w:pPr>
        <w:pStyle w:val="Textbody1"/>
        <w:spacing w:before="0" w:after="0"/>
        <w:jc w:val="both"/>
        <w:rPr/>
      </w:pPr>
      <w:r>
        <w:rPr/>
        <w:tab/>
      </w:r>
      <w:r>
        <w:rPr>
          <w:i/>
          <w:iCs/>
        </w:rPr>
        <w:t>“</w:t>
      </w:r>
      <w:r>
        <w:rPr>
          <w:b/>
          <w:bCs/>
          <w:i/>
          <w:iCs/>
        </w:rPr>
        <w:t>Kiracı yasal tahliye ve anahtar teslimi gerçekleşinceye dek kira parasını ödemekle yükümlüdür.</w:t>
      </w:r>
      <w:r>
        <w:rPr>
          <w:i/>
          <w:iCs/>
        </w:rPr>
        <w:t xml:space="preserve"> Kiralanan tahliye edilmedikçe kiracının sözleşmeden kaynaklanan yükümlülükleri devam eder. Kiralananın tahliyesi ise teslim ile olur. Teslimin varlığı ise kiracı tarafından ispatlanmalıdır. </w:t>
      </w:r>
      <w:r>
        <w:rPr>
          <w:b/>
          <w:bCs/>
          <w:i/>
          <w:iCs/>
        </w:rPr>
        <w:t>Kiralananın boşaltılması, adresini taşıması yahut kiracı tarafından kullanılmaması yasal teslim olmadığından, kiraya veren tarafından kabul edilmedikçe kiracıyı yükümlülüklerinden kurtarmaz.</w:t>
      </w:r>
      <w:r>
        <w:rPr>
          <w:i/>
          <w:iCs/>
        </w:rPr>
        <w:t xml:space="preserve"> Kiralananın tahliye ve teslim edildiği Davalı-kiracı tarafından yazılı delillerle kanıtlanamadığından, davacının beyan ettiği tarihin, mahkemece tahliye tarihi olarak kabul edilmesi isabetli görülmüştür.”</w:t>
      </w:r>
      <w:r>
        <w:rPr/>
        <w:t xml:space="preserve"> denilmektedir.</w:t>
      </w:r>
    </w:p>
    <w:p>
      <w:pPr>
        <w:pStyle w:val="Textbody1"/>
        <w:spacing w:before="0" w:after="0"/>
        <w:jc w:val="both"/>
        <w:rPr/>
      </w:pPr>
      <w:r>
        <w:rPr/>
        <w:tab/>
        <w:t xml:space="preserve">  </w:t>
      </w:r>
    </w:p>
    <w:p>
      <w:pPr>
        <w:pStyle w:val="Textbody1"/>
        <w:spacing w:before="0" w:after="0"/>
        <w:ind w:firstLine="708"/>
        <w:jc w:val="both"/>
        <w:rPr>
          <w:u w:val="single"/>
        </w:rPr>
      </w:pPr>
      <w:r>
        <w:rPr>
          <w:u w:val="single"/>
        </w:rPr>
        <w:t xml:space="preserve">Yukarıda içeriği özetle belirtilen yargıtay kararlarında da açıklandığı üzere </w:t>
      </w:r>
      <w:r>
        <w:rPr>
          <w:u w:val="single"/>
        </w:rPr>
        <w:t xml:space="preserve">davalı-kiracı mecurda halen kiracı durumundadır. </w:t>
      </w:r>
      <w:r>
        <w:rPr>
          <w:b/>
          <w:bCs/>
        </w:rPr>
        <w:t xml:space="preserve">Mecurda “yasal bir tahliye ve anahtar teslimi gerçekleşmediği” için </w:t>
      </w:r>
      <w:r>
        <w:rPr>
          <w:b/>
          <w:bCs/>
        </w:rPr>
        <w:t>d</w:t>
      </w:r>
      <w:r>
        <w:rPr>
          <w:b/>
          <w:bCs/>
        </w:rPr>
        <w:t xml:space="preserve">avalı-kiracı ile olan belirsiz süreli sözleşmemiz halen devam etmektedir.  </w:t>
      </w:r>
    </w:p>
    <w:p>
      <w:pPr>
        <w:pStyle w:val="Textbody1"/>
        <w:spacing w:before="0" w:after="0"/>
        <w:jc w:val="both"/>
        <w:rPr>
          <w:b/>
          <w:b/>
          <w:bCs/>
        </w:rPr>
      </w:pPr>
      <w:r>
        <w:rPr/>
      </w:r>
    </w:p>
    <w:p>
      <w:pPr>
        <w:pStyle w:val="Textbody1"/>
        <w:spacing w:before="0" w:after="0"/>
        <w:ind w:firstLine="708"/>
        <w:jc w:val="both"/>
        <w:rPr/>
      </w:pPr>
      <w:r>
        <w:rPr>
          <w:b/>
          <w:bCs/>
        </w:rPr>
        <w:t xml:space="preserve">Mecurun kiralanması hususunda Davalı-kiracı ile aramızda bulunan belirsiz süreli olarak geçerliliği devam eden sözleşmeye bağlı olarak da;  mecurun </w:t>
      </w:r>
      <w:r>
        <w:rPr>
          <w:b/>
          <w:bCs/>
        </w:rPr>
        <w:t>zilyetliğinin halen</w:t>
      </w:r>
      <w:r>
        <w:rPr>
          <w:b/>
          <w:bCs/>
        </w:rPr>
        <w:t xml:space="preserve"> </w:t>
      </w:r>
      <w:r>
        <w:rPr>
          <w:b/>
          <w:bCs/>
        </w:rPr>
        <w:t>d</w:t>
      </w:r>
      <w:r>
        <w:rPr>
          <w:b/>
          <w:bCs/>
        </w:rPr>
        <w:t>avalı-kiracı</w:t>
      </w:r>
      <w:r>
        <w:rPr>
          <w:b/>
          <w:bCs/>
        </w:rPr>
        <w:t>da olması nedeni ile, mecurun davalı-kiracı</w:t>
      </w:r>
      <w:r>
        <w:rPr>
          <w:b/>
          <w:bCs/>
        </w:rPr>
        <w:t xml:space="preserve"> dışında 3. bir kişi tarafından kullanılması veya tekrar kiralanması da hukuken mümkün değildir. </w:t>
      </w:r>
    </w:p>
    <w:p>
      <w:pPr>
        <w:pStyle w:val="Standard"/>
        <w:rPr/>
      </w:pPr>
      <w:r>
        <w:rPr/>
      </w:r>
    </w:p>
    <w:p>
      <w:pPr>
        <w:pStyle w:val="Standard"/>
        <w:rPr/>
      </w:pPr>
      <w:r>
        <w:rPr/>
      </w:r>
    </w:p>
    <w:p>
      <w:pPr>
        <w:pStyle w:val="Standard"/>
        <w:rPr/>
      </w:pPr>
      <w:r>
        <w:rPr/>
      </w:r>
    </w:p>
    <w:p>
      <w:pPr>
        <w:pStyle w:val="Standard"/>
        <w:ind w:firstLine="708"/>
        <w:rPr>
          <w:u w:val="single"/>
        </w:rPr>
      </w:pPr>
      <w:r>
        <w:rPr>
          <w:u w:val="single"/>
        </w:rPr>
        <w:t xml:space="preserve">Davalı-kiracı KÖTÜ NİYETLİDİR VE MÜECCEL OLAN KİRA BEDELLERİNİ ÖDEMEMİŞTİR. </w:t>
      </w:r>
    </w:p>
    <w:p>
      <w:pPr>
        <w:pStyle w:val="Standard"/>
        <w:ind w:firstLine="708"/>
        <w:rPr/>
      </w:pPr>
      <w:r>
        <w:rPr/>
        <w:t>Davalı-kiracının talep ettiğimiz döneme ait tarafımıza yaptığı bir ödeme bulunmamakla birlikte takip talebimizde belirtilen kira bedelleri sehven eksik yazılmıştır;</w:t>
      </w:r>
    </w:p>
    <w:p>
      <w:pPr>
        <w:pStyle w:val="Standard"/>
        <w:rPr/>
      </w:pPr>
      <w:r>
        <w:rPr/>
      </w:r>
    </w:p>
    <w:p>
      <w:pPr>
        <w:pStyle w:val="Standard"/>
        <w:rPr/>
      </w:pPr>
      <w:r>
        <w:rPr/>
        <w:tab/>
        <w:t>Şöyle ki;</w:t>
      </w:r>
    </w:p>
    <w:p>
      <w:pPr>
        <w:pStyle w:val="Standard"/>
        <w:rPr/>
      </w:pPr>
      <w:r>
        <w:rPr/>
        <w:tab/>
        <w:t>Sözleşmenin belirsiz süreli sözleşmeye dönüşmesinden sonra ki iki yılda da Davalı-kiracı kira bedellerini yıllık tüfe oranında artışı ile peşin olarak banka havalesi ile ödemiştir. Takip talebimizde ise yıllık 12 aylık ortalama TÜFE üzerinden artışı hesaplanarak istenmesi gereken yıllara sair kira bedelleri, sehven ilk yıl kira bedeli olan 13,000 TL sabit yıllık kira bedeli olarak gösterilerek talep edilmiştir. Takibe konu dönemin kira bedelleri yıllık tüfe artışları ile aşağıdaki gibidir:</w:t>
      </w:r>
    </w:p>
    <w:p>
      <w:pPr>
        <w:pStyle w:val="Standard"/>
        <w:rPr/>
      </w:pPr>
      <w:r>
        <w:rPr/>
      </w:r>
    </w:p>
    <w:tbl>
      <w:tblPr>
        <w:tblW w:w="8566" w:type="dxa"/>
        <w:jc w:val="left"/>
        <w:tblInd w:w="-8" w:type="dxa"/>
        <w:tblLayout w:type="fixed"/>
        <w:tblCellMar>
          <w:top w:w="0" w:type="dxa"/>
          <w:left w:w="30" w:type="dxa"/>
          <w:bottom w:w="0" w:type="dxa"/>
          <w:right w:w="30" w:type="dxa"/>
        </w:tblCellMar>
        <w:tblLook w:val="04a0" w:noHBand="0" w:noVBand="1" w:firstColumn="1" w:lastRow="0" w:lastColumn="0" w:firstRow="1"/>
      </w:tblPr>
      <w:tblGrid>
        <w:gridCol w:w="1190"/>
        <w:gridCol w:w="1247"/>
        <w:gridCol w:w="3231"/>
        <w:gridCol w:w="2897"/>
      </w:tblGrid>
      <w:tr>
        <w:trPr>
          <w:trHeight w:val="276" w:hRule="atLeast"/>
        </w:trPr>
        <w:tc>
          <w:tcPr>
            <w:tcW w:w="2437" w:type="dxa"/>
            <w:gridSpan w:val="2"/>
            <w:tcBorders/>
            <w:shd w:color="auto" w:fill="auto" w:val="clear"/>
            <w:vAlign w:val="bottom"/>
          </w:tcPr>
          <w:p>
            <w:pPr>
              <w:pStyle w:val="Standard"/>
              <w:widowControl w:val="false"/>
              <w:jc w:val="center"/>
              <w:rPr/>
            </w:pPr>
            <w:r>
              <w:rPr/>
              <w:t>Kira dönemi</w:t>
            </w:r>
          </w:p>
        </w:tc>
        <w:tc>
          <w:tcPr>
            <w:tcW w:w="3231" w:type="dxa"/>
            <w:tcBorders/>
            <w:shd w:color="auto" w:fill="auto" w:val="clear"/>
            <w:vAlign w:val="bottom"/>
          </w:tcPr>
          <w:p>
            <w:pPr>
              <w:pStyle w:val="Standard"/>
              <w:widowControl w:val="false"/>
              <w:jc w:val="center"/>
              <w:rPr/>
            </w:pPr>
            <w:r>
              <w:rPr/>
              <w:t>Temmuz ayı 12 aylık ortalama  TÜFE oranı (%)</w:t>
            </w:r>
          </w:p>
        </w:tc>
        <w:tc>
          <w:tcPr>
            <w:tcW w:w="2897" w:type="dxa"/>
            <w:tcBorders/>
            <w:shd w:color="auto" w:fill="auto" w:val="clear"/>
            <w:vAlign w:val="bottom"/>
          </w:tcPr>
          <w:p>
            <w:pPr>
              <w:pStyle w:val="Standard"/>
              <w:widowControl w:val="false"/>
              <w:jc w:val="center"/>
              <w:rPr/>
            </w:pPr>
            <w:r>
              <w:rPr/>
              <w:t>TÜFE ile artırımı yapılmış kira bedeli (TL)</w:t>
            </w:r>
          </w:p>
        </w:tc>
      </w:tr>
      <w:tr>
        <w:trPr>
          <w:trHeight w:val="276" w:hRule="atLeast"/>
        </w:trPr>
        <w:tc>
          <w:tcPr>
            <w:tcW w:w="1190" w:type="dxa"/>
            <w:tcBorders/>
            <w:shd w:color="auto" w:fill="auto" w:val="clear"/>
            <w:vAlign w:val="bottom"/>
          </w:tcPr>
          <w:p>
            <w:pPr>
              <w:pStyle w:val="TableContents"/>
              <w:widowControl w:val="false"/>
              <w:jc w:val="right"/>
              <w:rPr/>
            </w:pPr>
            <w:r>
              <w:rPr/>
              <w:t>2012</w:t>
            </w:r>
          </w:p>
        </w:tc>
        <w:tc>
          <w:tcPr>
            <w:tcW w:w="1247" w:type="dxa"/>
            <w:tcBorders/>
            <w:shd w:color="auto" w:fill="auto" w:val="clear"/>
            <w:vAlign w:val="bottom"/>
          </w:tcPr>
          <w:p>
            <w:pPr>
              <w:pStyle w:val="TableContents"/>
              <w:widowControl w:val="false"/>
              <w:jc w:val="right"/>
              <w:rPr/>
            </w:pPr>
            <w:r>
              <w:rPr/>
              <w:t>2013</w:t>
            </w:r>
          </w:p>
        </w:tc>
        <w:tc>
          <w:tcPr>
            <w:tcW w:w="3231" w:type="dxa"/>
            <w:tcBorders/>
            <w:shd w:color="auto" w:fill="auto" w:val="clear"/>
            <w:vAlign w:val="bottom"/>
          </w:tcPr>
          <w:p>
            <w:pPr>
              <w:pStyle w:val="TableContents"/>
              <w:widowControl w:val="false"/>
              <w:jc w:val="right"/>
              <w:rPr/>
            </w:pPr>
            <w:r>
              <w:rPr/>
              <w:t>ödendi</w:t>
            </w:r>
          </w:p>
        </w:tc>
        <w:tc>
          <w:tcPr>
            <w:tcW w:w="2897" w:type="dxa"/>
            <w:tcBorders/>
            <w:shd w:color="auto" w:fill="auto" w:val="clear"/>
            <w:vAlign w:val="bottom"/>
          </w:tcPr>
          <w:p>
            <w:pPr>
              <w:pStyle w:val="TableContents"/>
              <w:widowControl w:val="false"/>
              <w:jc w:val="right"/>
              <w:rPr/>
            </w:pPr>
            <w:r>
              <w:rPr/>
              <w:t>13,000.00</w:t>
            </w:r>
          </w:p>
        </w:tc>
      </w:tr>
      <w:tr>
        <w:trPr>
          <w:trHeight w:val="276" w:hRule="atLeast"/>
        </w:trPr>
        <w:tc>
          <w:tcPr>
            <w:tcW w:w="1190" w:type="dxa"/>
            <w:tcBorders/>
            <w:shd w:color="auto" w:fill="auto" w:val="clear"/>
            <w:vAlign w:val="bottom"/>
          </w:tcPr>
          <w:p>
            <w:pPr>
              <w:pStyle w:val="TableContents"/>
              <w:widowControl w:val="false"/>
              <w:jc w:val="right"/>
              <w:rPr/>
            </w:pPr>
            <w:r>
              <w:rPr/>
              <w:t>2013</w:t>
            </w:r>
          </w:p>
        </w:tc>
        <w:tc>
          <w:tcPr>
            <w:tcW w:w="1247" w:type="dxa"/>
            <w:tcBorders/>
            <w:shd w:color="auto" w:fill="auto" w:val="clear"/>
            <w:vAlign w:val="bottom"/>
          </w:tcPr>
          <w:p>
            <w:pPr>
              <w:pStyle w:val="TableContents"/>
              <w:widowControl w:val="false"/>
              <w:jc w:val="right"/>
              <w:rPr/>
            </w:pPr>
            <w:r>
              <w:rPr/>
              <w:t>2014</w:t>
            </w:r>
          </w:p>
        </w:tc>
        <w:tc>
          <w:tcPr>
            <w:tcW w:w="3231" w:type="dxa"/>
            <w:tcBorders/>
            <w:shd w:color="auto" w:fill="auto" w:val="clear"/>
            <w:vAlign w:val="bottom"/>
          </w:tcPr>
          <w:p>
            <w:pPr>
              <w:pStyle w:val="TableContents"/>
              <w:widowControl w:val="false"/>
              <w:jc w:val="right"/>
              <w:rPr/>
            </w:pPr>
            <w:r>
              <w:rPr/>
              <w:t>ödendi</w:t>
            </w:r>
          </w:p>
        </w:tc>
        <w:tc>
          <w:tcPr>
            <w:tcW w:w="2897" w:type="dxa"/>
            <w:tcBorders/>
            <w:shd w:color="auto" w:fill="auto" w:val="clear"/>
            <w:vAlign w:val="bottom"/>
          </w:tcPr>
          <w:p>
            <w:pPr>
              <w:pStyle w:val="TableContents"/>
              <w:widowControl w:val="false"/>
              <w:jc w:val="right"/>
              <w:rPr/>
            </w:pPr>
            <w:r>
              <w:rPr/>
              <w:t>13,000.00</w:t>
            </w:r>
          </w:p>
        </w:tc>
      </w:tr>
      <w:tr>
        <w:trPr>
          <w:trHeight w:val="276" w:hRule="atLeast"/>
        </w:trPr>
        <w:tc>
          <w:tcPr>
            <w:tcW w:w="1190" w:type="dxa"/>
            <w:tcBorders/>
            <w:shd w:color="auto" w:fill="auto" w:val="clear"/>
            <w:vAlign w:val="bottom"/>
          </w:tcPr>
          <w:p>
            <w:pPr>
              <w:pStyle w:val="TableContents"/>
              <w:widowControl w:val="false"/>
              <w:jc w:val="right"/>
              <w:rPr/>
            </w:pPr>
            <w:r>
              <w:rPr/>
              <w:t>2014</w:t>
            </w:r>
          </w:p>
        </w:tc>
        <w:tc>
          <w:tcPr>
            <w:tcW w:w="1247" w:type="dxa"/>
            <w:tcBorders/>
            <w:shd w:color="auto" w:fill="auto" w:val="clear"/>
            <w:vAlign w:val="bottom"/>
          </w:tcPr>
          <w:p>
            <w:pPr>
              <w:pStyle w:val="TableContents"/>
              <w:widowControl w:val="false"/>
              <w:jc w:val="right"/>
              <w:rPr/>
            </w:pPr>
            <w:r>
              <w:rPr/>
              <w:t>2015</w:t>
            </w:r>
          </w:p>
        </w:tc>
        <w:tc>
          <w:tcPr>
            <w:tcW w:w="3231" w:type="dxa"/>
            <w:tcBorders/>
            <w:shd w:color="auto" w:fill="auto" w:val="clear"/>
            <w:vAlign w:val="bottom"/>
          </w:tcPr>
          <w:p>
            <w:pPr>
              <w:pStyle w:val="TableContents"/>
              <w:widowControl w:val="false"/>
              <w:jc w:val="right"/>
              <w:rPr/>
            </w:pPr>
            <w:r>
              <w:rPr/>
              <w:t>TÜFE artışı ile ödendi</w:t>
            </w:r>
          </w:p>
        </w:tc>
        <w:tc>
          <w:tcPr>
            <w:tcW w:w="2897" w:type="dxa"/>
            <w:tcBorders/>
            <w:shd w:color="auto" w:fill="auto" w:val="clear"/>
            <w:vAlign w:val="bottom"/>
          </w:tcPr>
          <w:p>
            <w:pPr>
              <w:pStyle w:val="TableContents"/>
              <w:widowControl w:val="false"/>
              <w:jc w:val="right"/>
              <w:rPr/>
            </w:pPr>
            <w:r>
              <w:rPr/>
              <w:t>15,000.00</w:t>
            </w:r>
          </w:p>
        </w:tc>
      </w:tr>
      <w:tr>
        <w:trPr>
          <w:trHeight w:val="276" w:hRule="atLeast"/>
        </w:trPr>
        <w:tc>
          <w:tcPr>
            <w:tcW w:w="1190" w:type="dxa"/>
            <w:tcBorders/>
            <w:shd w:color="auto" w:fill="auto" w:val="clear"/>
            <w:vAlign w:val="bottom"/>
          </w:tcPr>
          <w:p>
            <w:pPr>
              <w:pStyle w:val="Standard"/>
              <w:widowControl w:val="false"/>
              <w:jc w:val="right"/>
              <w:rPr/>
            </w:pPr>
            <w:r>
              <w:rPr/>
              <w:t>2015</w:t>
            </w:r>
          </w:p>
        </w:tc>
        <w:tc>
          <w:tcPr>
            <w:tcW w:w="1247" w:type="dxa"/>
            <w:tcBorders/>
            <w:shd w:color="auto" w:fill="auto" w:val="clear"/>
            <w:vAlign w:val="bottom"/>
          </w:tcPr>
          <w:p>
            <w:pPr>
              <w:pStyle w:val="Standard"/>
              <w:widowControl w:val="false"/>
              <w:jc w:val="right"/>
              <w:rPr/>
            </w:pPr>
            <w:r>
              <w:rPr/>
              <w:t>2016</w:t>
            </w:r>
          </w:p>
        </w:tc>
        <w:tc>
          <w:tcPr>
            <w:tcW w:w="3231" w:type="dxa"/>
            <w:tcBorders/>
            <w:shd w:color="auto" w:fill="auto" w:val="clear"/>
            <w:vAlign w:val="bottom"/>
          </w:tcPr>
          <w:p>
            <w:pPr>
              <w:pStyle w:val="TableContents"/>
              <w:widowControl w:val="false"/>
              <w:jc w:val="right"/>
              <w:rPr/>
            </w:pPr>
            <w:r>
              <w:rPr/>
              <w:t>TÜFE artışı ile ödendi</w:t>
            </w:r>
          </w:p>
        </w:tc>
        <w:tc>
          <w:tcPr>
            <w:tcW w:w="2897" w:type="dxa"/>
            <w:tcBorders/>
            <w:shd w:color="auto" w:fill="auto" w:val="clear"/>
            <w:vAlign w:val="bottom"/>
          </w:tcPr>
          <w:p>
            <w:pPr>
              <w:pStyle w:val="Standard"/>
              <w:widowControl w:val="false"/>
              <w:jc w:val="right"/>
              <w:rPr/>
            </w:pPr>
            <w:r>
              <w:rPr/>
              <w:t>20,000.00</w:t>
            </w:r>
          </w:p>
        </w:tc>
      </w:tr>
      <w:tr>
        <w:trPr>
          <w:trHeight w:val="276" w:hRule="atLeast"/>
        </w:trPr>
        <w:tc>
          <w:tcPr>
            <w:tcW w:w="1190" w:type="dxa"/>
            <w:tcBorders/>
            <w:shd w:color="auto" w:fill="auto" w:val="clear"/>
            <w:vAlign w:val="bottom"/>
          </w:tcPr>
          <w:p>
            <w:pPr>
              <w:pStyle w:val="Standard"/>
              <w:widowControl w:val="false"/>
              <w:jc w:val="right"/>
              <w:rPr/>
            </w:pPr>
            <w:r>
              <w:rPr/>
              <w:t>2016</w:t>
            </w:r>
          </w:p>
        </w:tc>
        <w:tc>
          <w:tcPr>
            <w:tcW w:w="1247" w:type="dxa"/>
            <w:tcBorders/>
            <w:shd w:color="auto" w:fill="auto" w:val="clear"/>
            <w:vAlign w:val="bottom"/>
          </w:tcPr>
          <w:p>
            <w:pPr>
              <w:pStyle w:val="Standard"/>
              <w:widowControl w:val="false"/>
              <w:jc w:val="right"/>
              <w:rPr/>
            </w:pPr>
            <w:r>
              <w:rPr/>
              <w:t>2017</w:t>
            </w:r>
          </w:p>
        </w:tc>
        <w:tc>
          <w:tcPr>
            <w:tcW w:w="3231" w:type="dxa"/>
            <w:tcBorders/>
            <w:shd w:color="auto" w:fill="auto" w:val="clear"/>
            <w:vAlign w:val="bottom"/>
          </w:tcPr>
          <w:p>
            <w:pPr>
              <w:pStyle w:val="Standard"/>
              <w:widowControl w:val="false"/>
              <w:jc w:val="center"/>
              <w:rPr/>
            </w:pPr>
            <w:r>
              <w:rPr/>
              <w:t>7,91</w:t>
            </w:r>
          </w:p>
        </w:tc>
        <w:tc>
          <w:tcPr>
            <w:tcW w:w="2897" w:type="dxa"/>
            <w:tcBorders/>
            <w:shd w:color="auto" w:fill="auto" w:val="clear"/>
            <w:vAlign w:val="bottom"/>
          </w:tcPr>
          <w:p>
            <w:pPr>
              <w:pStyle w:val="Standard"/>
              <w:widowControl w:val="false"/>
              <w:jc w:val="right"/>
              <w:rPr/>
            </w:pPr>
            <w:r>
              <w:rPr/>
              <w:t>21,582.00</w:t>
            </w:r>
          </w:p>
        </w:tc>
      </w:tr>
      <w:tr>
        <w:trPr>
          <w:trHeight w:val="276" w:hRule="atLeast"/>
        </w:trPr>
        <w:tc>
          <w:tcPr>
            <w:tcW w:w="1190" w:type="dxa"/>
            <w:tcBorders/>
            <w:shd w:color="auto" w:fill="auto" w:val="clear"/>
            <w:vAlign w:val="bottom"/>
          </w:tcPr>
          <w:p>
            <w:pPr>
              <w:pStyle w:val="Standard"/>
              <w:widowControl w:val="false"/>
              <w:jc w:val="right"/>
              <w:rPr>
                <w:b/>
                <w:b/>
                <w:bCs/>
              </w:rPr>
            </w:pPr>
            <w:r>
              <w:rPr>
                <w:b/>
                <w:bCs/>
              </w:rPr>
              <w:t>2017</w:t>
            </w:r>
          </w:p>
        </w:tc>
        <w:tc>
          <w:tcPr>
            <w:tcW w:w="1247" w:type="dxa"/>
            <w:tcBorders/>
            <w:shd w:color="auto" w:fill="auto" w:val="clear"/>
            <w:vAlign w:val="bottom"/>
          </w:tcPr>
          <w:p>
            <w:pPr>
              <w:pStyle w:val="Standard"/>
              <w:widowControl w:val="false"/>
              <w:jc w:val="right"/>
              <w:rPr>
                <w:b/>
                <w:b/>
                <w:bCs/>
              </w:rPr>
            </w:pPr>
            <w:r>
              <w:rPr>
                <w:b/>
                <w:bCs/>
              </w:rPr>
              <w:t>2018</w:t>
            </w:r>
          </w:p>
        </w:tc>
        <w:tc>
          <w:tcPr>
            <w:tcW w:w="3231" w:type="dxa"/>
            <w:tcBorders/>
            <w:shd w:color="auto" w:fill="auto" w:val="clear"/>
            <w:vAlign w:val="bottom"/>
          </w:tcPr>
          <w:p>
            <w:pPr>
              <w:pStyle w:val="Standard"/>
              <w:widowControl w:val="false"/>
              <w:jc w:val="center"/>
              <w:rPr>
                <w:b/>
                <w:b/>
                <w:bCs/>
              </w:rPr>
            </w:pPr>
            <w:r>
              <w:rPr>
                <w:b/>
                <w:bCs/>
              </w:rPr>
              <w:t>9,44</w:t>
            </w:r>
          </w:p>
        </w:tc>
        <w:tc>
          <w:tcPr>
            <w:tcW w:w="2897" w:type="dxa"/>
            <w:tcBorders/>
            <w:shd w:color="auto" w:fill="auto" w:val="clear"/>
            <w:vAlign w:val="bottom"/>
          </w:tcPr>
          <w:p>
            <w:pPr>
              <w:pStyle w:val="Standard"/>
              <w:widowControl w:val="false"/>
              <w:jc w:val="right"/>
              <w:rPr>
                <w:b/>
                <w:b/>
                <w:bCs/>
              </w:rPr>
            </w:pPr>
            <w:r>
              <w:rPr>
                <w:b/>
                <w:bCs/>
              </w:rPr>
              <w:t>23,619.34</w:t>
            </w:r>
          </w:p>
        </w:tc>
      </w:tr>
      <w:tr>
        <w:trPr>
          <w:trHeight w:val="276" w:hRule="atLeast"/>
        </w:trPr>
        <w:tc>
          <w:tcPr>
            <w:tcW w:w="1190" w:type="dxa"/>
            <w:tcBorders/>
            <w:shd w:color="auto" w:fill="auto" w:val="clear"/>
            <w:vAlign w:val="bottom"/>
          </w:tcPr>
          <w:p>
            <w:pPr>
              <w:pStyle w:val="Standard"/>
              <w:widowControl w:val="false"/>
              <w:jc w:val="right"/>
              <w:rPr>
                <w:b/>
                <w:b/>
                <w:bCs/>
              </w:rPr>
            </w:pPr>
            <w:r>
              <w:rPr>
                <w:b/>
                <w:bCs/>
              </w:rPr>
              <w:t>2018</w:t>
            </w:r>
          </w:p>
        </w:tc>
        <w:tc>
          <w:tcPr>
            <w:tcW w:w="1247" w:type="dxa"/>
            <w:tcBorders/>
            <w:shd w:color="auto" w:fill="auto" w:val="clear"/>
            <w:vAlign w:val="bottom"/>
          </w:tcPr>
          <w:p>
            <w:pPr>
              <w:pStyle w:val="Standard"/>
              <w:widowControl w:val="false"/>
              <w:jc w:val="right"/>
              <w:rPr>
                <w:b/>
                <w:b/>
                <w:bCs/>
              </w:rPr>
            </w:pPr>
            <w:r>
              <w:rPr>
                <w:b/>
                <w:bCs/>
              </w:rPr>
              <w:t>2019</w:t>
            </w:r>
          </w:p>
        </w:tc>
        <w:tc>
          <w:tcPr>
            <w:tcW w:w="3231" w:type="dxa"/>
            <w:tcBorders/>
            <w:shd w:color="auto" w:fill="auto" w:val="clear"/>
            <w:vAlign w:val="bottom"/>
          </w:tcPr>
          <w:p>
            <w:pPr>
              <w:pStyle w:val="Standard"/>
              <w:widowControl w:val="false"/>
              <w:jc w:val="center"/>
              <w:rPr>
                <w:b/>
                <w:b/>
                <w:bCs/>
              </w:rPr>
            </w:pPr>
            <w:r>
              <w:rPr>
                <w:b/>
                <w:bCs/>
              </w:rPr>
              <w:t>12,00</w:t>
            </w:r>
          </w:p>
        </w:tc>
        <w:tc>
          <w:tcPr>
            <w:tcW w:w="2897" w:type="dxa"/>
            <w:tcBorders/>
            <w:shd w:color="auto" w:fill="auto" w:val="clear"/>
            <w:vAlign w:val="bottom"/>
          </w:tcPr>
          <w:p>
            <w:pPr>
              <w:pStyle w:val="Standard"/>
              <w:widowControl w:val="false"/>
              <w:jc w:val="right"/>
              <w:rPr>
                <w:b/>
                <w:b/>
                <w:bCs/>
              </w:rPr>
            </w:pPr>
            <w:r>
              <w:rPr>
                <w:b/>
                <w:bCs/>
              </w:rPr>
              <w:t>26,453.66</w:t>
            </w:r>
          </w:p>
        </w:tc>
      </w:tr>
      <w:tr>
        <w:trPr>
          <w:trHeight w:val="276" w:hRule="atLeast"/>
        </w:trPr>
        <w:tc>
          <w:tcPr>
            <w:tcW w:w="1190" w:type="dxa"/>
            <w:tcBorders/>
            <w:shd w:color="auto" w:fill="auto" w:val="clear"/>
            <w:vAlign w:val="bottom"/>
          </w:tcPr>
          <w:p>
            <w:pPr>
              <w:pStyle w:val="Standard"/>
              <w:widowControl w:val="false"/>
              <w:jc w:val="right"/>
              <w:rPr>
                <w:b/>
                <w:b/>
                <w:bCs/>
              </w:rPr>
            </w:pPr>
            <w:r>
              <w:rPr>
                <w:b/>
                <w:bCs/>
              </w:rPr>
              <w:t>2019</w:t>
            </w:r>
          </w:p>
        </w:tc>
        <w:tc>
          <w:tcPr>
            <w:tcW w:w="1247" w:type="dxa"/>
            <w:tcBorders/>
            <w:shd w:color="auto" w:fill="auto" w:val="clear"/>
            <w:vAlign w:val="bottom"/>
          </w:tcPr>
          <w:p>
            <w:pPr>
              <w:pStyle w:val="Standard"/>
              <w:widowControl w:val="false"/>
              <w:jc w:val="right"/>
              <w:rPr>
                <w:b/>
                <w:b/>
                <w:bCs/>
              </w:rPr>
            </w:pPr>
            <w:r>
              <w:rPr>
                <w:b/>
                <w:bCs/>
              </w:rPr>
              <w:t>2020</w:t>
            </w:r>
          </w:p>
        </w:tc>
        <w:tc>
          <w:tcPr>
            <w:tcW w:w="3231" w:type="dxa"/>
            <w:tcBorders/>
            <w:shd w:color="auto" w:fill="auto" w:val="clear"/>
            <w:vAlign w:val="bottom"/>
          </w:tcPr>
          <w:p>
            <w:pPr>
              <w:pStyle w:val="Standard"/>
              <w:widowControl w:val="false"/>
              <w:jc w:val="center"/>
              <w:rPr>
                <w:b/>
                <w:b/>
                <w:bCs/>
              </w:rPr>
            </w:pPr>
            <w:r>
              <w:rPr>
                <w:b/>
                <w:bCs/>
              </w:rPr>
              <w:t>19,91</w:t>
            </w:r>
          </w:p>
        </w:tc>
        <w:tc>
          <w:tcPr>
            <w:tcW w:w="2897" w:type="dxa"/>
            <w:tcBorders/>
            <w:shd w:color="auto" w:fill="auto" w:val="clear"/>
            <w:vAlign w:val="bottom"/>
          </w:tcPr>
          <w:p>
            <w:pPr>
              <w:pStyle w:val="Standard"/>
              <w:widowControl w:val="false"/>
              <w:jc w:val="right"/>
              <w:rPr>
                <w:b/>
                <w:b/>
                <w:bCs/>
              </w:rPr>
            </w:pPr>
            <w:r>
              <w:rPr>
                <w:b/>
                <w:bCs/>
              </w:rPr>
              <w:t>31,720.59</w:t>
            </w:r>
          </w:p>
        </w:tc>
      </w:tr>
      <w:tr>
        <w:trPr>
          <w:trHeight w:val="276" w:hRule="atLeast"/>
        </w:trPr>
        <w:tc>
          <w:tcPr>
            <w:tcW w:w="1190" w:type="dxa"/>
            <w:tcBorders/>
            <w:shd w:color="auto" w:fill="auto" w:val="clear"/>
            <w:vAlign w:val="bottom"/>
          </w:tcPr>
          <w:p>
            <w:pPr>
              <w:pStyle w:val="Standard"/>
              <w:widowControl w:val="false"/>
              <w:jc w:val="right"/>
              <w:rPr>
                <w:b/>
                <w:b/>
                <w:bCs/>
              </w:rPr>
            </w:pPr>
            <w:r>
              <w:rPr>
                <w:b/>
                <w:bCs/>
              </w:rPr>
              <w:t>2020</w:t>
            </w:r>
          </w:p>
        </w:tc>
        <w:tc>
          <w:tcPr>
            <w:tcW w:w="1247" w:type="dxa"/>
            <w:tcBorders/>
            <w:shd w:color="auto" w:fill="auto" w:val="clear"/>
            <w:vAlign w:val="bottom"/>
          </w:tcPr>
          <w:p>
            <w:pPr>
              <w:pStyle w:val="Standard"/>
              <w:widowControl w:val="false"/>
              <w:jc w:val="right"/>
              <w:rPr>
                <w:b/>
                <w:b/>
                <w:bCs/>
              </w:rPr>
            </w:pPr>
            <w:r>
              <w:rPr>
                <w:b/>
                <w:bCs/>
              </w:rPr>
              <w:t>2021</w:t>
            </w:r>
          </w:p>
        </w:tc>
        <w:tc>
          <w:tcPr>
            <w:tcW w:w="3231" w:type="dxa"/>
            <w:tcBorders/>
            <w:shd w:color="auto" w:fill="auto" w:val="clear"/>
            <w:vAlign w:val="bottom"/>
          </w:tcPr>
          <w:p>
            <w:pPr>
              <w:pStyle w:val="Standard"/>
              <w:widowControl w:val="false"/>
              <w:jc w:val="center"/>
              <w:rPr>
                <w:b/>
                <w:b/>
                <w:bCs/>
              </w:rPr>
            </w:pPr>
            <w:r>
              <w:rPr>
                <w:b/>
                <w:bCs/>
              </w:rPr>
              <w:t>11,51</w:t>
            </w:r>
          </w:p>
        </w:tc>
        <w:tc>
          <w:tcPr>
            <w:tcW w:w="2897" w:type="dxa"/>
            <w:tcBorders/>
            <w:shd w:color="auto" w:fill="auto" w:val="clear"/>
            <w:vAlign w:val="bottom"/>
          </w:tcPr>
          <w:p>
            <w:pPr>
              <w:pStyle w:val="Standard"/>
              <w:widowControl w:val="false"/>
              <w:jc w:val="right"/>
              <w:rPr>
                <w:b/>
                <w:b/>
                <w:bCs/>
              </w:rPr>
            </w:pPr>
            <w:r>
              <w:rPr>
                <w:b/>
                <w:bCs/>
              </w:rPr>
              <w:t>35,371.63</w:t>
            </w:r>
          </w:p>
        </w:tc>
      </w:tr>
      <w:tr>
        <w:trPr>
          <w:trHeight w:val="276" w:hRule="atLeast"/>
        </w:trPr>
        <w:tc>
          <w:tcPr>
            <w:tcW w:w="1190" w:type="dxa"/>
            <w:tcBorders/>
            <w:shd w:color="auto" w:fill="auto" w:val="clear"/>
            <w:vAlign w:val="bottom"/>
          </w:tcPr>
          <w:p>
            <w:pPr>
              <w:pStyle w:val="Standard"/>
              <w:widowControl w:val="false"/>
              <w:jc w:val="right"/>
              <w:rPr>
                <w:b/>
                <w:b/>
                <w:bCs/>
              </w:rPr>
            </w:pPr>
            <w:r>
              <w:rPr>
                <w:b/>
                <w:bCs/>
              </w:rPr>
              <w:t>2021</w:t>
            </w:r>
          </w:p>
        </w:tc>
        <w:tc>
          <w:tcPr>
            <w:tcW w:w="1247" w:type="dxa"/>
            <w:tcBorders/>
            <w:shd w:color="auto" w:fill="auto" w:val="clear"/>
            <w:vAlign w:val="bottom"/>
          </w:tcPr>
          <w:p>
            <w:pPr>
              <w:pStyle w:val="Standard"/>
              <w:widowControl w:val="false"/>
              <w:jc w:val="right"/>
              <w:rPr>
                <w:b/>
                <w:b/>
                <w:bCs/>
              </w:rPr>
            </w:pPr>
            <w:r>
              <w:rPr>
                <w:b/>
                <w:bCs/>
              </w:rPr>
              <w:t>2022</w:t>
            </w:r>
          </w:p>
        </w:tc>
        <w:tc>
          <w:tcPr>
            <w:tcW w:w="3231" w:type="dxa"/>
            <w:tcBorders/>
            <w:shd w:color="auto" w:fill="auto" w:val="clear"/>
            <w:vAlign w:val="bottom"/>
          </w:tcPr>
          <w:p>
            <w:pPr>
              <w:pStyle w:val="Standard"/>
              <w:widowControl w:val="false"/>
              <w:jc w:val="center"/>
              <w:rPr>
                <w:b/>
                <w:b/>
                <w:bCs/>
              </w:rPr>
            </w:pPr>
            <w:r>
              <w:rPr>
                <w:b/>
                <w:bCs/>
              </w:rPr>
              <w:t>15,15</w:t>
            </w:r>
          </w:p>
        </w:tc>
        <w:tc>
          <w:tcPr>
            <w:tcW w:w="2897" w:type="dxa"/>
            <w:tcBorders/>
            <w:shd w:color="auto" w:fill="auto" w:val="clear"/>
            <w:vAlign w:val="bottom"/>
          </w:tcPr>
          <w:p>
            <w:pPr>
              <w:pStyle w:val="Standard"/>
              <w:widowControl w:val="false"/>
              <w:jc w:val="right"/>
              <w:rPr>
                <w:b/>
                <w:b/>
                <w:bCs/>
              </w:rPr>
            </w:pPr>
            <w:r>
              <w:rPr>
                <w:b/>
                <w:bCs/>
              </w:rPr>
              <w:t>40,730.43</w:t>
            </w:r>
          </w:p>
        </w:tc>
      </w:tr>
    </w:tbl>
    <w:p>
      <w:pPr>
        <w:pStyle w:val="Standard"/>
        <w:rPr/>
      </w:pPr>
      <w:r>
        <w:rPr/>
        <w:tab/>
        <w:t xml:space="preserve">Talep edilen dönem 2017-2021 dönemidir. </w:t>
      </w:r>
    </w:p>
    <w:p>
      <w:pPr>
        <w:pStyle w:val="Standard"/>
        <w:rPr/>
      </w:pPr>
      <w:r>
        <w:rPr/>
        <w:tab/>
      </w:r>
    </w:p>
    <w:p>
      <w:pPr>
        <w:pStyle w:val="Standard"/>
        <w:rPr/>
      </w:pPr>
      <w:r>
        <w:rPr/>
      </w:r>
    </w:p>
    <w:p>
      <w:pPr>
        <w:pStyle w:val="Standard"/>
        <w:rPr/>
      </w:pPr>
      <w:r>
        <w:rPr/>
      </w:r>
    </w:p>
    <w:p>
      <w:pPr>
        <w:pStyle w:val="Standard"/>
        <w:rPr>
          <w:b/>
          <w:b/>
          <w:bCs/>
        </w:rPr>
      </w:pPr>
      <w:r>
        <w:rPr>
          <w:b/>
          <w:bCs/>
        </w:rPr>
        <w:tab/>
        <w:t>Yukarıda açıklanan sebeplerle;</w:t>
      </w:r>
    </w:p>
    <w:p>
      <w:pPr>
        <w:pStyle w:val="Standard"/>
        <w:rPr/>
      </w:pPr>
      <w:r>
        <w:rPr/>
        <w:t>1- Sehven eksik talep edilen miktarın, yasal faizi ve  %40’ dan az olmamak üzere inkar tazminatının da hesaplanarak tarafımıza ödenmesini;</w:t>
      </w:r>
    </w:p>
    <w:p>
      <w:pPr>
        <w:pStyle w:val="Standard"/>
        <w:rPr/>
      </w:pPr>
      <w:r>
        <w:rPr/>
        <w:t xml:space="preserve">2- </w:t>
      </w:r>
      <w:r>
        <w:rPr>
          <w:rStyle w:val="Emphasis"/>
          <w:i w:val="false"/>
          <w:iCs w:val="false"/>
        </w:rPr>
        <w:t xml:space="preserve">Yargıtay 3. Hukuk Dairesi 2017/8357 E. 2019/4928 Kararı ve </w:t>
      </w:r>
      <w:r>
        <w:rPr>
          <w:rFonts w:eastAsia="Times New Roman" w:cs="Times New Roman"/>
          <w:color w:val="auto"/>
          <w:kern w:val="0"/>
          <w:lang w:eastAsia="tr-TR" w:bidi="ar-SA"/>
        </w:rPr>
        <w:t>Yargıtay Hukuk Genel Kurulunun 18.01.2022 tarih, 2018/708 Esas no,  2022/11 Kararı</w:t>
      </w:r>
      <w:r>
        <w:rPr>
          <w:rStyle w:val="Emphasis"/>
          <w:i w:val="false"/>
          <w:iCs w:val="false"/>
        </w:rPr>
        <w:t>nın da göz önünde bulundurularak davanın sonuçlandırılması için gereğini</w:t>
      </w:r>
      <w:r>
        <w:rPr/>
        <w:t xml:space="preserve"> talep ederiz.</w:t>
      </w:r>
    </w:p>
    <w:p>
      <w:pPr>
        <w:pStyle w:val="Standard"/>
        <w:rPr/>
      </w:pPr>
      <w:r>
        <w:rPr/>
      </w:r>
    </w:p>
    <w:p>
      <w:pPr>
        <w:pStyle w:val="Standard"/>
        <w:rPr/>
      </w:pPr>
      <w:r>
        <w:rPr/>
      </w:r>
    </w:p>
    <w:p>
      <w:pPr>
        <w:pStyle w:val="Standard"/>
        <w:rPr/>
      </w:pPr>
      <w:r>
        <w:rPr/>
      </w:r>
    </w:p>
    <w:p>
      <w:pPr>
        <w:pStyle w:val="Standard"/>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85" w:hanging="360"/>
      </w:pPr>
      <w:rPr>
        <w:rFonts w:ascii="Symbol" w:hAnsi="Symbol" w:cs="Symbol" w:hint="default"/>
      </w:rPr>
    </w:lvl>
    <w:lvl w:ilvl="1">
      <w:start w:val="0"/>
      <w:numFmt w:val="bullet"/>
      <w:lvlText w:val="◦"/>
      <w:lvlJc w:val="left"/>
      <w:pPr>
        <w:tabs>
          <w:tab w:val="num" w:pos="0"/>
        </w:tabs>
        <w:ind w:left="1145" w:hanging="360"/>
      </w:pPr>
      <w:rPr>
        <w:rFonts w:ascii="OpenSymbol" w:hAnsi="OpenSymbol" w:cs="OpenSymbol" w:hint="default"/>
      </w:rPr>
    </w:lvl>
    <w:lvl w:ilvl="2">
      <w:start w:val="0"/>
      <w:numFmt w:val="bullet"/>
      <w:lvlText w:val="▪"/>
      <w:lvlJc w:val="left"/>
      <w:pPr>
        <w:tabs>
          <w:tab w:val="num" w:pos="0"/>
        </w:tabs>
        <w:ind w:left="1505" w:hanging="360"/>
      </w:pPr>
      <w:rPr>
        <w:rFonts w:ascii="OpenSymbol" w:hAnsi="OpenSymbol" w:cs="OpenSymbol" w:hint="default"/>
      </w:rPr>
    </w:lvl>
    <w:lvl w:ilvl="3">
      <w:start w:val="0"/>
      <w:numFmt w:val="bullet"/>
      <w:lvlText w:val=""/>
      <w:lvlJc w:val="left"/>
      <w:pPr>
        <w:tabs>
          <w:tab w:val="num" w:pos="0"/>
        </w:tabs>
        <w:ind w:left="1865" w:hanging="360"/>
      </w:pPr>
      <w:rPr>
        <w:rFonts w:ascii="Symbol" w:hAnsi="Symbol" w:cs="Symbol" w:hint="default"/>
      </w:rPr>
    </w:lvl>
    <w:lvl w:ilvl="4">
      <w:start w:val="0"/>
      <w:numFmt w:val="bullet"/>
      <w:lvlText w:val="◦"/>
      <w:lvlJc w:val="left"/>
      <w:pPr>
        <w:tabs>
          <w:tab w:val="num" w:pos="0"/>
        </w:tabs>
        <w:ind w:left="2225" w:hanging="360"/>
      </w:pPr>
      <w:rPr>
        <w:rFonts w:ascii="OpenSymbol" w:hAnsi="OpenSymbol" w:cs="OpenSymbol" w:hint="default"/>
      </w:rPr>
    </w:lvl>
    <w:lvl w:ilvl="5">
      <w:start w:val="0"/>
      <w:numFmt w:val="bullet"/>
      <w:lvlText w:val="▪"/>
      <w:lvlJc w:val="left"/>
      <w:pPr>
        <w:tabs>
          <w:tab w:val="num" w:pos="0"/>
        </w:tabs>
        <w:ind w:left="2585" w:hanging="360"/>
      </w:pPr>
      <w:rPr>
        <w:rFonts w:ascii="OpenSymbol" w:hAnsi="OpenSymbol" w:cs="OpenSymbol" w:hint="default"/>
      </w:rPr>
    </w:lvl>
    <w:lvl w:ilvl="6">
      <w:start w:val="0"/>
      <w:numFmt w:val="bullet"/>
      <w:lvlText w:val=""/>
      <w:lvlJc w:val="left"/>
      <w:pPr>
        <w:tabs>
          <w:tab w:val="num" w:pos="0"/>
        </w:tabs>
        <w:ind w:left="2945" w:hanging="360"/>
      </w:pPr>
      <w:rPr>
        <w:rFonts w:ascii="Symbol" w:hAnsi="Symbol" w:cs="Symbol" w:hint="default"/>
      </w:rPr>
    </w:lvl>
    <w:lvl w:ilvl="7">
      <w:start w:val="0"/>
      <w:numFmt w:val="bullet"/>
      <w:lvlText w:val="◦"/>
      <w:lvlJc w:val="left"/>
      <w:pPr>
        <w:tabs>
          <w:tab w:val="num" w:pos="0"/>
        </w:tabs>
        <w:ind w:left="3305" w:hanging="360"/>
      </w:pPr>
      <w:rPr>
        <w:rFonts w:ascii="OpenSymbol" w:hAnsi="OpenSymbol" w:cs="OpenSymbol" w:hint="default"/>
      </w:rPr>
    </w:lvl>
    <w:lvl w:ilvl="8">
      <w:start w:val="0"/>
      <w:numFmt w:val="bullet"/>
      <w:lvlText w:val="▪"/>
      <w:lvlJc w:val="left"/>
      <w:pPr>
        <w:tabs>
          <w:tab w:val="num" w:pos="0"/>
        </w:tabs>
        <w:ind w:left="3665" w:hanging="360"/>
      </w:pPr>
      <w:rPr>
        <w:rFonts w:ascii="OpenSymbol" w:hAnsi="OpenSymbol" w:cs="OpenSymbol" w:hint="default"/>
      </w:rPr>
    </w:lvl>
  </w:abstractNum>
  <w:abstractNum w:abstractNumId="2">
    <w:lvl w:ilvl="0">
      <w:start w:val="1"/>
      <w:numFmt w:val="decimal"/>
      <w:lvlText w:val="%1)"/>
      <w:lvlJc w:val="left"/>
      <w:pPr>
        <w:tabs>
          <w:tab w:val="num" w:pos="0"/>
        </w:tabs>
        <w:ind w:left="420" w:hanging="360"/>
      </w:pPr>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3">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w:color w:val="000000"/>
        <w:kern w:val="2"/>
        <w:sz w:val="24"/>
        <w:szCs w:val="24"/>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DejaVu Sans" w:cs="Noto Sans Arabic"/>
      <w:color w:val="000000"/>
      <w:kern w:val="2"/>
      <w:sz w:val="24"/>
      <w:szCs w:val="24"/>
      <w:lang w:val="tr-TR"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trong">
    <w:name w:val="Strong"/>
    <w:basedOn w:val="DefaultParagraphFont"/>
    <w:uiPriority w:val="22"/>
    <w:qFormat/>
    <w:rsid w:val="001423a5"/>
    <w:rPr>
      <w:b/>
      <w:bCs/>
    </w:rPr>
  </w:style>
  <w:style w:type="character" w:styleId="InternetLink">
    <w:name w:val="Hyperlink"/>
    <w:basedOn w:val="DefaultParagraphFont"/>
    <w:uiPriority w:val="99"/>
    <w:semiHidden/>
    <w:unhideWhenUsed/>
    <w:rsid w:val="00be0ea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andard" w:customStyle="1">
    <w:name w:val="Standard"/>
    <w:qFormat/>
    <w:pPr>
      <w:widowControl w:val="false"/>
      <w:suppressAutoHyphens w:val="true"/>
      <w:bidi w:val="0"/>
      <w:spacing w:before="0" w:after="0"/>
      <w:jc w:val="left"/>
      <w:textAlignment w:val="baseline"/>
    </w:pPr>
    <w:rPr>
      <w:rFonts w:ascii="Liberation Serif" w:hAnsi="Liberation Serif" w:eastAsia="DejaVu Sans" w:cs="Noto Sans Arabic"/>
      <w:color w:val="000000"/>
      <w:kern w:val="2"/>
      <w:sz w:val="24"/>
      <w:szCs w:val="24"/>
      <w:lang w:val="tr-TR" w:eastAsia="zh-CN" w:bidi="hi-IN"/>
    </w:rPr>
  </w:style>
  <w:style w:type="paragraph" w:styleId="Textbody1" w:customStyle="1">
    <w:name w:val="Text body"/>
    <w:basedOn w:val="Standard"/>
    <w:qFormat/>
    <w:pPr>
      <w:spacing w:lineRule="auto" w:line="276" w:before="0" w:after="283"/>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e72f1d"/>
    <w:pPr>
      <w:widowControl/>
      <w:suppressAutoHyphens w:val="false"/>
      <w:spacing w:beforeAutospacing="1" w:afterAutospacing="1"/>
      <w:textAlignment w:val="auto"/>
    </w:pPr>
    <w:rPr>
      <w:rFonts w:ascii="Times New Roman" w:hAnsi="Times New Roman" w:eastAsia="Times New Roman" w:cs="Times New Roman"/>
      <w:color w:val="auto"/>
      <w:kern w:val="0"/>
      <w:lang w:eastAsia="tr-TR"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Application>LibreOffice/7.3.7.2$Linux_X86_64 LibreOffice_project/30$Build-2</Application>
  <AppVersion>15.0000</AppVersion>
  <Pages>3</Pages>
  <Words>1192</Words>
  <Characters>8432</Characters>
  <CharactersWithSpaces>9577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2023-11-11T12:26:00Z</dcterms:created>
  <dc:creator>m</dc:creator>
  <dc:description/>
  <dc:language>tr-TR</dc:language>
  <cp:lastModifiedBy/>
  <dcterms:modified xsi:type="dcterms:W3CDTF">2023-11-12T00:03:51Z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