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AD8C" w14:textId="29EFB816" w:rsidR="00E81F8D" w:rsidRDefault="00237784">
      <w:r>
        <w:t>Dava dilekçesine cevap</w:t>
      </w:r>
    </w:p>
    <w:p w14:paraId="6C75F9C8" w14:textId="04FC6D0A" w:rsidR="00237784" w:rsidRDefault="00237784"/>
    <w:p w14:paraId="62EFC404" w14:textId="4AFC9810" w:rsidR="00237784" w:rsidRDefault="00237784" w:rsidP="00237784">
      <w:pPr>
        <w:pStyle w:val="ListeParagraf"/>
        <w:numPr>
          <w:ilvl w:val="0"/>
          <w:numId w:val="1"/>
        </w:numPr>
      </w:pPr>
      <w:r>
        <w:t xml:space="preserve">Dava dilekçesinin 2. Maddesinde noter marifetiyle hazırlanmış redevans sözleşmesinden bahsedilmektedir. </w:t>
      </w:r>
    </w:p>
    <w:p w14:paraId="23D3DAA2" w14:textId="0B94B032" w:rsidR="00237784" w:rsidRDefault="00237784" w:rsidP="00237784">
      <w:pPr>
        <w:pStyle w:val="Standard"/>
        <w:ind w:firstLine="360"/>
        <w:jc w:val="both"/>
      </w:pPr>
      <w:proofErr w:type="spellStart"/>
      <w:r>
        <w:rPr>
          <w:rFonts w:cs="Calibri"/>
          <w:u w:val="single"/>
        </w:rPr>
        <w:t>Karmen</w:t>
      </w:r>
      <w:proofErr w:type="spellEnd"/>
      <w:r>
        <w:rPr>
          <w:rFonts w:cs="Calibri"/>
          <w:u w:val="single"/>
        </w:rPr>
        <w:t xml:space="preserve"> mad. </w:t>
      </w:r>
      <w:proofErr w:type="spellStart"/>
      <w:r>
        <w:rPr>
          <w:rFonts w:cs="Calibri"/>
          <w:u w:val="single"/>
        </w:rPr>
        <w:t>Mer</w:t>
      </w:r>
      <w:proofErr w:type="spellEnd"/>
      <w:r>
        <w:rPr>
          <w:rFonts w:cs="Calibri"/>
          <w:u w:val="single"/>
        </w:rPr>
        <w:t xml:space="preserve">. San. Ve tic. Ltd. </w:t>
      </w:r>
      <w:r>
        <w:rPr>
          <w:rFonts w:cs="Calibri" w:hint="cs"/>
          <w:u w:val="single"/>
        </w:rPr>
        <w:t>Ş</w:t>
      </w:r>
      <w:r>
        <w:rPr>
          <w:rFonts w:cs="Calibri"/>
          <w:u w:val="single"/>
        </w:rPr>
        <w:t>ti. ile yapt</w:t>
      </w:r>
      <w:r>
        <w:rPr>
          <w:rFonts w:cs="Calibri" w:hint="cs"/>
          <w:u w:val="single"/>
        </w:rPr>
        <w:t>ığı</w:t>
      </w:r>
      <w:r>
        <w:rPr>
          <w:rFonts w:cs="Calibri"/>
          <w:u w:val="single"/>
        </w:rPr>
        <w:t>m</w:t>
      </w:r>
      <w:r>
        <w:rPr>
          <w:rFonts w:cs="Calibri" w:hint="cs"/>
          <w:u w:val="single"/>
        </w:rPr>
        <w:t>ı</w:t>
      </w:r>
      <w:r>
        <w:rPr>
          <w:rFonts w:cs="Calibri"/>
          <w:u w:val="single"/>
        </w:rPr>
        <w:t>z s</w:t>
      </w:r>
      <w:r>
        <w:rPr>
          <w:rFonts w:cs="Calibri" w:hint="cs"/>
          <w:u w:val="single"/>
        </w:rPr>
        <w:t>ö</w:t>
      </w:r>
      <w:r>
        <w:rPr>
          <w:rFonts w:cs="Calibri"/>
          <w:u w:val="single"/>
        </w:rPr>
        <w:t>zle</w:t>
      </w:r>
      <w:r>
        <w:rPr>
          <w:rFonts w:cs="Calibri" w:hint="cs"/>
          <w:u w:val="single"/>
        </w:rPr>
        <w:t>ş</w:t>
      </w:r>
      <w:r>
        <w:rPr>
          <w:rFonts w:cs="Calibri"/>
          <w:u w:val="single"/>
        </w:rPr>
        <w:t>me firman</w:t>
      </w:r>
      <w:r>
        <w:rPr>
          <w:rFonts w:cs="Calibri" w:hint="cs"/>
          <w:u w:val="single"/>
        </w:rPr>
        <w:t>ı</w:t>
      </w:r>
      <w:r>
        <w:rPr>
          <w:rFonts w:cs="Calibri"/>
          <w:u w:val="single"/>
        </w:rPr>
        <w:t>n aldatmayla s</w:t>
      </w:r>
      <w:r>
        <w:rPr>
          <w:rFonts w:cs="Calibri" w:hint="cs"/>
          <w:u w:val="single"/>
        </w:rPr>
        <w:t>ö</w:t>
      </w:r>
      <w:r>
        <w:rPr>
          <w:rFonts w:cs="Calibri"/>
          <w:u w:val="single"/>
        </w:rPr>
        <w:t>zle</w:t>
      </w:r>
      <w:r>
        <w:rPr>
          <w:rFonts w:cs="Calibri" w:hint="cs"/>
          <w:u w:val="single"/>
        </w:rPr>
        <w:t>ş</w:t>
      </w:r>
      <w:r>
        <w:rPr>
          <w:rFonts w:cs="Calibri"/>
          <w:u w:val="single"/>
        </w:rPr>
        <w:t>me haz</w:t>
      </w:r>
      <w:r>
        <w:rPr>
          <w:rFonts w:cs="Calibri" w:hint="cs"/>
          <w:u w:val="single"/>
        </w:rPr>
        <w:t>ı</w:t>
      </w:r>
      <w:r>
        <w:rPr>
          <w:rFonts w:cs="Calibri"/>
          <w:u w:val="single"/>
        </w:rPr>
        <w:t>rlamas</w:t>
      </w:r>
      <w:r>
        <w:rPr>
          <w:rFonts w:cs="Calibri" w:hint="cs"/>
          <w:u w:val="single"/>
        </w:rPr>
        <w:t>ı</w:t>
      </w:r>
      <w:r>
        <w:rPr>
          <w:rFonts w:cs="Calibri"/>
          <w:u w:val="single"/>
        </w:rPr>
        <w:t xml:space="preserve"> nedeni ile  hukuken ge</w:t>
      </w:r>
      <w:r>
        <w:rPr>
          <w:rFonts w:cs="Calibri" w:hint="cs"/>
          <w:u w:val="single"/>
        </w:rPr>
        <w:t>ç</w:t>
      </w:r>
      <w:r>
        <w:rPr>
          <w:rFonts w:cs="Calibri"/>
          <w:u w:val="single"/>
        </w:rPr>
        <w:t>ersizdir.</w:t>
      </w:r>
    </w:p>
    <w:p w14:paraId="11774A4D" w14:textId="3728A7A3" w:rsidR="00237784" w:rsidRDefault="00237784" w:rsidP="00237784">
      <w:pPr>
        <w:pStyle w:val="Standard"/>
        <w:ind w:firstLine="708"/>
        <w:jc w:val="both"/>
      </w:pPr>
      <w:r>
        <w:rPr>
          <w:rFonts w:cs="Calibri"/>
        </w:rPr>
        <w:t xml:space="preserve">KARMEN Mad. </w:t>
      </w:r>
      <w:proofErr w:type="spellStart"/>
      <w:r>
        <w:rPr>
          <w:rFonts w:cs="Calibri"/>
        </w:rPr>
        <w:t>Mer</w:t>
      </w:r>
      <w:proofErr w:type="spellEnd"/>
      <w:r>
        <w:rPr>
          <w:rFonts w:cs="Calibri"/>
        </w:rPr>
        <w:t xml:space="preserve">. San. Ve Tic. Ltd. Şti. ile yaptığımız sözleşme öncesi ve sonrasında KARMEN Mad. </w:t>
      </w:r>
      <w:proofErr w:type="spellStart"/>
      <w:r>
        <w:rPr>
          <w:rFonts w:cs="Calibri"/>
        </w:rPr>
        <w:t>Mer</w:t>
      </w:r>
      <w:proofErr w:type="spellEnd"/>
      <w:r>
        <w:rPr>
          <w:rFonts w:cs="Calibri"/>
        </w:rPr>
        <w:t xml:space="preserve">. San. Ve Tic. Ltd. Şti. tarafımıza Orman İşletmesine verdiği </w:t>
      </w:r>
      <w:r>
        <w:rPr>
          <w:rFonts w:cs="Calibri"/>
          <w:b/>
          <w:bCs/>
        </w:rPr>
        <w:t xml:space="preserve">Tokat 4. </w:t>
      </w:r>
      <w:proofErr w:type="spellStart"/>
      <w:r>
        <w:rPr>
          <w:rFonts w:cs="Calibri"/>
          <w:b/>
          <w:bCs/>
        </w:rPr>
        <w:t>Noterliği'nin</w:t>
      </w:r>
      <w:proofErr w:type="spellEnd"/>
      <w:r>
        <w:rPr>
          <w:rFonts w:cs="Calibri"/>
          <w:b/>
          <w:bCs/>
        </w:rPr>
        <w:t xml:space="preserve"> 4 ocak 2010 tarih ve 0048 yevmiye </w:t>
      </w:r>
      <w:proofErr w:type="spellStart"/>
      <w:r>
        <w:rPr>
          <w:rFonts w:cs="Calibri"/>
          <w:b/>
          <w:bCs/>
        </w:rPr>
        <w:t>nolu</w:t>
      </w:r>
      <w:proofErr w:type="spellEnd"/>
      <w:r>
        <w:rPr>
          <w:rFonts w:cs="Calibri"/>
          <w:b/>
          <w:bCs/>
        </w:rPr>
        <w:t xml:space="preserve"> Taahhüt Senedi şartlarından bahsetmemiştir.</w:t>
      </w:r>
      <w:r>
        <w:rPr>
          <w:rFonts w:cs="Calibri"/>
        </w:rPr>
        <w:t xml:space="preserve">  İlgili Taahhüt senedinin </w:t>
      </w:r>
      <w:r>
        <w:rPr>
          <w:rFonts w:cs="Calibri"/>
          <w:b/>
          <w:bCs/>
        </w:rPr>
        <w:t>6. maddesinde</w:t>
      </w:r>
      <w:r>
        <w:rPr>
          <w:rFonts w:cs="Calibri"/>
        </w:rPr>
        <w:t xml:space="preserve">, </w:t>
      </w:r>
      <w:r>
        <w:rPr>
          <w:rFonts w:cs="Calibri"/>
          <w:b/>
          <w:bCs/>
        </w:rPr>
        <w:t>“Çevre ve Orman Bakanlığı'nın izni olmadan başka şahıs ve kurumlara devredilemez ve işletmeye izin verilemez. “</w:t>
      </w:r>
      <w:r>
        <w:rPr>
          <w:rFonts w:cs="Calibri"/>
        </w:rPr>
        <w:t xml:space="preserve">ibaresi olmasına rağmen KARMEN Mad. </w:t>
      </w:r>
      <w:proofErr w:type="spellStart"/>
      <w:r>
        <w:rPr>
          <w:rFonts w:cs="Calibri"/>
        </w:rPr>
        <w:t>Mer</w:t>
      </w:r>
      <w:proofErr w:type="spellEnd"/>
      <w:r>
        <w:rPr>
          <w:rFonts w:cs="Calibri"/>
        </w:rPr>
        <w:t xml:space="preserve">. San. Ve Tic. Ltd. Şti. Redevans sözleşmesi yapılmadan önce ve sonrasında tarafımıza, Orman İşletmesine verdiği taahhüt senedi konusunda bir bilgilendirme yapmayarak hile ve aldatma ile bizimle sözleşme yapmıştır. TBK 36. maddeye istinaden yapılan sözleşme de hukuken geçersiz bir sözleşmedir. </w:t>
      </w:r>
      <w:r>
        <w:rPr>
          <w:rFonts w:cs="Calibri"/>
          <w:b/>
          <w:bCs/>
          <w:u w:val="single"/>
        </w:rPr>
        <w:t>Sözleşmeyi Taahhüt Senedinden haberimiz olmadan imzaladığımızı orman dairesinin tarafıma açtığı davanın mahkeme duruşması sonrasında öğrendim.</w:t>
      </w:r>
      <w:r>
        <w:rPr>
          <w:rFonts w:cs="Calibri"/>
        </w:rPr>
        <w:t xml:space="preserve"> KARMEN Mad. </w:t>
      </w:r>
      <w:proofErr w:type="spellStart"/>
      <w:r>
        <w:rPr>
          <w:rFonts w:cs="Calibri"/>
        </w:rPr>
        <w:t>Mer</w:t>
      </w:r>
      <w:proofErr w:type="spellEnd"/>
      <w:r>
        <w:rPr>
          <w:rFonts w:cs="Calibri"/>
        </w:rPr>
        <w:t xml:space="preserve">. San. Ve Tic. Ltd. Şti. bizi verdiği taahhüt konusunda bilgilendirmeden irade sakatlığı ile bizimle sözleşme yapmış ve bizi de hukuken geçersiz bir sözleşmenin tarafı haline getirmiştir. KARMEN Mad. </w:t>
      </w:r>
      <w:proofErr w:type="spellStart"/>
      <w:r>
        <w:rPr>
          <w:rFonts w:cs="Calibri"/>
        </w:rPr>
        <w:t>Mer</w:t>
      </w:r>
      <w:proofErr w:type="spellEnd"/>
      <w:r>
        <w:rPr>
          <w:rFonts w:cs="Calibri"/>
        </w:rPr>
        <w:t xml:space="preserve">. San. Ve Tic. Ltd. Şti. KÖTÜ NİYETLE hareket ederek hileli bir sözleşme yapmış ve çalışma alanı konusunda da bizi yeterli bilgilendirme yapmayarak, kendi kullandığı izinsiz orman sahasını, bizim de sehven kullanmamıza bilerek zemin hazırlamıştır. Kendisine ait bir suçu bilerek ve isteyerek bizim üzerimize atmak için HİLELİ bir uygulama yapmıştır.  </w:t>
      </w:r>
    </w:p>
    <w:p w14:paraId="4C102E7A" w14:textId="7702FA5E" w:rsidR="00237784" w:rsidRDefault="00237784" w:rsidP="00237784">
      <w:pPr>
        <w:pStyle w:val="Standard"/>
        <w:ind w:firstLine="708"/>
        <w:jc w:val="both"/>
        <w:rPr>
          <w:rFonts w:cs="Calibri"/>
        </w:rPr>
      </w:pPr>
      <w:r>
        <w:rPr>
          <w:rFonts w:cs="Calibri"/>
        </w:rPr>
        <w:t xml:space="preserve">KARMEN Mad. </w:t>
      </w:r>
      <w:proofErr w:type="spellStart"/>
      <w:r>
        <w:rPr>
          <w:rFonts w:cs="Calibri"/>
        </w:rPr>
        <w:t>Mer</w:t>
      </w:r>
      <w:proofErr w:type="spellEnd"/>
      <w:r>
        <w:rPr>
          <w:rFonts w:cs="Calibri"/>
        </w:rPr>
        <w:t>. San. Ve Tic. Ltd. Şti. “Taahhüt Senedi” konusunda sözleşme yapıldığı esnada bilgilendirme yapsaydı, kanunsuz bir işin içine girmeyerek, Bakanlıktan devir onayı almadan sözleşme yapmayacağımız açıktır.</w:t>
      </w:r>
    </w:p>
    <w:p w14:paraId="484BF10B" w14:textId="77777777" w:rsidR="00237784" w:rsidRDefault="00237784" w:rsidP="00237784">
      <w:pPr>
        <w:pStyle w:val="Standard"/>
        <w:ind w:firstLine="708"/>
        <w:jc w:val="both"/>
      </w:pPr>
    </w:p>
    <w:p w14:paraId="39AE0B69" w14:textId="4BA87FDC" w:rsidR="00237784" w:rsidRDefault="00237784" w:rsidP="00237784">
      <w:pPr>
        <w:pStyle w:val="ListeParagraf"/>
        <w:numPr>
          <w:ilvl w:val="0"/>
          <w:numId w:val="1"/>
        </w:numPr>
      </w:pPr>
      <w:r>
        <w:t>Dilekçenin 3. Maddesinde “ruhsata konu sahanın işletme hakkının 3. Kişiye devri anlamına gelmektedir” ifadesi</w:t>
      </w:r>
      <w:r w:rsidR="008F349A">
        <w:t>nin yapılan sözleşme ve içeriği ile ilgisi yoktur.</w:t>
      </w:r>
      <w:r>
        <w:t xml:space="preserve"> </w:t>
      </w:r>
    </w:p>
    <w:p w14:paraId="2367C421" w14:textId="77777777" w:rsidR="00264AF5" w:rsidRDefault="00237784" w:rsidP="00237784">
      <w:pPr>
        <w:ind w:firstLine="360"/>
      </w:pPr>
      <w:r>
        <w:t xml:space="preserve">Yapılan sözleşme devir sözleşmesi değil, redevans sözleşmesidir. </w:t>
      </w:r>
      <w:r w:rsidRPr="00237784">
        <w:t>Yargıtay 14.Hukuk Dairesi’ne göre, redevans sözleşmesi, hasılat kirası sözleşmesinin bir türüdür (Yargıtay 14.Hukuk Dairesi 20.02.2007 gün ve E.2007/111, K.2007/1552)</w:t>
      </w:r>
      <w:r>
        <w:t>. Yapılan sözleşme ile, sahada üretilecek traverten blokların bir kısmının</w:t>
      </w:r>
      <w:r w:rsidR="00DD11F9">
        <w:t xml:space="preserve"> davacının temin edeceği nakliye araçlarıyla sahadan teslimi yoluyla </w:t>
      </w:r>
      <w:r>
        <w:t xml:space="preserve">ve davacının yükümlülüğünde olan bir kısım vergi benzeri yükümlülüklerinde </w:t>
      </w:r>
      <w:r w:rsidR="00DD11F9">
        <w:t>davacı</w:t>
      </w:r>
      <w:r w:rsidR="00264AF5">
        <w:t xml:space="preserve"> firma</w:t>
      </w:r>
      <w:r w:rsidR="00DD11F9">
        <w:t xml:space="preserve"> adına ilgili kurumlara tarafımca ödenmesi ile</w:t>
      </w:r>
      <w:r>
        <w:t xml:space="preserve"> kira bedeli olarak ödeneceği belirlenmiştir.</w:t>
      </w:r>
    </w:p>
    <w:p w14:paraId="0B6B4697" w14:textId="39FEF99C" w:rsidR="009324CB" w:rsidRDefault="00264AF5" w:rsidP="00264AF5">
      <w:pPr>
        <w:pStyle w:val="ListeParagraf"/>
        <w:numPr>
          <w:ilvl w:val="0"/>
          <w:numId w:val="1"/>
        </w:numPr>
      </w:pPr>
      <w:r>
        <w:t xml:space="preserve"> </w:t>
      </w:r>
      <w:r w:rsidR="00DD11F9">
        <w:t>Dilekçe</w:t>
      </w:r>
      <w:r>
        <w:t xml:space="preserve">nin 4. Maddesinde </w:t>
      </w:r>
      <w:r w:rsidR="00DD11F9">
        <w:t>belirtilen “alınması gereken izinleri almamış</w:t>
      </w:r>
      <w:r>
        <w:t xml:space="preserve">, ödemeleri zamanında yapmamış, ruhsatın düşmesine sebep olmuş </w:t>
      </w:r>
      <w:r w:rsidR="00DD11F9">
        <w:t>” ifade</w:t>
      </w:r>
      <w:r>
        <w:t xml:space="preserve">lerinde belirtilen, “izinleri almamak”, ”ödemeleri zamanında yapmamak”, “ruhsatın düşmesine sebep olmak” </w:t>
      </w:r>
      <w:r w:rsidRPr="00264AF5">
        <w:rPr>
          <w:b/>
          <w:bCs/>
        </w:rPr>
        <w:t>davacı firmanın bir yetkilisi olmamam sebebi ile</w:t>
      </w:r>
      <w:r>
        <w:t>,</w:t>
      </w:r>
      <w:r w:rsidR="00DD11F9">
        <w:t xml:space="preserve"> hukuken mümkün değildir. </w:t>
      </w:r>
    </w:p>
    <w:p w14:paraId="6390616B" w14:textId="4B77B7D4" w:rsidR="00264AF5" w:rsidRDefault="009324CB" w:rsidP="009324CB">
      <w:pPr>
        <w:pStyle w:val="Standard"/>
        <w:ind w:firstLine="360"/>
        <w:jc w:val="both"/>
        <w:rPr>
          <w:rFonts w:cs="Calibri"/>
        </w:rPr>
      </w:pPr>
      <w:r>
        <w:rPr>
          <w:rFonts w:cs="Calibri"/>
        </w:rPr>
        <w:t>Maden Kanunu’nun sistematiğine göre işletme ruhsatı,</w:t>
      </w:r>
      <w:r>
        <w:rPr>
          <w:rFonts w:cs="Calibri"/>
        </w:rPr>
        <w:t xml:space="preserve"> </w:t>
      </w:r>
      <w:r>
        <w:rPr>
          <w:rFonts w:cs="Calibri"/>
        </w:rPr>
        <w:t>işletme izni demek değildir. İşletme ruhsatının verilmesi,</w:t>
      </w:r>
      <w:r>
        <w:rPr>
          <w:rFonts w:cs="Calibri"/>
        </w:rPr>
        <w:t xml:space="preserve"> </w:t>
      </w:r>
      <w:r>
        <w:rPr>
          <w:rFonts w:cs="Calibri"/>
        </w:rPr>
        <w:t>sadece Maden ve Petrol İşleri Genel Müdürlüğü açısından madenin çıkartılmasında</w:t>
      </w:r>
      <w:r>
        <w:rPr>
          <w:rFonts w:cs="Calibri"/>
        </w:rPr>
        <w:t xml:space="preserve"> </w:t>
      </w:r>
      <w:r>
        <w:rPr>
          <w:rFonts w:cs="Calibri"/>
        </w:rPr>
        <w:t>(işletilmesinde değil) sakınca olmadığını belirtmektedir.</w:t>
      </w:r>
      <w:r>
        <w:rPr>
          <w:rFonts w:cs="Calibri"/>
        </w:rPr>
        <w:t xml:space="preserve"> </w:t>
      </w:r>
      <w:r w:rsidRPr="009324CB">
        <w:rPr>
          <w:rFonts w:cs="Calibri"/>
          <w:b/>
          <w:bCs/>
        </w:rPr>
        <w:t>Maden ve Petrol İşleri Genel Müdürlüğü’nü</w:t>
      </w:r>
      <w:r w:rsidRPr="009324CB">
        <w:rPr>
          <w:rFonts w:cs="Calibri"/>
          <w:b/>
          <w:bCs/>
        </w:rPr>
        <w:t xml:space="preserve"> </w:t>
      </w:r>
      <w:r w:rsidRPr="009324CB">
        <w:rPr>
          <w:rFonts w:cs="Calibri"/>
          <w:b/>
          <w:bCs/>
        </w:rPr>
        <w:t>ilgilendirmeyen yerler için bu izinlerin ilgili kurumlardan alınması ve bu izinlerin</w:t>
      </w:r>
      <w:r w:rsidRPr="009324CB">
        <w:rPr>
          <w:rFonts w:cs="Calibri"/>
          <w:b/>
          <w:bCs/>
        </w:rPr>
        <w:t xml:space="preserve"> </w:t>
      </w:r>
      <w:r w:rsidRPr="009324CB">
        <w:rPr>
          <w:rFonts w:cs="Calibri"/>
          <w:b/>
          <w:bCs/>
        </w:rPr>
        <w:t>alındığına dair belgelerin Maden ve Petrol İşleri Genel Müdürlüğü’ne verilerek işletme</w:t>
      </w:r>
      <w:r w:rsidRPr="009324CB">
        <w:rPr>
          <w:rFonts w:cs="Calibri"/>
          <w:b/>
          <w:bCs/>
        </w:rPr>
        <w:t xml:space="preserve"> </w:t>
      </w:r>
      <w:r w:rsidRPr="009324CB">
        <w:rPr>
          <w:rFonts w:cs="Calibri"/>
          <w:b/>
          <w:bCs/>
        </w:rPr>
        <w:t>izninin alınması gerekmektedir</w:t>
      </w:r>
      <w:r>
        <w:rPr>
          <w:rFonts w:cs="Calibri"/>
        </w:rPr>
        <w:t xml:space="preserve">. </w:t>
      </w:r>
      <w:r w:rsidRPr="009324CB">
        <w:rPr>
          <w:rFonts w:cs="Calibri"/>
          <w:u w:val="single"/>
        </w:rPr>
        <w:t>İşletme izni, işletme ruhsatından farklı bir hukuki durumdur. Bir başka ifadeyle işletme</w:t>
      </w:r>
      <w:r w:rsidRPr="009324CB">
        <w:rPr>
          <w:rFonts w:cs="Calibri"/>
          <w:u w:val="single"/>
        </w:rPr>
        <w:t xml:space="preserve"> </w:t>
      </w:r>
      <w:r w:rsidRPr="009324CB">
        <w:rPr>
          <w:rFonts w:cs="Calibri"/>
          <w:u w:val="single"/>
        </w:rPr>
        <w:t>ruhsatı almak, ruhsat alanı içerisinde madenleri üretme hususunda sahibine tekelci yetkiler</w:t>
      </w:r>
      <w:r w:rsidRPr="009324CB">
        <w:rPr>
          <w:rFonts w:cs="Calibri"/>
          <w:u w:val="single"/>
        </w:rPr>
        <w:t xml:space="preserve"> </w:t>
      </w:r>
      <w:r w:rsidRPr="009324CB">
        <w:rPr>
          <w:rFonts w:cs="Calibri"/>
          <w:u w:val="single"/>
        </w:rPr>
        <w:t>tanıyorsa da, maden üretimi için yeterli değildir. Maden Kanunu m.7’de geçen izinlerin</w:t>
      </w:r>
      <w:r w:rsidRPr="009324CB">
        <w:rPr>
          <w:rFonts w:cs="Calibri"/>
          <w:u w:val="single"/>
        </w:rPr>
        <w:t xml:space="preserve"> </w:t>
      </w:r>
      <w:r w:rsidRPr="009324CB">
        <w:rPr>
          <w:rFonts w:cs="Calibri"/>
          <w:u w:val="single"/>
        </w:rPr>
        <w:t>alınmasına müteakip yine Genel Müdürlüğe başvuru yapılarak maden faaliyetinin</w:t>
      </w:r>
      <w:r w:rsidRPr="009324CB">
        <w:rPr>
          <w:rFonts w:cs="Calibri"/>
          <w:u w:val="single"/>
        </w:rPr>
        <w:t xml:space="preserve"> </w:t>
      </w:r>
      <w:r w:rsidRPr="009324CB">
        <w:rPr>
          <w:rFonts w:cs="Calibri"/>
          <w:u w:val="single"/>
        </w:rPr>
        <w:t>başlanabilmesi için işletme izninin alınması gerekmektedir</w:t>
      </w:r>
      <w:r w:rsidRPr="009324CB">
        <w:rPr>
          <w:rFonts w:cs="Calibri"/>
          <w:u w:val="single"/>
        </w:rPr>
        <w:t>.</w:t>
      </w:r>
      <w:r>
        <w:rPr>
          <w:rFonts w:cs="Calibri"/>
        </w:rPr>
        <w:t xml:space="preserve"> </w:t>
      </w:r>
      <w:r w:rsidR="00B1180D">
        <w:rPr>
          <w:rFonts w:cs="Calibri"/>
        </w:rPr>
        <w:t>Bu husus da yine m. 24/11’de düzenlenmiştir.</w:t>
      </w:r>
    </w:p>
    <w:p w14:paraId="64503693" w14:textId="77777777" w:rsidR="00264AF5" w:rsidRDefault="00264AF5" w:rsidP="009324CB">
      <w:pPr>
        <w:pStyle w:val="Standard"/>
        <w:ind w:firstLine="360"/>
        <w:jc w:val="both"/>
        <w:rPr>
          <w:rFonts w:cs="Calibri"/>
        </w:rPr>
      </w:pPr>
    </w:p>
    <w:p w14:paraId="2E557DB2" w14:textId="15E368AC" w:rsidR="00B1180D" w:rsidRDefault="00B1180D" w:rsidP="009324CB">
      <w:pPr>
        <w:pStyle w:val="Standard"/>
        <w:ind w:firstLine="360"/>
        <w:jc w:val="both"/>
        <w:rPr>
          <w:rFonts w:cs="Calibri"/>
        </w:rPr>
      </w:pPr>
      <w:r>
        <w:rPr>
          <w:rFonts w:cs="Calibri"/>
        </w:rPr>
        <w:t xml:space="preserve">Maden Kanunu </w:t>
      </w:r>
      <w:r w:rsidR="009324CB">
        <w:rPr>
          <w:rFonts w:cs="Calibri"/>
        </w:rPr>
        <w:t xml:space="preserve">Madde 24/11 </w:t>
      </w:r>
      <w:r>
        <w:rPr>
          <w:rFonts w:cs="Calibri"/>
        </w:rPr>
        <w:t>;</w:t>
      </w:r>
    </w:p>
    <w:p w14:paraId="3A961501" w14:textId="77777777" w:rsidR="00B1180D" w:rsidRDefault="00B1180D" w:rsidP="00B1180D">
      <w:pPr>
        <w:pStyle w:val="Standard"/>
        <w:ind w:left="708"/>
        <w:jc w:val="both"/>
        <w:rPr>
          <w:rFonts w:cs="Calibri"/>
        </w:rPr>
      </w:pPr>
    </w:p>
    <w:p w14:paraId="018FF715" w14:textId="177D3CE7" w:rsidR="009324CB" w:rsidRDefault="009324CB" w:rsidP="00B1180D">
      <w:pPr>
        <w:pStyle w:val="Standard"/>
        <w:ind w:left="708"/>
        <w:jc w:val="both"/>
      </w:pPr>
      <w:r>
        <w:rPr>
          <w:rFonts w:cs="Calibri"/>
        </w:rPr>
        <w:t>“7.Maddeye göre gerekli izinlerin alınmasından</w:t>
      </w:r>
      <w:r>
        <w:rPr>
          <w:rFonts w:cs="Calibri"/>
        </w:rPr>
        <w:t xml:space="preserve"> </w:t>
      </w:r>
      <w:r>
        <w:rPr>
          <w:rFonts w:cs="Calibri"/>
        </w:rPr>
        <w:t xml:space="preserve">itibaren işletme izni verilir. </w:t>
      </w:r>
      <w:r w:rsidRPr="009324CB">
        <w:rPr>
          <w:rFonts w:cs="Calibri"/>
          <w:b/>
          <w:bCs/>
          <w:u w:val="single"/>
        </w:rPr>
        <w:t xml:space="preserve">Ruhsat sahibince, </w:t>
      </w:r>
      <w:r w:rsidRPr="00B1180D">
        <w:rPr>
          <w:rFonts w:cs="Calibri"/>
        </w:rPr>
        <w:t>işletme ruhsatı yürürlük tarihinden itibaren</w:t>
      </w:r>
      <w:r w:rsidRPr="00B1180D">
        <w:rPr>
          <w:rFonts w:cs="Calibri"/>
        </w:rPr>
        <w:t xml:space="preserve"> </w:t>
      </w:r>
      <w:r w:rsidRPr="00B1180D">
        <w:rPr>
          <w:rFonts w:cs="Calibri"/>
        </w:rPr>
        <w:t xml:space="preserve">üç yıl içinde 7. maddeye göre alınması gerekli olan </w:t>
      </w:r>
      <w:r>
        <w:rPr>
          <w:rFonts w:cs="Calibri"/>
        </w:rPr>
        <w:t xml:space="preserve">çevresel etki </w:t>
      </w:r>
      <w:r>
        <w:rPr>
          <w:rFonts w:cs="Calibri"/>
        </w:rPr>
        <w:lastRenderedPageBreak/>
        <w:t>değerlendirme kararı,</w:t>
      </w:r>
      <w:r>
        <w:rPr>
          <w:rFonts w:cs="Calibri"/>
        </w:rPr>
        <w:t xml:space="preserve"> </w:t>
      </w:r>
      <w:r>
        <w:rPr>
          <w:rFonts w:cs="Calibri"/>
        </w:rPr>
        <w:t>mülkiyet izni, işyeri açma ve çalışma ruhsatı ile Genel Müdürlüğün kayıtlarına işlenmiş</w:t>
      </w:r>
      <w:r>
        <w:rPr>
          <w:rFonts w:cs="Calibri"/>
        </w:rPr>
        <w:t xml:space="preserve"> </w:t>
      </w:r>
      <w:r>
        <w:rPr>
          <w:rFonts w:cs="Calibri"/>
        </w:rPr>
        <w:t>alanlar ile ilgili izinlerin Genel Müdürlüğe verilmesini müteakip, işletme izni düzenlenir.</w:t>
      </w:r>
      <w:r>
        <w:rPr>
          <w:rFonts w:cs="Calibri"/>
        </w:rPr>
        <w:t xml:space="preserve"> </w:t>
      </w:r>
      <w:r>
        <w:rPr>
          <w:rFonts w:cs="Calibri"/>
        </w:rPr>
        <w:t>Süresi içinde yükümlülükleri yerine getirilmeyen maden ruhsatlar için her yıl 50.000 TL</w:t>
      </w:r>
      <w:r>
        <w:rPr>
          <w:rFonts w:cs="Calibri"/>
        </w:rPr>
        <w:t xml:space="preserve"> </w:t>
      </w:r>
      <w:r>
        <w:rPr>
          <w:rFonts w:cs="Calibri"/>
        </w:rPr>
        <w:t xml:space="preserve">idari para cezası verilir. İşletme ruhsat süresi sonuna kadar bu fıkrada belirtilen </w:t>
      </w:r>
      <w:r>
        <w:rPr>
          <w:rFonts w:cs="Calibri"/>
        </w:rPr>
        <w:t>i</w:t>
      </w:r>
      <w:r>
        <w:rPr>
          <w:rFonts w:cs="Calibri"/>
        </w:rPr>
        <w:t xml:space="preserve">zinlerden dolayı işletme izninin alınamaması halinde ruhsat süresi uzatılamaz.” </w:t>
      </w:r>
      <w:r>
        <w:rPr>
          <w:rFonts w:cs="Calibri" w:hint="cs"/>
        </w:rPr>
        <w:t>Ş</w:t>
      </w:r>
      <w:r>
        <w:rPr>
          <w:rFonts w:cs="Calibri"/>
        </w:rPr>
        <w:t>eklinde</w:t>
      </w:r>
      <w:r>
        <w:rPr>
          <w:rFonts w:cs="Calibri"/>
        </w:rPr>
        <w:t xml:space="preserve"> </w:t>
      </w:r>
      <w:r>
        <w:rPr>
          <w:rFonts w:cs="Calibri"/>
        </w:rPr>
        <w:t>düzenlenmiştir.</w:t>
      </w:r>
    </w:p>
    <w:p w14:paraId="0B06A0D9" w14:textId="77777777" w:rsidR="009324CB" w:rsidRDefault="009324CB" w:rsidP="009324CB">
      <w:pPr>
        <w:pStyle w:val="Standard"/>
        <w:jc w:val="both"/>
      </w:pPr>
    </w:p>
    <w:p w14:paraId="01DA1210" w14:textId="0E51EFCE" w:rsidR="009324CB" w:rsidRDefault="009324CB" w:rsidP="00B1180D">
      <w:pPr>
        <w:pStyle w:val="Standard"/>
        <w:ind w:firstLine="708"/>
        <w:jc w:val="both"/>
        <w:rPr>
          <w:rFonts w:cs="Calibri"/>
        </w:rPr>
      </w:pPr>
      <w:r>
        <w:rPr>
          <w:rFonts w:cs="Calibri"/>
        </w:rPr>
        <w:t>Maden Kanunu m.7’de gereken izinlerin işletme ruhsatından itibaren 3 yıl içinde (en geç</w:t>
      </w:r>
      <w:r>
        <w:rPr>
          <w:rFonts w:cs="Calibri"/>
        </w:rPr>
        <w:t xml:space="preserve"> </w:t>
      </w:r>
      <w:r>
        <w:rPr>
          <w:rFonts w:cs="Calibri"/>
        </w:rPr>
        <w:t>ruhsat süresi kadar) alınmasına müteakip işletme izni düzenlenecektir. İşletme izni</w:t>
      </w:r>
      <w:r>
        <w:rPr>
          <w:rFonts w:cs="Calibri"/>
        </w:rPr>
        <w:t xml:space="preserve"> </w:t>
      </w:r>
      <w:r>
        <w:rPr>
          <w:rFonts w:cs="Calibri"/>
        </w:rPr>
        <w:t xml:space="preserve">uyarınca artık </w:t>
      </w:r>
      <w:r w:rsidRPr="00B1180D">
        <w:rPr>
          <w:rFonts w:cs="Calibri"/>
          <w:b/>
          <w:bCs/>
          <w:u w:val="single"/>
        </w:rPr>
        <w:t>ruhsat sahibi</w:t>
      </w:r>
      <w:r>
        <w:rPr>
          <w:rFonts w:cs="Calibri"/>
        </w:rPr>
        <w:t xml:space="preserve"> işletme ruhsatı süresi sonuna kadar kanun uyarınca kurumlara</w:t>
      </w:r>
      <w:r>
        <w:rPr>
          <w:rFonts w:cs="Calibri"/>
        </w:rPr>
        <w:t xml:space="preserve"> </w:t>
      </w:r>
      <w:r>
        <w:rPr>
          <w:rFonts w:cs="Calibri"/>
        </w:rPr>
        <w:t>verdiği projeler doğrultusunda cevheri işleme hakkına sahip olacaktır. Türk maden</w:t>
      </w:r>
      <w:r>
        <w:rPr>
          <w:rFonts w:cs="Calibri"/>
        </w:rPr>
        <w:t xml:space="preserve"> </w:t>
      </w:r>
      <w:r>
        <w:rPr>
          <w:rFonts w:cs="Calibri"/>
        </w:rPr>
        <w:t>hukukunda, işletme izninin kurumdan alınmasına müteakip ruhsat sahibine bir</w:t>
      </w:r>
      <w:r w:rsidR="00B1180D">
        <w:rPr>
          <w:rFonts w:cs="Calibri"/>
        </w:rPr>
        <w:t xml:space="preserve"> </w:t>
      </w:r>
      <w:r>
        <w:rPr>
          <w:rFonts w:cs="Calibri"/>
        </w:rPr>
        <w:t>takım</w:t>
      </w:r>
      <w:r w:rsidR="00B1180D">
        <w:rPr>
          <w:rFonts w:cs="Calibri"/>
        </w:rPr>
        <w:t xml:space="preserve"> </w:t>
      </w:r>
      <w:r>
        <w:rPr>
          <w:rFonts w:cs="Calibri"/>
        </w:rPr>
        <w:t>yükümlülükler yüklenmektedir. Bunlara örnek olarak, üretim zorunluluğu ve devlet hakkı</w:t>
      </w:r>
      <w:r>
        <w:rPr>
          <w:rFonts w:cs="Calibri"/>
        </w:rPr>
        <w:t xml:space="preserve"> </w:t>
      </w:r>
      <w:r>
        <w:rPr>
          <w:rFonts w:cs="Calibri"/>
        </w:rPr>
        <w:t>ödeme zorunluluğu gösterilebilir</w:t>
      </w:r>
      <w:r>
        <w:rPr>
          <w:rFonts w:cs="Calibri"/>
        </w:rPr>
        <w:t xml:space="preserve">. </w:t>
      </w:r>
    </w:p>
    <w:p w14:paraId="2A279733" w14:textId="4BE054CC" w:rsidR="009324CB" w:rsidRDefault="009324CB" w:rsidP="009324CB">
      <w:pPr>
        <w:pStyle w:val="Standard"/>
        <w:jc w:val="both"/>
        <w:rPr>
          <w:rFonts w:cs="Calibri"/>
        </w:rPr>
      </w:pPr>
    </w:p>
    <w:p w14:paraId="7821E4B5" w14:textId="2C919BC2" w:rsidR="009324CB" w:rsidRDefault="009324CB" w:rsidP="00264AF5">
      <w:pPr>
        <w:pStyle w:val="Standard"/>
        <w:ind w:firstLine="360"/>
        <w:jc w:val="both"/>
      </w:pPr>
      <w:r>
        <w:t xml:space="preserve">Maden Kanunu 24. Maddede açıklandığı üzere tüm izinleri alma sorumluluğu “Ruhsat Sahibince” ifadesiyle, yani davacı firma tarafından alınması gerektiği açıkça belirlenmiştir. </w:t>
      </w:r>
    </w:p>
    <w:p w14:paraId="00426D25" w14:textId="0302EC31" w:rsidR="00237784" w:rsidRDefault="00DD11F9" w:rsidP="00237784">
      <w:pPr>
        <w:ind w:firstLine="360"/>
      </w:pPr>
      <w:r>
        <w:t>Yapılan sözleşme</w:t>
      </w:r>
      <w:r w:rsidR="009324CB">
        <w:t xml:space="preserve"> ile</w:t>
      </w:r>
      <w:r>
        <w:t xml:space="preserve"> tarafımıza herhangi kanuni bir</w:t>
      </w:r>
      <w:r w:rsidR="009324CB">
        <w:t xml:space="preserve"> ruhsat</w:t>
      </w:r>
      <w:r>
        <w:t xml:space="preserve"> devr</w:t>
      </w:r>
      <w:r w:rsidR="009324CB">
        <w:t>i</w:t>
      </w:r>
      <w:r>
        <w:t xml:space="preserve"> söz konusu </w:t>
      </w:r>
      <w:r w:rsidR="009324CB">
        <w:t>olmadığından r</w:t>
      </w:r>
      <w:r>
        <w:t xml:space="preserve">esmi tüm İşlemler davacı şirket adınadır ve </w:t>
      </w:r>
      <w:r w:rsidR="009324CB">
        <w:t xml:space="preserve">davacı şirket tarafından </w:t>
      </w:r>
      <w:r>
        <w:t xml:space="preserve">tarafımıza verilmiş, şirketi temsil veya şirketin alması gereken izinleri almamızı belirleyen herhangi bir </w:t>
      </w:r>
      <w:r w:rsidR="00264AF5">
        <w:t>resmî</w:t>
      </w:r>
      <w:r>
        <w:t xml:space="preserve"> belge yoktur.</w:t>
      </w:r>
    </w:p>
    <w:p w14:paraId="390948BA" w14:textId="77777777" w:rsidR="00237784" w:rsidRDefault="00237784" w:rsidP="00237784">
      <w:pPr>
        <w:ind w:firstLine="360"/>
      </w:pPr>
    </w:p>
    <w:p w14:paraId="222596E7" w14:textId="77777777" w:rsidR="00B1180D" w:rsidRDefault="00237784" w:rsidP="00237784">
      <w:pPr>
        <w:pStyle w:val="ListeParagraf"/>
        <w:numPr>
          <w:ilvl w:val="0"/>
          <w:numId w:val="1"/>
        </w:numPr>
      </w:pPr>
      <w:r>
        <w:t xml:space="preserve">Dilekçenin </w:t>
      </w:r>
      <w:r w:rsidR="00B1180D">
        <w:t>5</w:t>
      </w:r>
      <w:r>
        <w:t xml:space="preserve">. Maddesinde davacı </w:t>
      </w:r>
      <w:r w:rsidR="00B1180D">
        <w:t>2022/739 esas dosya ile ceza aldığımdan bahsetmektedir. Dava orman dairesi tarafından üst mahkemeye taşınarak ve tarafımızca da Ağır Ceza Mahkemesine taşınması dolayısı ile halen devam etmektedir.</w:t>
      </w:r>
    </w:p>
    <w:p w14:paraId="300405B4" w14:textId="08E23153" w:rsidR="00237784" w:rsidRDefault="00B1180D" w:rsidP="00B1180D">
      <w:pPr>
        <w:ind w:left="360"/>
      </w:pPr>
      <w:r>
        <w:t xml:space="preserve">İlgili dava orman sahasının izinsiz kullanılması ile ilgilidir. Davacı firma tüm izinleri almakla sorumlu olduğu halde, ve çalışma sahasının 2009 yılından itibaren 3 ayrı firma tarafından işletilmesi ve devamında Özel İdare </w:t>
      </w:r>
    </w:p>
    <w:sectPr w:rsidR="00237784" w:rsidSect="002377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Noto Sans Devanagari">
    <w:altName w:val="Calibri"/>
    <w:charset w:val="00"/>
    <w:family w:val="auto"/>
    <w:pitch w:val="variable"/>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7934"/>
    <w:multiLevelType w:val="hybridMultilevel"/>
    <w:tmpl w:val="053633FA"/>
    <w:lvl w:ilvl="0" w:tplc="C1963BFE">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4C"/>
    <w:rsid w:val="00200AFA"/>
    <w:rsid w:val="00237784"/>
    <w:rsid w:val="00264AF5"/>
    <w:rsid w:val="00544DBF"/>
    <w:rsid w:val="005B0764"/>
    <w:rsid w:val="007830B4"/>
    <w:rsid w:val="008F349A"/>
    <w:rsid w:val="009324CB"/>
    <w:rsid w:val="00A8678F"/>
    <w:rsid w:val="00B1180D"/>
    <w:rsid w:val="00DD11F9"/>
    <w:rsid w:val="00E81F8D"/>
    <w:rsid w:val="00EB33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B9D2"/>
  <w15:chartTrackingRefBased/>
  <w15:docId w15:val="{5B07E5B7-DA7D-4AF4-B33F-3F4BBBE8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237784"/>
    <w:pPr>
      <w:suppressAutoHyphens/>
      <w:autoSpaceDN w:val="0"/>
      <w:spacing w:after="0" w:line="240" w:lineRule="auto"/>
      <w:textAlignment w:val="baseline"/>
    </w:pPr>
    <w:rPr>
      <w:rFonts w:ascii="Liberation Serif" w:eastAsia="Noto Serif CJK SC" w:hAnsi="Liberation Serif" w:cs="Noto Sans Devanagari"/>
      <w:kern w:val="3"/>
      <w:sz w:val="24"/>
      <w:szCs w:val="24"/>
      <w:lang w:eastAsia="zh-CN" w:bidi="hi-IN"/>
    </w:rPr>
  </w:style>
  <w:style w:type="paragraph" w:styleId="ListeParagraf">
    <w:name w:val="List Paragraph"/>
    <w:basedOn w:val="Normal"/>
    <w:uiPriority w:val="34"/>
    <w:qFormat/>
    <w:rsid w:val="00237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913</Words>
  <Characters>5206</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2024-01-08T12:23:00Z</dcterms:created>
  <dcterms:modified xsi:type="dcterms:W3CDTF">2024-01-08T14:25:00Z</dcterms:modified>
</cp:coreProperties>
</file>