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HACI MURAT BALCI - TCK 299 DAVASI</w:t>
      </w:r>
    </w:p>
    <w:p>
      <w:pPr>
        <w:spacing w:after="300"/>
        <w:jc w:val="center"/>
      </w:pPr>
      <w:r>
        <w:rPr>
          <w:i/>
          <w:iCs/>
          <w:color w:val="555555"/>
          <w:sz w:val="22"/>
          <w:szCs w:val="22"/>
        </w:rPr>
        <w:t xml:space="preserve">Kronolojik Olay Özeti ve Savunma Notları (Eylül 2026 Duruşması İçin)</w:t>
      </w:r>
    </w:p>
    <w:p>
      <w:pPr>
        <w:pStyle w:val="Heading1"/>
        <w:spacing w:after="150" w:before="300"/>
      </w:pPr>
      <w:r>
        <w:t xml:space="preserve">1. KRONOLOJİ TABLOSU</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080"/>
        <w:gridCol w:w="3384"/>
        <w:gridCol w:w="2952"/>
        <w:gridCol w:w="2376"/>
      </w:tblGrid>
      <w:tr>
        <w:trPr>
          <w:tblHeader/>
        </w:trPr>
        <w:tc>
          <w:tcPr>
            <w:tcW w:type="dxa" w:w="1080"/>
            <w:shd w:fill="1F3864" w:val="clear"/>
          </w:tcPr>
          <w:p>
            <w:r>
              <w:rPr>
                <w:b/>
                <w:bCs/>
                <w:color w:val="FFFFFF"/>
                <w:sz w:val="20"/>
                <w:szCs w:val="20"/>
              </w:rPr>
              <w:t xml:space="preserve">Tarih</w:t>
            </w:r>
          </w:p>
        </w:tc>
        <w:tc>
          <w:tcPr>
            <w:tcW w:type="dxa" w:w="3384"/>
            <w:shd w:fill="1F3864" w:val="clear"/>
          </w:tcPr>
          <w:p>
            <w:r>
              <w:rPr>
                <w:b/>
                <w:bCs/>
                <w:color w:val="FFFFFF"/>
                <w:sz w:val="20"/>
                <w:szCs w:val="20"/>
              </w:rPr>
              <w:t xml:space="preserve">Olay / Gelişme</w:t>
            </w:r>
          </w:p>
        </w:tc>
        <w:tc>
          <w:tcPr>
            <w:tcW w:type="dxa" w:w="2952"/>
            <w:shd w:fill="1F3864" w:val="clear"/>
          </w:tcPr>
          <w:p>
            <w:r>
              <w:rPr>
                <w:b/>
                <w:bCs/>
                <w:color w:val="FFFFFF"/>
                <w:sz w:val="20"/>
                <w:szCs w:val="20"/>
              </w:rPr>
              <w:t xml:space="preserve">Belge / Kaynak</w:t>
            </w:r>
          </w:p>
        </w:tc>
        <w:tc>
          <w:tcPr>
            <w:tcW w:type="dxa" w:w="2376"/>
            <w:shd w:fill="1F3864" w:val="clear"/>
          </w:tcPr>
          <w:p>
            <w:r>
              <w:rPr>
                <w:b/>
                <w:bCs/>
                <w:color w:val="FFFFFF"/>
                <w:sz w:val="20"/>
                <w:szCs w:val="20"/>
              </w:rPr>
              <w:t xml:space="preserve">Savunma Açısından Notu</w:t>
            </w:r>
          </w:p>
        </w:tc>
      </w:tr>
      <w:tr>
        <w:tc>
          <w:tcPr>
            <w:tcW w:type="dxa" w:w="1080"/>
          </w:tcPr>
          <w:p>
            <w:r>
              <w:rPr>
                <w:b/>
                <w:bCs/>
                <w:sz w:val="20"/>
                <w:szCs w:val="20"/>
              </w:rPr>
              <w:t xml:space="preserve">08.07.2024</w:t>
            </w:r>
          </w:p>
        </w:tc>
        <w:tc>
          <w:tcPr>
            <w:tcW w:type="dxa" w:w="3384"/>
          </w:tcPr>
          <w:p>
            <w:r>
              <w:rPr>
                <w:b w:val="false"/>
                <w:bCs w:val="false"/>
                <w:sz w:val="20"/>
                <w:szCs w:val="20"/>
              </w:rPr>
              <w:t xml:space="preserve">Olay tarihi (asıl tartışma). Umut Boyraz'ın şikayeti üzerine 2024/1161 fezleke sayılı dosya kapsamında ilk ifade süreci başladı.</w:t>
            </w:r>
          </w:p>
        </w:tc>
        <w:tc>
          <w:tcPr>
            <w:tcW w:type="dxa" w:w="2952"/>
          </w:tcPr>
          <w:p>
            <w:r>
              <w:rPr>
                <w:b w:val="false"/>
                <w:bCs w:val="false"/>
                <w:sz w:val="20"/>
                <w:szCs w:val="20"/>
              </w:rPr>
              <w:t xml:space="preserve">2024/1161 Fezleke</w:t>
            </w:r>
          </w:p>
        </w:tc>
        <w:tc>
          <w:tcPr>
            <w:tcW w:type="dxa" w:w="2376"/>
          </w:tcPr>
          <w:p>
            <w:r>
              <w:rPr>
                <w:b w:val="false"/>
                <w:bCs w:val="false"/>
                <w:sz w:val="20"/>
                <w:szCs w:val="20"/>
              </w:rPr>
              <w:t xml:space="preserve">Tüm sonraki davaların kök olayı</w:t>
            </w:r>
          </w:p>
        </w:tc>
      </w:tr>
      <w:tr>
        <w:tc>
          <w:tcPr>
            <w:tcW w:type="dxa" w:w="1080"/>
          </w:tcPr>
          <w:p>
            <w:r>
              <w:rPr>
                <w:b/>
                <w:bCs/>
                <w:sz w:val="20"/>
                <w:szCs w:val="20"/>
              </w:rPr>
              <w:t xml:space="preserve">13.02.2025</w:t>
            </w:r>
          </w:p>
        </w:tc>
        <w:tc>
          <w:tcPr>
            <w:tcW w:type="dxa" w:w="3384"/>
          </w:tcPr>
          <w:p>
            <w:r>
              <w:rPr>
                <w:b w:val="false"/>
                <w:bCs w:val="false"/>
                <w:sz w:val="20"/>
                <w:szCs w:val="20"/>
              </w:rPr>
              <w:t xml:space="preserve">Umut Boyraz ikinci kez şikayet dilekçesi verdi. Dilekçede SADECE şahsına yönelik hakaret iddiası var; Cumhurbaşkanı/Bakan hakareti YOK.</w:t>
            </w:r>
          </w:p>
        </w:tc>
        <w:tc>
          <w:tcPr>
            <w:tcW w:type="dxa" w:w="2952"/>
          </w:tcPr>
          <w:p>
            <w:r>
              <w:rPr>
                <w:b w:val="false"/>
                <w:bCs w:val="false"/>
                <w:sz w:val="20"/>
                <w:szCs w:val="20"/>
              </w:rPr>
              <w:t xml:space="preserve">Şikayet Dilekçesi (13.02.2025)</w:t>
            </w:r>
          </w:p>
        </w:tc>
        <w:tc>
          <w:tcPr>
            <w:tcW w:type="dxa" w:w="2376"/>
          </w:tcPr>
          <w:p>
            <w:r>
              <w:rPr>
                <w:b w:val="false"/>
                <w:bCs w:val="false"/>
                <w:sz w:val="20"/>
                <w:szCs w:val="20"/>
              </w:rPr>
              <w:t xml:space="preserve">Siyasi hakaret iddiasının dilekçede hiç geçmediğine dair kilit belge</w:t>
            </w:r>
          </w:p>
        </w:tc>
      </w:tr>
      <w:tr>
        <w:tc>
          <w:tcPr>
            <w:tcW w:type="dxa" w:w="1080"/>
          </w:tcPr>
          <w:p>
            <w:r>
              <w:rPr>
                <w:b/>
                <w:bCs/>
                <w:sz w:val="20"/>
                <w:szCs w:val="20"/>
              </w:rPr>
              <w:t xml:space="preserve">20.02.2025</w:t>
            </w:r>
          </w:p>
        </w:tc>
        <w:tc>
          <w:tcPr>
            <w:tcW w:type="dxa" w:w="3384"/>
          </w:tcPr>
          <w:p>
            <w:r>
              <w:rPr>
                <w:b w:val="false"/>
                <w:bCs w:val="false"/>
                <w:sz w:val="20"/>
                <w:szCs w:val="20"/>
              </w:rPr>
              <w:t xml:space="preserve">Savcılık, Jandarma'ya tanıkların (Ali Demirel, Samed Turgut) bilgi ve görgülerinin sorulması için talimat yazdı. Talimatta siyasi hakaretten bahsedilmiyor.</w:t>
            </w:r>
          </w:p>
        </w:tc>
        <w:tc>
          <w:tcPr>
            <w:tcW w:type="dxa" w:w="2952"/>
          </w:tcPr>
          <w:p>
            <w:r>
              <w:rPr>
                <w:b w:val="false"/>
                <w:bCs w:val="false"/>
                <w:sz w:val="20"/>
                <w:szCs w:val="20"/>
              </w:rPr>
              <w:t xml:space="preserve">Savcılık Talimat Yazısı (20.02.2025)</w:t>
            </w:r>
          </w:p>
        </w:tc>
        <w:tc>
          <w:tcPr>
            <w:tcW w:type="dxa" w:w="2376"/>
          </w:tcPr>
          <w:p>
            <w:r>
              <w:rPr>
                <w:b w:val="false"/>
                <w:bCs w:val="false"/>
                <w:sz w:val="20"/>
                <w:szCs w:val="20"/>
              </w:rPr>
              <w:t xml:space="preserve">Genel soru soruldu, yönlendirme yok</w:t>
            </w:r>
          </w:p>
        </w:tc>
      </w:tr>
      <w:tr>
        <w:tc>
          <w:tcPr>
            <w:tcW w:type="dxa" w:w="1080"/>
          </w:tcPr>
          <w:p>
            <w:r>
              <w:rPr>
                <w:b/>
                <w:bCs/>
                <w:sz w:val="20"/>
                <w:szCs w:val="20"/>
              </w:rPr>
              <w:t xml:space="preserve">24.02.2025</w:t>
            </w:r>
          </w:p>
        </w:tc>
        <w:tc>
          <w:tcPr>
            <w:tcW w:type="dxa" w:w="3384"/>
          </w:tcPr>
          <w:p>
            <w:r>
              <w:rPr>
                <w:b w:val="false"/>
                <w:bCs w:val="false"/>
                <w:sz w:val="20"/>
                <w:szCs w:val="20"/>
              </w:rPr>
              <w:t xml:space="preserve">Hacı Murat Balcı (şüpheli) emniyette ifade verdi. Olayın 2024/1161 ile aynı olduğunu ve husumet/alacak davası nedeniyle iftira atıldığını beyan etti. Kendisine siyasi hakaret sorulmadı.</w:t>
            </w:r>
          </w:p>
        </w:tc>
        <w:tc>
          <w:tcPr>
            <w:tcW w:type="dxa" w:w="2952"/>
          </w:tcPr>
          <w:p>
            <w:r>
              <w:rPr>
                <w:b w:val="false"/>
                <w:bCs w:val="false"/>
                <w:sz w:val="20"/>
                <w:szCs w:val="20"/>
              </w:rPr>
              <w:t xml:space="preserve">Şüpheli İfade Tutanağı (24.02.2025)</w:t>
            </w:r>
          </w:p>
        </w:tc>
        <w:tc>
          <w:tcPr>
            <w:tcW w:type="dxa" w:w="2376"/>
          </w:tcPr>
          <w:p>
            <w:r>
              <w:rPr>
                <w:b w:val="false"/>
                <w:bCs w:val="false"/>
                <w:sz w:val="20"/>
                <w:szCs w:val="20"/>
              </w:rPr>
              <w:t xml:space="preserve">Husumet iddiası en baştan, tutarlı şekilde kayıtlara geçti</w:t>
            </w:r>
          </w:p>
        </w:tc>
      </w:tr>
      <w:tr>
        <w:tc>
          <w:tcPr>
            <w:tcW w:type="dxa" w:w="1080"/>
          </w:tcPr>
          <w:p>
            <w:r>
              <w:rPr>
                <w:b/>
                <w:bCs/>
                <w:sz w:val="20"/>
                <w:szCs w:val="20"/>
              </w:rPr>
              <w:t xml:space="preserve">28.02.2025</w:t>
            </w:r>
          </w:p>
        </w:tc>
        <w:tc>
          <w:tcPr>
            <w:tcW w:type="dxa" w:w="3384"/>
          </w:tcPr>
          <w:p>
            <w:r>
              <w:rPr>
                <w:b w:val="false"/>
                <w:bCs w:val="false"/>
                <w:sz w:val="20"/>
                <w:szCs w:val="20"/>
              </w:rPr>
              <w:t xml:space="preserve">Tanıklar Ali Demirel ve Samed Turgut emniyette ifade verdi. İlk kez, şikayet dilekçesinde hiç geçmeyen 'Mehmet Şimşek' ve 'Cumhurbaşkanı'na hakaret' iddiaları ortaya çıktı. İki tanığın ifadeleri neredeyse birebir aynı cümleler içeriyor.</w:t>
            </w:r>
          </w:p>
        </w:tc>
        <w:tc>
          <w:tcPr>
            <w:tcW w:type="dxa" w:w="2952"/>
          </w:tcPr>
          <w:p>
            <w:r>
              <w:rPr>
                <w:b w:val="false"/>
                <w:bCs w:val="false"/>
                <w:sz w:val="20"/>
                <w:szCs w:val="20"/>
              </w:rPr>
              <w:t xml:space="preserve">Tanık İfade Tutanakları (28.02.2025)</w:t>
            </w:r>
          </w:p>
        </w:tc>
        <w:tc>
          <w:tcPr>
            <w:tcW w:type="dxa" w:w="2376"/>
          </w:tcPr>
          <w:p>
            <w:r>
              <w:rPr>
                <w:b w:val="false"/>
                <w:bCs w:val="false"/>
                <w:sz w:val="20"/>
                <w:szCs w:val="20"/>
              </w:rPr>
              <w:t xml:space="preserve">Şikayet tarihinden 15 gün sonra, şikayetçinin bile belirtmediği suçlamalar eklendi</w:t>
            </w:r>
          </w:p>
        </w:tc>
      </w:tr>
      <w:tr>
        <w:tc>
          <w:tcPr>
            <w:tcW w:type="dxa" w:w="1080"/>
          </w:tcPr>
          <w:p>
            <w:r>
              <w:rPr>
                <w:b/>
                <w:bCs/>
                <w:sz w:val="20"/>
                <w:szCs w:val="20"/>
              </w:rPr>
              <w:t xml:space="preserve">13.05.2025</w:t>
            </w:r>
          </w:p>
        </w:tc>
        <w:tc>
          <w:tcPr>
            <w:tcW w:type="dxa" w:w="3384"/>
          </w:tcPr>
          <w:p>
            <w:r>
              <w:rPr>
                <w:b w:val="false"/>
                <w:bCs w:val="false"/>
                <w:sz w:val="20"/>
                <w:szCs w:val="20"/>
              </w:rPr>
              <w:t xml:space="preserve">Savcılığın Jandarma'ya yazdığı ikinci talimat yazısında iddialar yine sadece şahsa yönelik sözler olarak özetlendi; siyasi hakaret bu yazıda da yer almadı.</w:t>
            </w:r>
          </w:p>
        </w:tc>
        <w:tc>
          <w:tcPr>
            <w:tcW w:type="dxa" w:w="2952"/>
          </w:tcPr>
          <w:p>
            <w:r>
              <w:rPr>
                <w:b w:val="false"/>
                <w:bCs w:val="false"/>
                <w:sz w:val="20"/>
                <w:szCs w:val="20"/>
              </w:rPr>
              <w:t xml:space="preserve">Savcılık Talimat Yazısı (13.05.2025)</w:t>
            </w:r>
          </w:p>
        </w:tc>
        <w:tc>
          <w:tcPr>
            <w:tcW w:type="dxa" w:w="2376"/>
          </w:tcPr>
          <w:p>
            <w:r>
              <w:rPr>
                <w:b w:val="false"/>
                <w:bCs w:val="false"/>
                <w:sz w:val="20"/>
                <w:szCs w:val="20"/>
              </w:rPr>
              <w:t xml:space="preserve">Resmi makam bile bu tarihte siyasi hakaretten bahsetmiyor</w:t>
            </w:r>
          </w:p>
        </w:tc>
      </w:tr>
      <w:tr>
        <w:tc>
          <w:tcPr>
            <w:tcW w:type="dxa" w:w="1080"/>
          </w:tcPr>
          <w:p>
            <w:r>
              <w:rPr>
                <w:b/>
                <w:bCs/>
                <w:sz w:val="20"/>
                <w:szCs w:val="20"/>
              </w:rPr>
              <w:t xml:space="preserve">14.05.2025</w:t>
            </w:r>
          </w:p>
        </w:tc>
        <w:tc>
          <w:tcPr>
            <w:tcW w:type="dxa" w:w="3384"/>
          </w:tcPr>
          <w:p>
            <w:r>
              <w:rPr>
                <w:b w:val="false"/>
                <w:bCs w:val="false"/>
                <w:sz w:val="20"/>
                <w:szCs w:val="20"/>
              </w:rPr>
              <w:t xml:space="preserve">Şikayetçi Umut Boyraz, Jandarma'daki ek ifadesinde bu olayın 2024'teki olayla AYNI OLAY olduğunu bizzat ikrar etti.</w:t>
            </w:r>
          </w:p>
        </w:tc>
        <w:tc>
          <w:tcPr>
            <w:tcW w:type="dxa" w:w="2952"/>
          </w:tcPr>
          <w:p>
            <w:r>
              <w:rPr>
                <w:b w:val="false"/>
                <w:bCs w:val="false"/>
                <w:sz w:val="20"/>
                <w:szCs w:val="20"/>
              </w:rPr>
              <w:t xml:space="preserve">Jandarma İfade Tutanağı (14.05.2025)</w:t>
            </w:r>
          </w:p>
        </w:tc>
        <w:tc>
          <w:tcPr>
            <w:tcW w:type="dxa" w:w="2376"/>
          </w:tcPr>
          <w:p>
            <w:r>
              <w:rPr>
                <w:b w:val="false"/>
                <w:bCs w:val="false"/>
                <w:sz w:val="20"/>
                <w:szCs w:val="20"/>
              </w:rPr>
              <w:t xml:space="preserve">Mükerrerlik iddiasının en güçlü dayanağı</w:t>
            </w:r>
          </w:p>
        </w:tc>
      </w:tr>
      <w:tr>
        <w:tc>
          <w:tcPr>
            <w:tcW w:type="dxa" w:w="1080"/>
          </w:tcPr>
          <w:p>
            <w:r>
              <w:rPr>
                <w:b/>
                <w:bCs/>
                <w:sz w:val="20"/>
                <w:szCs w:val="20"/>
              </w:rPr>
              <w:t xml:space="preserve">Şubat 2025 (dava)</w:t>
            </w:r>
          </w:p>
        </w:tc>
        <w:tc>
          <w:tcPr>
            <w:tcW w:type="dxa" w:w="3384"/>
          </w:tcPr>
          <w:p>
            <w:r>
              <w:rPr>
                <w:b w:val="false"/>
                <w:bCs w:val="false"/>
                <w:sz w:val="20"/>
                <w:szCs w:val="20"/>
              </w:rPr>
              <w:t xml:space="preserve">Olaya ilişkin dava tefrik edildi (ayrıldı): (1) Umut Boyraz'a tehdit - uzlaşma ile sonuçlandı, davadan vazgeçildi, (2) Mehmet Şimşek'e hakaret - 2025/478 E. sayılı dosya, (3) Cumhurbaşkanına hakaret - ayrı dosya.</w:t>
            </w:r>
          </w:p>
        </w:tc>
        <w:tc>
          <w:tcPr>
            <w:tcW w:type="dxa" w:w="2952"/>
          </w:tcPr>
          <w:p>
            <w:r>
              <w:rPr>
                <w:b w:val="false"/>
                <w:bCs w:val="false"/>
                <w:sz w:val="20"/>
                <w:szCs w:val="20"/>
              </w:rPr>
              <w:t xml:space="preserve">Tefrik Kararı</w:t>
            </w:r>
          </w:p>
        </w:tc>
        <w:tc>
          <w:tcPr>
            <w:tcW w:type="dxa" w:w="2376"/>
          </w:tcPr>
          <w:p>
            <w:r>
              <w:rPr>
                <w:b w:val="false"/>
                <w:bCs w:val="false"/>
                <w:sz w:val="20"/>
                <w:szCs w:val="20"/>
              </w:rPr>
              <w:t xml:space="preserve">Üç ayrı suç isnadı aynı olaydan doğdu</w:t>
            </w:r>
          </w:p>
        </w:tc>
      </w:tr>
      <w:tr>
        <w:tc>
          <w:tcPr>
            <w:tcW w:type="dxa" w:w="1080"/>
          </w:tcPr>
          <w:p>
            <w:r>
              <w:rPr>
                <w:b/>
                <w:bCs/>
                <w:sz w:val="20"/>
                <w:szCs w:val="20"/>
              </w:rPr>
              <w:t xml:space="preserve">—</w:t>
            </w:r>
          </w:p>
        </w:tc>
        <w:tc>
          <w:tcPr>
            <w:tcW w:type="dxa" w:w="3384"/>
          </w:tcPr>
          <w:p>
            <w:r>
              <w:rPr>
                <w:b w:val="false"/>
                <w:bCs w:val="false"/>
                <w:sz w:val="20"/>
                <w:szCs w:val="20"/>
              </w:rPr>
              <w:t xml:space="preserve">2025/478 E. sayılı davada (Mehmet Şimşek'e hakaret, TCK 125/3-a) 11.02.2026 ilk celse, 20.04.2026 ikinci celsede karar çıktı: 365 gün adli para cezası, TCK 62/1 ile 1/6 indirim = 304 gün, günlük 100 TL'den 30.400 TL adli para cezası. HÜKMÜN AÇIKLANMASI GERİ BIRAKILDI (HAGB), 5 yıl denetim (yükümlülük yok). 45.000 TL vekalet ücreti sanıktan alınıp katılana verildi. İstinaf yolu açık.</w:t>
            </w:r>
          </w:p>
        </w:tc>
        <w:tc>
          <w:tcPr>
            <w:tcW w:type="dxa" w:w="2952"/>
          </w:tcPr>
          <w:p>
            <w:r>
              <w:rPr>
                <w:b w:val="false"/>
                <w:bCs w:val="false"/>
                <w:sz w:val="20"/>
                <w:szCs w:val="20"/>
              </w:rPr>
              <w:t xml:space="preserve">2025/478 E. Karar (20.04.2026)</w:t>
            </w:r>
          </w:p>
        </w:tc>
        <w:tc>
          <w:tcPr>
            <w:tcW w:type="dxa" w:w="2376"/>
          </w:tcPr>
          <w:p>
            <w:r>
              <w:rPr>
                <w:b w:val="false"/>
                <w:bCs w:val="false"/>
                <w:sz w:val="20"/>
                <w:szCs w:val="20"/>
              </w:rPr>
              <w:t xml:space="preserve">Kesinleşmiş rakamlar; istinaf süresi takip edilmeli</w:t>
            </w:r>
          </w:p>
        </w:tc>
      </w:tr>
      <w:tr>
        <w:tc>
          <w:tcPr>
            <w:tcW w:type="dxa" w:w="1080"/>
          </w:tcPr>
          <w:p>
            <w:r>
              <w:rPr>
                <w:b/>
                <w:bCs/>
                <w:sz w:val="20"/>
                <w:szCs w:val="20"/>
              </w:rPr>
              <w:t xml:space="preserve">20.04.2026</w:t>
            </w:r>
          </w:p>
        </w:tc>
        <w:tc>
          <w:tcPr>
            <w:tcW w:type="dxa" w:w="3384"/>
          </w:tcPr>
          <w:p>
            <w:r>
              <w:rPr>
                <w:b w:val="false"/>
                <w:bCs w:val="false"/>
                <w:sz w:val="20"/>
                <w:szCs w:val="20"/>
              </w:rPr>
              <w:t xml:space="preserve">Duruşmada tanıklar (Ali Demirel, Samed Turgut, Umut Boyraz, Duran Neşe) yeminli olarak dinlendi. Ali Demirel ve Samed Turgut, mal sahibiyle aralarındaki husumeti/davayı BİZZAT VE AÇIKÇA kabul etti. Duran Neşe olaya şahit olmadığını belirtti.</w:t>
            </w:r>
          </w:p>
        </w:tc>
        <w:tc>
          <w:tcPr>
            <w:tcW w:type="dxa" w:w="2952"/>
          </w:tcPr>
          <w:p>
            <w:r>
              <w:rPr>
                <w:b w:val="false"/>
                <w:bCs w:val="false"/>
                <w:sz w:val="20"/>
                <w:szCs w:val="20"/>
              </w:rPr>
              <w:t xml:space="preserve">2025/478 E. Duruşma Tutanağı (2. Celse)</w:t>
            </w:r>
          </w:p>
        </w:tc>
        <w:tc>
          <w:tcPr>
            <w:tcW w:type="dxa" w:w="2376"/>
          </w:tcPr>
          <w:p>
            <w:r>
              <w:rPr>
                <w:b w:val="false"/>
                <w:bCs w:val="false"/>
                <w:sz w:val="20"/>
                <w:szCs w:val="20"/>
              </w:rPr>
              <w:t xml:space="preserve">Husumet artık iddia değil, tanıkların kendi yeminli beyanı</w:t>
            </w:r>
          </w:p>
        </w:tc>
      </w:tr>
      <w:tr>
        <w:tc>
          <w:tcPr>
            <w:tcW w:type="dxa" w:w="1080"/>
          </w:tcPr>
          <w:p>
            <w:r>
              <w:rPr>
                <w:b/>
                <w:bCs/>
                <w:sz w:val="20"/>
                <w:szCs w:val="20"/>
              </w:rPr>
              <w:t xml:space="preserve">Temmuz 2024 (mağduriyet)</w:t>
            </w:r>
          </w:p>
        </w:tc>
        <w:tc>
          <w:tcPr>
            <w:tcW w:type="dxa" w:w="3384"/>
          </w:tcPr>
          <w:p>
            <w:r>
              <w:rPr>
                <w:b w:val="false"/>
                <w:bCs w:val="false"/>
                <w:sz w:val="20"/>
                <w:szCs w:val="20"/>
              </w:rPr>
              <w:t xml:space="preserve">Hacı Murat Balcı'nın kendisi mağdur sıfatıyla şikayetçi oldu: Samed Turgut ve diğerleri tarafından alıkonulduğu (hürriyetinden yoksun bırakıldığı) iddiası.</w:t>
            </w:r>
          </w:p>
        </w:tc>
        <w:tc>
          <w:tcPr>
            <w:tcW w:type="dxa" w:w="2952"/>
          </w:tcPr>
          <w:p>
            <w:r>
              <w:rPr>
                <w:b w:val="false"/>
                <w:bCs w:val="false"/>
                <w:sz w:val="20"/>
                <w:szCs w:val="20"/>
              </w:rPr>
              <w:t xml:space="preserve">2024/61 E. (Tokat 5. Asliye Ceza)</w:t>
            </w:r>
          </w:p>
        </w:tc>
        <w:tc>
          <w:tcPr>
            <w:tcW w:type="dxa" w:w="2376"/>
          </w:tcPr>
          <w:p>
            <w:r>
              <w:rPr>
                <w:b w:val="false"/>
                <w:bCs w:val="false"/>
                <w:sz w:val="20"/>
                <w:szCs w:val="20"/>
              </w:rPr>
              <w:t xml:space="preserve">Roller ters: bu dosyada Balcı müşteki, Samed Turgut sanık</w:t>
            </w:r>
          </w:p>
        </w:tc>
      </w:tr>
      <w:tr>
        <w:tc>
          <w:tcPr>
            <w:tcW w:type="dxa" w:w="1080"/>
          </w:tcPr>
          <w:p>
            <w:r>
              <w:rPr>
                <w:b/>
                <w:bCs/>
                <w:sz w:val="20"/>
                <w:szCs w:val="20"/>
              </w:rPr>
              <w:t xml:space="preserve">—</w:t>
            </w:r>
          </w:p>
        </w:tc>
        <w:tc>
          <w:tcPr>
            <w:tcW w:type="dxa" w:w="3384"/>
          </w:tcPr>
          <w:p>
            <w:r>
              <w:rPr>
                <w:b w:val="false"/>
                <w:bCs w:val="false"/>
                <w:sz w:val="20"/>
                <w:szCs w:val="20"/>
              </w:rPr>
              <w:t xml:space="preserve">2024/61 E. sayılı davada sanıklar (Samed Turgut dahil) BERAAT etti. Kararda tarafların kira uyuşmazlığı ve husumeti mahkeme kaydına geçti.</w:t>
            </w:r>
          </w:p>
        </w:tc>
        <w:tc>
          <w:tcPr>
            <w:tcW w:type="dxa" w:w="2952"/>
          </w:tcPr>
          <w:p>
            <w:r>
              <w:rPr>
                <w:b w:val="false"/>
                <w:bCs w:val="false"/>
                <w:sz w:val="20"/>
                <w:szCs w:val="20"/>
              </w:rPr>
              <w:t xml:space="preserve">2025/61 E. Beraat Kararı (Tokat 5. Asliye Ceza)</w:t>
            </w:r>
          </w:p>
        </w:tc>
        <w:tc>
          <w:tcPr>
            <w:tcW w:type="dxa" w:w="2376"/>
          </w:tcPr>
          <w:p>
            <w:r>
              <w:rPr>
                <w:b w:val="false"/>
                <w:bCs w:val="false"/>
                <w:sz w:val="20"/>
                <w:szCs w:val="20"/>
              </w:rPr>
              <w:t xml:space="preserve">Husumetin resmi tespiti; tanıkların güvenilirliğine itiraz için kullanılabilir</w:t>
            </w:r>
          </w:p>
        </w:tc>
      </w:tr>
      <w:tr>
        <w:tc>
          <w:tcPr>
            <w:tcW w:type="dxa" w:w="1080"/>
          </w:tcPr>
          <w:p>
            <w:r>
              <w:rPr>
                <w:b/>
                <w:bCs/>
                <w:sz w:val="20"/>
                <w:szCs w:val="20"/>
              </w:rPr>
              <w:t xml:space="preserve">—</w:t>
            </w:r>
          </w:p>
        </w:tc>
        <w:tc>
          <w:tcPr>
            <w:tcW w:type="dxa" w:w="3384"/>
          </w:tcPr>
          <w:p>
            <w:r>
              <w:rPr>
                <w:b w:val="false"/>
                <w:bCs w:val="false"/>
                <w:sz w:val="20"/>
                <w:szCs w:val="20"/>
              </w:rPr>
              <w:t xml:space="preserve">Tanık Ali Demirel hakkında ayrıca 'Görevi Yaptırmamak İçin Direnme' (polis darp) suçundan devam eden bir dava mevcut.</w:t>
            </w:r>
          </w:p>
        </w:tc>
        <w:tc>
          <w:tcPr>
            <w:tcW w:type="dxa" w:w="2952"/>
          </w:tcPr>
          <w:p>
            <w:r>
              <w:rPr>
                <w:b w:val="false"/>
                <w:bCs w:val="false"/>
                <w:sz w:val="20"/>
                <w:szCs w:val="20"/>
              </w:rPr>
              <w:t xml:space="preserve">Ali Demirel - Darp Davası</w:t>
            </w:r>
          </w:p>
        </w:tc>
        <w:tc>
          <w:tcPr>
            <w:tcW w:type="dxa" w:w="2376"/>
          </w:tcPr>
          <w:p>
            <w:r>
              <w:rPr>
                <w:b w:val="false"/>
                <w:bCs w:val="false"/>
                <w:sz w:val="20"/>
                <w:szCs w:val="20"/>
              </w:rPr>
              <w:t xml:space="preserve">Tanık güvenilirliğine ek itiraz gerekçesi</w:t>
            </w:r>
          </w:p>
        </w:tc>
      </w:tr>
      <w:tr>
        <w:tc>
          <w:tcPr>
            <w:tcW w:type="dxa" w:w="1080"/>
          </w:tcPr>
          <w:p>
            <w:r>
              <w:rPr>
                <w:b/>
                <w:bCs/>
                <w:sz w:val="20"/>
                <w:szCs w:val="20"/>
              </w:rPr>
              <w:t xml:space="preserve">12.06.2024</w:t>
            </w:r>
          </w:p>
        </w:tc>
        <w:tc>
          <w:tcPr>
            <w:tcW w:type="dxa" w:w="3384"/>
          </w:tcPr>
          <w:p>
            <w:r>
              <w:rPr>
                <w:b w:val="false"/>
                <w:bCs w:val="false"/>
                <w:sz w:val="20"/>
                <w:szCs w:val="20"/>
              </w:rPr>
              <w:t xml:space="preserve">Kiracı Süleyman Akan, Tokat Defterdarlığı'na (Vergi Dairesi) verdiği dilekçede yıllık kira bedelinin 204.000 TL olduğunu, 33.000 TL'sini banka kanalıyla ödediğini, kalan 171.000 TL'yi zaman içinde ödeyeceğini beyan etti. Mal sahibiyle arasında husumet veya alacak davası YOK.</w:t>
            </w:r>
          </w:p>
        </w:tc>
        <w:tc>
          <w:tcPr>
            <w:tcW w:type="dxa" w:w="2952"/>
          </w:tcPr>
          <w:p>
            <w:r>
              <w:rPr>
                <w:b w:val="false"/>
                <w:bCs w:val="false"/>
                <w:sz w:val="20"/>
                <w:szCs w:val="20"/>
              </w:rPr>
              <w:t xml:space="preserve">Süleyman Akan - Maliye Dilekçesi (12.06.2024)</w:t>
            </w:r>
          </w:p>
        </w:tc>
        <w:tc>
          <w:tcPr>
            <w:tcW w:type="dxa" w:w="2376"/>
          </w:tcPr>
          <w:p>
            <w:r>
              <w:rPr>
                <w:b w:val="false"/>
                <w:bCs w:val="false"/>
                <w:sz w:val="20"/>
                <w:szCs w:val="20"/>
              </w:rPr>
              <w:t xml:space="preserve">Mal sahibiyle sorunsuz/anlayışlı ilişkiyi gösteren tarafsız belge</w:t>
            </w:r>
          </w:p>
        </w:tc>
      </w:tr>
      <w:tr>
        <w:tc>
          <w:tcPr>
            <w:tcW w:type="dxa" w:w="1080"/>
          </w:tcPr>
          <w:p>
            <w:r>
              <w:rPr>
                <w:b/>
                <w:bCs/>
                <w:sz w:val="20"/>
                <w:szCs w:val="20"/>
              </w:rPr>
              <w:t xml:space="preserve">Haziran 2025</w:t>
            </w:r>
          </w:p>
        </w:tc>
        <w:tc>
          <w:tcPr>
            <w:tcW w:type="dxa" w:w="3384"/>
          </w:tcPr>
          <w:p>
            <w:r>
              <w:rPr>
                <w:b w:val="false"/>
                <w:bCs w:val="false"/>
                <w:sz w:val="20"/>
                <w:szCs w:val="20"/>
              </w:rPr>
              <w:t xml:space="preserve">Süleyman Akan, diğer kiracıların (husumetli tanık grubu) baskısı nedeniyle işyerini KENDİ İSTEĞİYLE boşalttı. Mal sahibiyle aralarında bir sıkıntı yoktu.</w:t>
            </w:r>
          </w:p>
        </w:tc>
        <w:tc>
          <w:tcPr>
            <w:tcW w:type="dxa" w:w="2952"/>
          </w:tcPr>
          <w:p>
            <w:r>
              <w:rPr>
                <w:b w:val="false"/>
                <w:bCs w:val="false"/>
                <w:sz w:val="20"/>
                <w:szCs w:val="20"/>
              </w:rPr>
              <w:t xml:space="preserve">Tanık Beyanı (potansiyel)</w:t>
            </w:r>
          </w:p>
        </w:tc>
        <w:tc>
          <w:tcPr>
            <w:tcW w:type="dxa" w:w="2376"/>
          </w:tcPr>
          <w:p>
            <w:r>
              <w:rPr>
                <w:b w:val="false"/>
                <w:bCs w:val="false"/>
                <w:sz w:val="20"/>
                <w:szCs w:val="20"/>
              </w:rPr>
              <w:t xml:space="preserve">'Organize baskı/kumpas' iddiasının somut, yaşanmış örneği</w:t>
            </w:r>
          </w:p>
        </w:tc>
      </w:tr>
      <w:tr>
        <w:tc>
          <w:tcPr>
            <w:tcW w:type="dxa" w:w="1080"/>
          </w:tcPr>
          <w:p>
            <w:r>
              <w:rPr>
                <w:b/>
                <w:bCs/>
                <w:sz w:val="20"/>
                <w:szCs w:val="20"/>
              </w:rPr>
              <w:t xml:space="preserve">Eylül 2026</w:t>
            </w:r>
          </w:p>
        </w:tc>
        <w:tc>
          <w:tcPr>
            <w:tcW w:type="dxa" w:w="3384"/>
          </w:tcPr>
          <w:p>
            <w:r>
              <w:rPr>
                <w:b w:val="false"/>
                <w:bCs w:val="false"/>
                <w:sz w:val="20"/>
                <w:szCs w:val="20"/>
              </w:rPr>
              <w:t xml:space="preserve">Cumhurbaşkanına Hakaret (TCK 299) davasının duruşması.</w:t>
            </w:r>
          </w:p>
        </w:tc>
        <w:tc>
          <w:tcPr>
            <w:tcW w:type="dxa" w:w="2952"/>
          </w:tcPr>
          <w:p>
            <w:r>
              <w:rPr>
                <w:b w:val="false"/>
                <w:bCs w:val="false"/>
                <w:sz w:val="20"/>
                <w:szCs w:val="20"/>
              </w:rPr>
              <w:t xml:space="preserve">Tokat 6. Asliye Ceza Mahkemesi</w:t>
            </w:r>
          </w:p>
        </w:tc>
        <w:tc>
          <w:tcPr>
            <w:tcW w:type="dxa" w:w="2376"/>
          </w:tcPr>
          <w:p>
            <w:r>
              <w:rPr>
                <w:b w:val="false"/>
                <w:bCs w:val="false"/>
                <w:sz w:val="20"/>
                <w:szCs w:val="20"/>
              </w:rPr>
              <w:t xml:space="preserve">Yaklaşan kritik duruşma</w:t>
            </w:r>
          </w:p>
        </w:tc>
      </w:tr>
    </w:tbl>
    <w:p>
      <w:pPr>
        <w:pStyle w:val="Heading1"/>
        <w:spacing w:after="150" w:before="300"/>
      </w:pPr>
      <w:r>
        <w:t xml:space="preserve">2. SAVUNMA ARGÜMANLARI ÖZETİ</w:t>
      </w:r>
    </w:p>
    <w:p>
      <w:pPr>
        <w:pStyle w:val="Heading2"/>
        <w:spacing w:after="120" w:before="250"/>
      </w:pPr>
      <w:r>
        <w:t xml:space="preserve">2.1. Güçlü Argümanlar</w:t>
      </w:r>
    </w:p>
    <w:p>
      <w:pPr>
        <w:pStyle w:val="ListParagraph"/>
        <w:numPr>
          <w:ilvl w:val="0"/>
          <w:numId w:val="2"/>
        </w:numPr>
        <w:spacing w:after="80"/>
      </w:pPr>
      <w:r>
        <w:t xml:space="preserve">Şikayet dilekçesinde (13.02.2025) siyasi hakaret iddiası hiç geçmiyor — 15 gün sonra tanıklar tarafından eklendi.</w:t>
      </w:r>
    </w:p>
    <w:p>
      <w:pPr>
        <w:pStyle w:val="ListParagraph"/>
        <w:numPr>
          <w:ilvl w:val="0"/>
          <w:numId w:val="2"/>
        </w:numPr>
        <w:spacing w:after="80"/>
      </w:pPr>
      <w:r>
        <w:t xml:space="preserve">Savcılığın iki ayrı talimat yazısında (20.02.2025 ve 13.05.2025) da siyasi hakaret iddiası yok.</w:t>
      </w:r>
    </w:p>
    <w:p>
      <w:pPr>
        <w:pStyle w:val="ListParagraph"/>
        <w:numPr>
          <w:ilvl w:val="0"/>
          <w:numId w:val="2"/>
        </w:numPr>
        <w:spacing w:after="80"/>
      </w:pPr>
      <w:r>
        <w:t xml:space="preserve">Şikayetçi, 14.05.2025 tarihli Jandarma ifadesinde olayın 2024'teki olayla aynı olduğunu bizzat ikrar etti.</w:t>
      </w:r>
    </w:p>
    <w:p>
      <w:pPr>
        <w:pStyle w:val="ListParagraph"/>
        <w:numPr>
          <w:ilvl w:val="0"/>
          <w:numId w:val="2"/>
        </w:numPr>
        <w:spacing w:after="80"/>
      </w:pPr>
      <w:r>
        <w:t xml:space="preserve">Tanıklar arasında olayın yeri ve zamanı konusunda çelişki var (şikayetçi: Ağustos / işyeri; Samed Turgut: Temmuz'dan önce).</w:t>
      </w:r>
    </w:p>
    <w:p>
      <w:pPr>
        <w:pStyle w:val="ListParagraph"/>
        <w:numPr>
          <w:ilvl w:val="0"/>
          <w:numId w:val="2"/>
        </w:numPr>
        <w:spacing w:after="80"/>
      </w:pPr>
      <w:r>
        <w:t xml:space="preserve">Şüpheli ifadesinde (24.02.2025) husumet iddiası en baştan, tutarlı şekilde beyan edildi — sonradan uydurulmuş bir savunma değil.</w:t>
      </w:r>
    </w:p>
    <w:p>
      <w:pPr>
        <w:pStyle w:val="ListParagraph"/>
        <w:numPr>
          <w:ilvl w:val="0"/>
          <w:numId w:val="2"/>
        </w:numPr>
        <w:spacing w:after="80"/>
      </w:pPr>
      <w:r>
        <w:t xml:space="preserve">Tokat 5. Asliye Ceza Mahkemesi'nin 2025/61 E. sayılı beraat kararı, tarafların husumetini resmi olarak tescil etti.</w:t>
      </w:r>
    </w:p>
    <w:p>
      <w:pPr>
        <w:pStyle w:val="ListParagraph"/>
        <w:numPr>
          <w:ilvl w:val="0"/>
          <w:numId w:val="2"/>
        </w:numPr>
        <w:spacing w:after="80"/>
      </w:pPr>
      <w:r>
        <w:t xml:space="preserve">Tanık Ali Demirel hakkında ayrı bir 'polis darp' davası, tanık güvenilirliğine ek bir itiraz noktası sağlıyor.</w:t>
      </w:r>
    </w:p>
    <w:p>
      <w:pPr>
        <w:pStyle w:val="Heading2"/>
        <w:spacing w:after="120" w:before="250"/>
      </w:pPr>
      <w:r>
        <w:t xml:space="preserve">2.2. Dikkatli Değerlendirilmesi Gereken Noktalar</w:t>
      </w:r>
    </w:p>
    <w:p>
      <w:pPr>
        <w:pStyle w:val="ListParagraph"/>
        <w:numPr>
          <w:ilvl w:val="0"/>
          <w:numId w:val="2"/>
        </w:numPr>
        <w:spacing w:after="80"/>
      </w:pPr>
      <w:r>
        <w:t xml:space="preserve">Mükerrer yargılama / fikri içtima argümanı: TCK m.44 (Fikri İçtima) — 'İşlediği bir fiil ile birden fazla farklı suçun oluşmasına sebebiyet veren kişi, bunlardan en ağır cezayı gerektiren suçtan dolayı cezalandırılır.' Tanık ifadelerine göre TCK 299 (Cumhurbaşkanına hakaret) ve TCK 125/3-a (Mehmet Şimşek'e hakaret, 2025/478 E. — 20.04.2026'da HAGB ile sonuçlandı) iddiaları AYNI KONUŞMADAN, AYNI ANDA doğmuş görünüyor. Eğer bu tespit doğrulanırsa, tek fiilden iki ayrı ceza istenemeyeceği yönünde savunulabilir. Bu argümanın somut dosya kapsamında geçerliliği avukat tarafından teknik olarak değerlendirilmelidir.</w:t>
      </w:r>
    </w:p>
    <w:p>
      <w:pPr>
        <w:pStyle w:val="ListParagraph"/>
        <w:numPr>
          <w:ilvl w:val="0"/>
          <w:numId w:val="2"/>
        </w:numPr>
        <w:spacing w:after="80"/>
      </w:pPr>
      <w:r>
        <w:t xml:space="preserve">Duruşmaya bizzat katılım zorunlu — CMK gereği sanık sorgusu olmadan dava ilerleyemez.</w:t>
      </w:r>
    </w:p>
    <w:p>
      <w:pPr>
        <w:pStyle w:val="Heading2"/>
        <w:spacing w:after="120" w:before="250"/>
      </w:pPr>
      <w:r>
        <w:t xml:space="preserve">2.3. Potansiyel Tanık: Süleyman Akan</w:t>
      </w:r>
    </w:p>
    <w:p>
      <w:pPr>
        <w:pStyle w:val="ListParagraph"/>
        <w:numPr>
          <w:ilvl w:val="0"/>
          <w:numId w:val="2"/>
        </w:numPr>
        <w:spacing w:after="80"/>
      </w:pPr>
      <w:r>
        <w:t xml:space="preserve">Kimliği: Aynı adreste (Yeniyurt Mah. İsmail Altıngövde Cad. No:21) faaliyet gösteren eski kiracı.</w:t>
      </w:r>
    </w:p>
    <w:p>
      <w:pPr>
        <w:pStyle w:val="ListParagraph"/>
        <w:numPr>
          <w:ilvl w:val="0"/>
          <w:numId w:val="2"/>
        </w:numPr>
        <w:spacing w:after="80"/>
      </w:pPr>
      <w:r>
        <w:t xml:space="preserve">Konumu: Mal sahibiyle (müvekkil) arasında herhangi bir alacak davası veya husumet yok — kira ödemesinde esneklik/anlayış olduğu Maliye dilekçesinden anlaşılıyor.</w:t>
      </w:r>
    </w:p>
    <w:p>
      <w:pPr>
        <w:pStyle w:val="ListParagraph"/>
        <w:numPr>
          <w:ilvl w:val="0"/>
          <w:numId w:val="2"/>
        </w:numPr>
        <w:spacing w:after="80"/>
      </w:pPr>
      <w:r>
        <w:t xml:space="preserve">Önemi: Haziran 2025'te, diğer kiracıların (husumetli tanık grubu: Ali Demirel, Samed Turgut, Umut Boyraz) baskısı nedeniyle işyerini kendi isteğiyle boşalttı. Mal sahibiyle bir sorunu olmadığı halde ayrılması, 'organize baskı/kumpas' iddiasının somut örneği.</w:t>
      </w:r>
    </w:p>
    <w:p>
      <w:pPr>
        <w:pStyle w:val="ListParagraph"/>
        <w:numPr>
          <w:ilvl w:val="0"/>
          <w:numId w:val="2"/>
        </w:numPr>
        <w:spacing w:after="80"/>
      </w:pPr>
      <w:r>
        <w:t xml:space="preserve">Mahkemeye gelmek istemiyor — muhtemelen aynı grup tarafından yeniden hedef olma korkusu. Bu çekingenlik dahi (avukat tarafından mahkemeye izah edilirse) dolaylı bir delil niteliği taşıyabilir.</w:t>
      </w:r>
    </w:p>
    <w:p>
      <w:pPr>
        <w:pStyle w:val="ListParagraph"/>
        <w:numPr>
          <w:ilvl w:val="0"/>
          <w:numId w:val="2"/>
        </w:numPr>
        <w:spacing w:after="80"/>
      </w:pPr>
      <w:r>
        <w:t xml:space="preserve">Seçenekler: (1) Tanık listesine ekleyip usulüne uygun çağırtmak — gelmezse zorla getirme (ihzar) kararı çıkabilir; (2) Noterden onaylı yazılı beyan almak (canlı ifadeden zayıf ama alternatif); (3) Hiç gündeme getirmemek. Bu üç seçenek arasında avukatla risk değerlendirmesi yapılmalı.</w:t>
      </w:r>
    </w:p>
    <w:p>
      <w:pPr>
        <w:pStyle w:val="ListParagraph"/>
        <w:numPr>
          <w:ilvl w:val="0"/>
          <w:numId w:val="2"/>
        </w:numPr>
        <w:spacing w:after="80"/>
      </w:pPr>
      <w:r>
        <w:t xml:space="preserve">Maliye dilekçesi (12.06.2024), mal sahibiyle 'sorunsuz ilişki' kanıtı olarak dosyaya eklenebilir.</w:t>
      </w:r>
    </w:p>
    <w:p>
      <w:pPr>
        <w:pStyle w:val="Heading2"/>
        <w:spacing w:after="120" w:before="250"/>
      </w:pPr>
      <w:r>
        <w:t xml:space="preserve">2.4. 'Cumhurbaşkanı / Tayyip' İfadesinin Kaynağı — Kritik Karşılaştırma</w:t>
      </w:r>
    </w:p>
    <w:p>
      <w:pPr>
        <w:spacing w:after="120"/>
      </w:pPr>
      <w:r>
        <w:t xml:space="preserve">Soruşturma ve kovuşturma dosyasındaki tüm ifadeler taranmış, kimin hangi ifadesinde bu iddianın geçtiği tespit edilmiştir:</w:t>
      </w:r>
    </w:p>
    <w:p>
      <w:pPr>
        <w:pStyle w:val="ListParagraph"/>
        <w:numPr>
          <w:ilvl w:val="0"/>
          <w:numId w:val="2"/>
        </w:numPr>
        <w:spacing w:after="80"/>
      </w:pPr>
      <w:r>
        <w:t xml:space="preserve">Umut Boyraz (müşteki/mağdur) — Hiçbir ifadesinde (şikayet dilekçesi, 13.02.2025 müşteki ifadesi, 14.05.2025 ek ifadesi, 20.04.2026 duruşmadaki canlı tanıklığı) 'Cumhurbaşkanı' veya 'Tayyip' kelimesi geçmiyor. Olayın asıl mağduru bu iddiayı hiçbir zaman dile getirmemiştir.</w:t>
      </w:r>
    </w:p>
    <w:p>
      <w:pPr>
        <w:pStyle w:val="ListParagraph"/>
        <w:numPr>
          <w:ilvl w:val="0"/>
          <w:numId w:val="2"/>
        </w:numPr>
        <w:spacing w:after="80"/>
      </w:pPr>
      <w:r>
        <w:t xml:space="preserve">Samed Turgut — 28.02.2025 karakol ifadesinde 'Tayyip kendi çalıyor zaten biz biraz çalmışız suçmu' cümlesi var. Ancak 20.04.2026 tarihli mahkemedeki YEMİNLİ, kendiliğinden anlatımında bu ifade YOK — sadece 'maliye bakanı' tekrarlanıyor, Tayyip/Cumhurbaşkanı hiç geçmiyor. Mahkemede kendisine önceki ifadesi okunup 'doğrudur, tekrar ederim' onayı alınmıştır.</w:t>
      </w:r>
    </w:p>
    <w:p>
      <w:pPr>
        <w:pStyle w:val="ListParagraph"/>
        <w:numPr>
          <w:ilvl w:val="0"/>
          <w:numId w:val="2"/>
        </w:numPr>
        <w:spacing w:after="80"/>
      </w:pPr>
      <w:r>
        <w:t xml:space="preserve">Ali Demirel — 28.02.2025 karakol ifadesinde açıkça 'cumhurbaşkanı' kelimesi geçiyor: '...siz geri zekalımsınız bizzat cumhurbaşkanı televizyonda fakir çalmasını bilmediği için fakirdir ağzı ile söyledi...' Bu, dosyada 'cumhurbaşkanı' kelimesinin AÇIKÇA geçtiği tek ifadedir.</w:t>
      </w:r>
    </w:p>
    <w:p>
      <w:pPr>
        <w:spacing w:after="120"/>
      </w:pPr>
      <w:r>
        <w:rPr>
          <w:i/>
          <w:iCs/>
          <w:color w:val="555555"/>
        </w:rPr>
        <w:t xml:space="preserve">HUKUKİ NÜANS: Samed Turgut'un mahkemede 'doğrudur, tekrar ederim' demesi, önceki ifadesini teknik olarak onaylamış sayılması anlamına gelir — bu bir 'iptal' veya 'geçersizlik' değildir. Ancak savunma açısından değerli olan nokta şudur: tanık, olayı YEMİNLİ ve KENDİLİĞİNDEN anlatırken bu detayı hiç dile getirmemiş, ancak kendisine önceden yazılı metin okunup onaylatıldığında kayıtlara girmiştir. Bu, iddianın tanığın 'canlı hafızasından' değil, önceden hazırlanmış bir metinden geldiğine dair tanık güvenilirliğini sorgulatan bir emare olarak ileri sürülebilir — ancak 'kesin çelişki, ifade geçersiz' şeklinde abartılı sunulmamalıdır.</w:t>
      </w:r>
    </w:p>
    <w:p>
      <w:pPr>
        <w:pStyle w:val="Heading1"/>
        <w:spacing w:after="150" w:before="300"/>
      </w:pPr>
      <w:r>
        <w:t xml:space="preserve">3. EYLÜL 2026 DURUŞMASI İÇİN KONTROL LİSTESİ</w:t>
      </w:r>
    </w:p>
    <w:p>
      <w:pPr>
        <w:pStyle w:val="ListParagraph"/>
        <w:numPr>
          <w:ilvl w:val="0"/>
          <w:numId w:val="2"/>
        </w:numPr>
        <w:spacing w:after="80"/>
      </w:pPr>
      <w:r>
        <w:t xml:space="preserve">Şikayet dilekçesi (13.02.2025) - dosyada mevcut mu?</w:t>
      </w:r>
    </w:p>
    <w:p>
      <w:pPr>
        <w:pStyle w:val="ListParagraph"/>
        <w:numPr>
          <w:ilvl w:val="0"/>
          <w:numId w:val="2"/>
        </w:numPr>
        <w:spacing w:after="80"/>
      </w:pPr>
      <w:r>
        <w:t xml:space="preserve">Savcılık talimat yazıları (20.02.2025 ve 13.05.2025) - dosyada mevcut mu?</w:t>
      </w:r>
    </w:p>
    <w:p>
      <w:pPr>
        <w:pStyle w:val="ListParagraph"/>
        <w:numPr>
          <w:ilvl w:val="0"/>
          <w:numId w:val="2"/>
        </w:numPr>
        <w:spacing w:after="80"/>
      </w:pPr>
      <w:r>
        <w:t xml:space="preserve">Şüpheli ifade tutanağı (24.02.2025) - dosyada mevcut mu?</w:t>
      </w:r>
    </w:p>
    <w:p>
      <w:pPr>
        <w:pStyle w:val="ListParagraph"/>
        <w:numPr>
          <w:ilvl w:val="0"/>
          <w:numId w:val="2"/>
        </w:numPr>
        <w:spacing w:after="80"/>
      </w:pPr>
      <w:r>
        <w:t xml:space="preserve">Tanık ifade tutanakları (28.02.2025) - karşılaştırmalı analiz hazır mı?</w:t>
      </w:r>
    </w:p>
    <w:p>
      <w:pPr>
        <w:pStyle w:val="ListParagraph"/>
        <w:numPr>
          <w:ilvl w:val="0"/>
          <w:numId w:val="2"/>
        </w:numPr>
        <w:spacing w:after="80"/>
      </w:pPr>
      <w:r>
        <w:t xml:space="preserve">Jandarma'daki 'aynı olaydır' ikrarı (14.05.2025) - dosyada mevcut mu?</w:t>
      </w:r>
    </w:p>
    <w:p>
      <w:pPr>
        <w:pStyle w:val="ListParagraph"/>
        <w:numPr>
          <w:ilvl w:val="0"/>
          <w:numId w:val="2"/>
        </w:numPr>
        <w:spacing w:after="80"/>
      </w:pPr>
      <w:r>
        <w:t xml:space="preserve">2025/61 E. sayılı beraat kararı - onaylı suret dosyada mı?</w:t>
      </w:r>
    </w:p>
    <w:p>
      <w:pPr>
        <w:pStyle w:val="ListParagraph"/>
        <w:numPr>
          <w:ilvl w:val="0"/>
          <w:numId w:val="2"/>
        </w:numPr>
        <w:spacing w:after="80"/>
      </w:pPr>
      <w:r>
        <w:t xml:space="preserve">Ali Demirel'in polis darp dosyası - dosya numarası temin edildi mi?</w:t>
      </w:r>
    </w:p>
    <w:p>
      <w:pPr>
        <w:pStyle w:val="ListParagraph"/>
        <w:numPr>
          <w:ilvl w:val="0"/>
          <w:numId w:val="2"/>
        </w:numPr>
        <w:spacing w:after="80"/>
      </w:pPr>
      <w:r>
        <w:t xml:space="preserve">Mehmet Şimşek davası (2025/478 E.) istinaf süreci - güncel durumu nedir?</w:t>
      </w:r>
    </w:p>
    <w:p>
      <w:pPr>
        <w:pStyle w:val="ListParagraph"/>
        <w:numPr>
          <w:ilvl w:val="0"/>
          <w:numId w:val="2"/>
        </w:numPr>
        <w:spacing w:after="80"/>
      </w:pPr>
      <w:r>
        <w:t xml:space="preserve">Mükerrer yargılama argümanının hukuki dayanağı avukatla teyit edildi mi?</w:t>
      </w:r>
    </w:p>
    <w:p>
      <w:pPr>
        <w:pStyle w:val="ListParagraph"/>
        <w:numPr>
          <w:ilvl w:val="0"/>
          <w:numId w:val="2"/>
        </w:numPr>
        <w:spacing w:after="80"/>
      </w:pPr>
      <w:r>
        <w:t xml:space="preserve">Süleyman Akan'ın tanık statüsü (liste/yazılı beyan/gündeme getirmeme) avukatla karara bağlandı mı?</w:t>
      </w:r>
    </w:p>
    <w:p>
      <w:pPr>
        <w:pStyle w:val="ListParagraph"/>
        <w:numPr>
          <w:ilvl w:val="0"/>
          <w:numId w:val="2"/>
        </w:numPr>
        <w:spacing w:after="80"/>
      </w:pPr>
      <w:r>
        <w:t xml:space="preserve">Süleyman Akan'ın Maliye dilekçesi (12.06.2024) dosyaya eklenecek mi?</w:t>
      </w:r>
    </w:p>
    <w:p>
      <w:pPr>
        <w:pStyle w:val="Heading1"/>
        <w:spacing w:after="150" w:before="300"/>
      </w:pPr>
      <w:r>
        <w:t xml:space="preserve">4. ÖNEMLİ NOT</w:t>
      </w:r>
    </w:p>
    <w:p>
      <w:pPr>
        <w:spacing w:after="120"/>
      </w:pPr>
      <w:r>
        <w:rPr>
          <w:i/>
          <w:iCs/>
          <w:color w:val="555555"/>
        </w:rPr>
        <w:t xml:space="preserve">Bu belge, mevcut belgelerin kronolojik olarak düzenlenmesi ve savunma stratejisi tartışmasına yardımcı olması amacıyla hazırlanmıştır. Nihai hukuki strateji ve dilekçe içeriği avukat tarafından belirlenmelidir. Özellikle mükerrer yargılama argümanının hukuki geçerliliği, somut dosya içeriğine göre avukat tarafından ayrıca değerlendirilmelidir.</w:t>
      </w:r>
    </w:p>
    <w:sectPr>
      <w:pgSz w:w="11909" w:h="16834" w:orient="portrait"/>
      <w:pgMar w:top="864" w:right="792" w:bottom="864"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2026-08-18T04:02:58.067Z</dcterms:created>
  <dcterms:modified xsi:type="dcterms:W3CDTF">2026-08-18T04:02:58.079Z</dcterms:modified>
</cp:coreProperties>
</file>

<file path=docProps/custom.xml><?xml version="1.0" encoding="utf-8"?>
<Properties xmlns="http://schemas.openxmlformats.org/officeDocument/2006/custom-properties" xmlns:vt="http://schemas.openxmlformats.org/officeDocument/2006/docPropsVTypes"/>
</file>