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8F557" w14:textId="0BE8254E" w:rsidR="00E46F71" w:rsidRDefault="00E46F71">
      <w:pPr>
        <w:rPr>
          <w:rStyle w:val="fontstyle01"/>
        </w:rPr>
      </w:pPr>
      <w:proofErr w:type="gramStart"/>
      <w:r>
        <w:rPr>
          <w:rStyle w:val="fontstyle01"/>
        </w:rPr>
        <w:t>hakların</w:t>
      </w:r>
      <w:proofErr w:type="gramEnd"/>
      <w:r>
        <w:rPr>
          <w:rStyle w:val="fontstyle01"/>
        </w:rPr>
        <w:t xml:space="preserve"> kiraya verilmesinden elde edilen gelirler</w:t>
      </w:r>
    </w:p>
    <w:p w14:paraId="15849D3A" w14:textId="63EBEAC4" w:rsidR="00E81F8D" w:rsidRDefault="00E46F71">
      <w:pPr>
        <w:rPr>
          <w:rStyle w:val="fontstyle01"/>
        </w:rPr>
      </w:pPr>
      <w:proofErr w:type="gramStart"/>
      <w:r>
        <w:rPr>
          <w:rStyle w:val="fontstyle01"/>
        </w:rPr>
        <w:t>gayrimenkullerin</w:t>
      </w:r>
      <w:proofErr w:type="gramEnd"/>
      <w:r>
        <w:rPr>
          <w:rStyle w:val="fontstyle01"/>
        </w:rPr>
        <w:t xml:space="preserve"> satışından elde edilen gelirlerdir.</w:t>
      </w:r>
    </w:p>
    <w:p w14:paraId="6C9A3B57" w14:textId="73E36626" w:rsidR="00E46F71" w:rsidRDefault="00E46F71">
      <w:pPr>
        <w:rPr>
          <w:rStyle w:val="fontstyle01"/>
        </w:rPr>
      </w:pPr>
    </w:p>
    <w:p w14:paraId="0EB6EDF6" w14:textId="0F429934" w:rsidR="00E46F71" w:rsidRDefault="00E46F71">
      <w:pPr>
        <w:rPr>
          <w:rStyle w:val="fontstyle01"/>
        </w:rPr>
      </w:pPr>
      <w:r>
        <w:rPr>
          <w:rStyle w:val="fontstyle01"/>
        </w:rPr>
        <w:t xml:space="preserve">Bir kimsenin mülkiyet hakkını, önceki malikin mülkiyet hakkına </w:t>
      </w:r>
      <w:proofErr w:type="spellStart"/>
      <w:r>
        <w:rPr>
          <w:rStyle w:val="fontstyle01"/>
        </w:rPr>
        <w:t>isnad</w:t>
      </w:r>
      <w:proofErr w:type="spellEnd"/>
      <w:r>
        <w:rPr>
          <w:rStyle w:val="fontstyle01"/>
        </w:rPr>
        <w:t xml:space="preserve"> ederek, ondan devren elde ettiği hallerde, </w:t>
      </w:r>
      <w:r w:rsidRPr="00E46F71">
        <w:rPr>
          <w:rStyle w:val="fontstyle01"/>
          <w:b/>
          <w:bCs/>
        </w:rPr>
        <w:t>devren kazanma</w:t>
      </w:r>
      <w:r>
        <w:rPr>
          <w:rStyle w:val="fontstyle01"/>
        </w:rPr>
        <w:t xml:space="preserve">dan söz edilir. </w:t>
      </w:r>
      <w:proofErr w:type="gramStart"/>
      <w:r>
        <w:rPr>
          <w:rStyle w:val="fontstyle01"/>
        </w:rPr>
        <w:t>devren</w:t>
      </w:r>
      <w:proofErr w:type="gramEnd"/>
      <w:r>
        <w:rPr>
          <w:rStyle w:val="fontstyle01"/>
        </w:rPr>
        <w:t xml:space="preserve"> kazanma </w:t>
      </w:r>
      <w:r w:rsidRPr="00E46F71">
        <w:rPr>
          <w:rStyle w:val="fontstyle01"/>
          <w:u w:val="single"/>
        </w:rPr>
        <w:t>alım-satım, bağışlama</w:t>
      </w:r>
      <w:r>
        <w:rPr>
          <w:rStyle w:val="fontstyle01"/>
        </w:rPr>
        <w:t xml:space="preserve"> gibi bir hukuki işleme veya </w:t>
      </w:r>
      <w:r w:rsidRPr="00E46F71">
        <w:rPr>
          <w:rStyle w:val="fontstyle01"/>
          <w:u w:val="single"/>
        </w:rPr>
        <w:t>miras yoluyla kazanma</w:t>
      </w:r>
      <w:r>
        <w:rPr>
          <w:rStyle w:val="fontstyle01"/>
        </w:rPr>
        <w:t>da olduğu gibi, bir hukuki olaya da dayanabilir</w:t>
      </w:r>
    </w:p>
    <w:p w14:paraId="440B01F2" w14:textId="0744F141" w:rsidR="00E46F71" w:rsidRDefault="00E46F71">
      <w:pPr>
        <w:rPr>
          <w:rStyle w:val="fontstyle01"/>
        </w:rPr>
      </w:pPr>
      <w:proofErr w:type="gramStart"/>
      <w:r>
        <w:rPr>
          <w:rStyle w:val="fontstyle01"/>
        </w:rPr>
        <w:t>bir</w:t>
      </w:r>
      <w:proofErr w:type="gramEnd"/>
      <w:r>
        <w:rPr>
          <w:rStyle w:val="fontstyle01"/>
        </w:rPr>
        <w:t xml:space="preserve"> taşınmaz üzerinde başkasının mülkiyet hakkına dayanmaksızın, ondan bağımsız olarak mülkiyet hakkı elde edilmişse, buna </w:t>
      </w:r>
      <w:r w:rsidRPr="00E46F71">
        <w:rPr>
          <w:rStyle w:val="fontstyle01"/>
          <w:b/>
          <w:bCs/>
        </w:rPr>
        <w:t>aslen kazanma</w:t>
      </w:r>
      <w:r>
        <w:rPr>
          <w:rStyle w:val="fontstyle01"/>
        </w:rPr>
        <w:t xml:space="preserve"> adı verilir. Aslen kazanmaya </w:t>
      </w:r>
      <w:r w:rsidRPr="00E46F71">
        <w:rPr>
          <w:rStyle w:val="fontstyle01"/>
          <w:u w:val="single"/>
        </w:rPr>
        <w:t xml:space="preserve">işgal, kamulaş- </w:t>
      </w:r>
      <w:proofErr w:type="spellStart"/>
      <w:r w:rsidRPr="00E46F71">
        <w:rPr>
          <w:rStyle w:val="fontstyle01"/>
          <w:u w:val="single"/>
        </w:rPr>
        <w:t>tırma</w:t>
      </w:r>
      <w:proofErr w:type="spellEnd"/>
      <w:r w:rsidRPr="00E46F71">
        <w:rPr>
          <w:rStyle w:val="fontstyle01"/>
          <w:u w:val="single"/>
        </w:rPr>
        <w:t>-ihale, cebri müzayede, kazandırıcı zamanaşımı</w:t>
      </w:r>
      <w:r>
        <w:rPr>
          <w:rStyle w:val="fontstyle01"/>
        </w:rPr>
        <w:t xml:space="preserve"> örnek verilebilir.</w:t>
      </w:r>
    </w:p>
    <w:p w14:paraId="0F8548C0" w14:textId="003F6A7A" w:rsidR="00E46F71" w:rsidRDefault="00E46F71">
      <w:pPr>
        <w:rPr>
          <w:rStyle w:val="fontstyle01"/>
        </w:rPr>
      </w:pPr>
      <w:proofErr w:type="gramStart"/>
      <w:r>
        <w:rPr>
          <w:rStyle w:val="fontstyle01"/>
        </w:rPr>
        <w:t>bir</w:t>
      </w:r>
      <w:proofErr w:type="gramEnd"/>
      <w:r>
        <w:rPr>
          <w:rStyle w:val="fontstyle01"/>
        </w:rPr>
        <w:t xml:space="preserve"> taşınmaz üzerinde mülkiyet hakkı, tapu kütüğüne </w:t>
      </w:r>
      <w:r w:rsidRPr="00E46F71">
        <w:rPr>
          <w:rStyle w:val="fontstyle01"/>
          <w:b/>
          <w:bCs/>
        </w:rPr>
        <w:t>tescille kazan</w:t>
      </w:r>
      <w:r>
        <w:rPr>
          <w:rStyle w:val="fontstyle01"/>
        </w:rPr>
        <w:t xml:space="preserve">ılır (TMK 705). Bununla birlikte miras, mahkeme kararı, cebri icra, işgal, kamulaştırma halleri ile kanunda öngörülen diğer hallerde, mülkiyet </w:t>
      </w:r>
      <w:r w:rsidRPr="00E46F71">
        <w:rPr>
          <w:rStyle w:val="fontstyle01"/>
          <w:b/>
          <w:bCs/>
        </w:rPr>
        <w:t>tescilden önce kazan</w:t>
      </w:r>
      <w:r>
        <w:rPr>
          <w:rStyle w:val="fontstyle01"/>
        </w:rPr>
        <w:t>ılabilmektedir.</w:t>
      </w:r>
    </w:p>
    <w:p w14:paraId="1BE48C42" w14:textId="4595FCAA" w:rsidR="00E46F71" w:rsidRDefault="00E46F71">
      <w:pPr>
        <w:rPr>
          <w:rStyle w:val="fontstyle21"/>
        </w:rPr>
      </w:pPr>
      <w:r>
        <w:rPr>
          <w:rStyle w:val="fontstyle01"/>
        </w:rPr>
        <w:t xml:space="preserve">Gayrimenkul kiralamalarında gelirin elde edilmesi tahsil esasına bağlanmıştır. </w:t>
      </w:r>
      <w:proofErr w:type="gramStart"/>
      <w:r>
        <w:rPr>
          <w:rStyle w:val="fontstyle01"/>
        </w:rPr>
        <w:t>kira</w:t>
      </w:r>
      <w:proofErr w:type="gramEnd"/>
      <w:r>
        <w:rPr>
          <w:rStyle w:val="fontstyle01"/>
        </w:rPr>
        <w:t xml:space="preserve"> gelirinin vergilendirilmesi için </w:t>
      </w:r>
      <w:r w:rsidRPr="00AA78B2">
        <w:rPr>
          <w:rStyle w:val="fontstyle01"/>
          <w:b/>
          <w:bCs/>
          <w:u w:val="single"/>
        </w:rPr>
        <w:t xml:space="preserve">mutlaka </w:t>
      </w:r>
      <w:r w:rsidRPr="00AA78B2">
        <w:rPr>
          <w:rStyle w:val="fontstyle21"/>
          <w:b/>
          <w:bCs/>
          <w:u w:val="single"/>
        </w:rPr>
        <w:t>tahsil edilmiş olması</w:t>
      </w:r>
      <w:r>
        <w:rPr>
          <w:rStyle w:val="fontstyle21"/>
        </w:rPr>
        <w:t xml:space="preserve"> gereklidir</w:t>
      </w:r>
    </w:p>
    <w:p w14:paraId="260AE9CA" w14:textId="1380187F" w:rsidR="00E46F71" w:rsidRDefault="00E46F71">
      <w:pPr>
        <w:rPr>
          <w:rStyle w:val="fontstyle01"/>
        </w:rPr>
      </w:pPr>
      <w:r>
        <w:rPr>
          <w:rStyle w:val="fontstyle01"/>
        </w:rPr>
        <w:t>Gayrimenkul sermaye iratlarının vergilendirilmesinde “</w:t>
      </w:r>
      <w:r w:rsidRPr="00AA78B2">
        <w:rPr>
          <w:rStyle w:val="fontstyle01"/>
          <w:b/>
          <w:bCs/>
        </w:rPr>
        <w:t>safi irat</w:t>
      </w:r>
      <w:r>
        <w:rPr>
          <w:rStyle w:val="fontstyle01"/>
        </w:rPr>
        <w:t xml:space="preserve">” dikkate alınır. Gayrimenkul sermaye iradının safi tutarının tespitinde dikkate alınacak giderler; </w:t>
      </w:r>
      <w:r w:rsidRPr="00AA78B2">
        <w:rPr>
          <w:rStyle w:val="fontstyle01"/>
          <w:b/>
          <w:bCs/>
        </w:rPr>
        <w:t>gerçek usul</w:t>
      </w:r>
      <w:r>
        <w:rPr>
          <w:rStyle w:val="fontstyle01"/>
        </w:rPr>
        <w:t xml:space="preserve">de ve </w:t>
      </w:r>
      <w:r w:rsidRPr="00AA78B2">
        <w:rPr>
          <w:rStyle w:val="fontstyle01"/>
          <w:b/>
          <w:bCs/>
        </w:rPr>
        <w:t>götürü usul</w:t>
      </w:r>
      <w:r>
        <w:rPr>
          <w:rStyle w:val="fontstyle01"/>
        </w:rPr>
        <w:t>de olmak üzere iki farklı şekilde tespiti edilir.</w:t>
      </w:r>
    </w:p>
    <w:p w14:paraId="5C8A8FF0" w14:textId="77777777" w:rsidR="00AA78B2" w:rsidRPr="00AA78B2" w:rsidRDefault="00AA78B2" w:rsidP="00AA78B2">
      <w:pPr>
        <w:spacing w:after="0" w:line="240" w:lineRule="auto"/>
        <w:rPr>
          <w:rFonts w:ascii="AGaramondPro-Regular" w:eastAsia="Times New Roman" w:hAnsi="AGaramondPro-Regular" w:cs="Times New Roman"/>
          <w:color w:val="242021"/>
          <w:lang w:eastAsia="tr-TR"/>
        </w:rPr>
      </w:pPr>
      <w:r w:rsidRPr="00AA78B2">
        <w:rPr>
          <w:rFonts w:ascii="AGaramondPro-Regular" w:eastAsia="Times New Roman" w:hAnsi="AGaramondPro-Regular" w:cs="Times New Roman"/>
          <w:color w:val="242021"/>
          <w:lang w:eastAsia="tr-TR"/>
        </w:rPr>
        <w:t>1. Gerçek Gider Usulüne göre</w:t>
      </w:r>
    </w:p>
    <w:p w14:paraId="4AC0CA66" w14:textId="77777777" w:rsidR="00AA78B2" w:rsidRPr="00AA78B2" w:rsidRDefault="00AA78B2" w:rsidP="00AA78B2">
      <w:pPr>
        <w:spacing w:after="0" w:line="240" w:lineRule="auto"/>
        <w:rPr>
          <w:rFonts w:ascii="AGaramondPro-Regular-Identity-H" w:eastAsia="Times New Roman" w:hAnsi="AGaramondPro-Regular-Identity-H" w:cs="Times New Roman"/>
          <w:color w:val="242021"/>
          <w:lang w:eastAsia="tr-TR"/>
        </w:rPr>
      </w:pPr>
      <w:r w:rsidRPr="00AA78B2">
        <w:rPr>
          <w:rFonts w:ascii="AGaramondPro-Regular-Identity-H" w:eastAsia="Times New Roman" w:hAnsi="AGaramondPro-Regular-Identity-H" w:cs="Times New Roman"/>
          <w:color w:val="242021"/>
          <w:lang w:eastAsia="tr-TR"/>
        </w:rPr>
        <w:t>Safi İrat = Gayrisafi Hasılat – Toplam gider</w:t>
      </w:r>
    </w:p>
    <w:p w14:paraId="6121759B" w14:textId="77777777" w:rsidR="00AA78B2" w:rsidRPr="00AA78B2" w:rsidRDefault="00AA78B2" w:rsidP="00AA78B2">
      <w:pPr>
        <w:spacing w:after="0" w:line="240" w:lineRule="auto"/>
        <w:rPr>
          <w:rFonts w:ascii="AGaramondPro-Regular" w:eastAsia="Times New Roman" w:hAnsi="AGaramondPro-Regular" w:cs="Times New Roman"/>
          <w:color w:val="242021"/>
          <w:lang w:eastAsia="tr-TR"/>
        </w:rPr>
      </w:pPr>
      <w:r w:rsidRPr="00AA78B2">
        <w:rPr>
          <w:rFonts w:ascii="AGaramondPro-Regular" w:eastAsia="Times New Roman" w:hAnsi="AGaramondPro-Regular" w:cs="Times New Roman"/>
          <w:color w:val="242021"/>
          <w:lang w:eastAsia="tr-TR"/>
        </w:rPr>
        <w:t>2. Götürü Gider Usulüne göre</w:t>
      </w:r>
    </w:p>
    <w:p w14:paraId="34388DB0" w14:textId="180193FB" w:rsidR="00AA78B2" w:rsidRDefault="00AA78B2" w:rsidP="00AA78B2">
      <w:pPr>
        <w:rPr>
          <w:rFonts w:ascii="AGaramondPro-Regular-Identity-H" w:eastAsia="Times New Roman" w:hAnsi="AGaramondPro-Regular-Identity-H" w:cs="Times New Roman"/>
          <w:color w:val="242021"/>
          <w:lang w:eastAsia="tr-TR"/>
        </w:rPr>
      </w:pPr>
      <w:r w:rsidRPr="00AA78B2">
        <w:rPr>
          <w:rFonts w:ascii="AGaramondPro-Regular-Identity-H" w:eastAsia="Times New Roman" w:hAnsi="AGaramondPro-Regular-Identity-H" w:cs="Times New Roman"/>
          <w:color w:val="242021"/>
          <w:lang w:eastAsia="tr-TR"/>
        </w:rPr>
        <w:t>Safi İrat = Gayrisafi Hasılat – (Gayrisafi Hasılat x</w:t>
      </w:r>
      <w:proofErr w:type="gramStart"/>
      <w:r w:rsidRPr="00AA78B2">
        <w:rPr>
          <w:rFonts w:ascii="AGaramondPro-Regular-Identity-H" w:eastAsia="Times New Roman" w:hAnsi="AGaramondPro-Regular-Identity-H" w:cs="Times New Roman"/>
          <w:color w:val="242021"/>
          <w:lang w:eastAsia="tr-TR"/>
        </w:rPr>
        <w:t>% 15</w:t>
      </w:r>
      <w:proofErr w:type="gramEnd"/>
      <w:r w:rsidRPr="00AA78B2">
        <w:rPr>
          <w:rFonts w:ascii="AGaramondPro-Regular-Identity-H" w:eastAsia="Times New Roman" w:hAnsi="AGaramondPro-Regular-Identity-H" w:cs="Times New Roman"/>
          <w:color w:val="242021"/>
          <w:lang w:eastAsia="tr-TR"/>
        </w:rPr>
        <w:t>)</w:t>
      </w:r>
    </w:p>
    <w:p w14:paraId="0F96D2B6" w14:textId="50854803" w:rsidR="00AA78B2" w:rsidRDefault="00AA78B2" w:rsidP="00AA78B2">
      <w:pPr>
        <w:rPr>
          <w:rStyle w:val="fontstyle01"/>
        </w:rPr>
      </w:pPr>
      <w:proofErr w:type="spellStart"/>
      <w:r>
        <w:rPr>
          <w:rStyle w:val="fontstyle01"/>
        </w:rPr>
        <w:t>GVK’nın</w:t>
      </w:r>
      <w:proofErr w:type="spellEnd"/>
      <w:r>
        <w:rPr>
          <w:rStyle w:val="fontstyle01"/>
        </w:rPr>
        <w:t xml:space="preserve"> 21. maddesinde yazılı olan istisna mesken istisnasıdır. Bu maddeye göre binaların </w:t>
      </w:r>
      <w:r w:rsidRPr="00AA78B2">
        <w:rPr>
          <w:rStyle w:val="fontstyle01"/>
          <w:b/>
          <w:bCs/>
        </w:rPr>
        <w:t>mesken olarak kiraya verilmesi</w:t>
      </w:r>
      <w:r>
        <w:rPr>
          <w:rStyle w:val="fontstyle01"/>
        </w:rPr>
        <w:t xml:space="preserve">nden bir takvim yılı içerisinde elde edilen hasılatın, 2024 yılı için 33000 lirası gelir vergisinden </w:t>
      </w:r>
      <w:r w:rsidRPr="00AA78B2">
        <w:rPr>
          <w:rStyle w:val="fontstyle01"/>
          <w:b/>
          <w:bCs/>
        </w:rPr>
        <w:t>istisna</w:t>
      </w:r>
      <w:r>
        <w:rPr>
          <w:rStyle w:val="fontstyle01"/>
        </w:rPr>
        <w:t xml:space="preserve"> edilmiştir. 2025-47000 TL (</w:t>
      </w:r>
      <w:proofErr w:type="gramStart"/>
      <w:r>
        <w:rPr>
          <w:rStyle w:val="fontstyle01"/>
        </w:rPr>
        <w:t>aralık</w:t>
      </w:r>
      <w:proofErr w:type="gramEnd"/>
      <w:r>
        <w:rPr>
          <w:rStyle w:val="fontstyle01"/>
        </w:rPr>
        <w:t xml:space="preserve"> 2024)</w:t>
      </w:r>
    </w:p>
    <w:p w14:paraId="6D51D21B" w14:textId="05432483" w:rsidR="00E46F71" w:rsidRDefault="00AA78B2" w:rsidP="00925BAA">
      <w:pPr>
        <w:spacing w:after="0" w:line="240" w:lineRule="auto"/>
        <w:rPr>
          <w:rFonts w:ascii="AGaramondPro-Regular" w:eastAsia="Times New Roman" w:hAnsi="AGaramondPro-Regular" w:cs="Times New Roman"/>
          <w:color w:val="242021"/>
          <w:lang w:eastAsia="tr-TR"/>
        </w:rPr>
      </w:pPr>
      <w:proofErr w:type="gramStart"/>
      <w:r w:rsidRPr="00AA78B2">
        <w:rPr>
          <w:rFonts w:ascii="AGaramondPro-Regular" w:eastAsia="Times New Roman" w:hAnsi="AGaramondPro-Regular" w:cs="Times New Roman"/>
          <w:color w:val="242021"/>
          <w:lang w:eastAsia="tr-TR"/>
        </w:rPr>
        <w:t>gelir</w:t>
      </w:r>
      <w:proofErr w:type="gramEnd"/>
      <w:r w:rsidRPr="00AA78B2">
        <w:rPr>
          <w:rFonts w:ascii="AGaramondPro-Regular" w:eastAsia="Times New Roman" w:hAnsi="AGaramondPro-Regular" w:cs="Times New Roman"/>
          <w:color w:val="242021"/>
          <w:lang w:eastAsia="tr-TR"/>
        </w:rPr>
        <w:t xml:space="preserve"> vergisi tarifesinin üçüncü diliminde ücret gelirleri için yer alan tutarı aşanlar bu </w:t>
      </w:r>
      <w:r w:rsidRPr="00AA78B2">
        <w:rPr>
          <w:rFonts w:ascii="AGaramondPro-Regular" w:eastAsia="Times New Roman" w:hAnsi="AGaramondPro-Regular" w:cs="Times New Roman"/>
          <w:b/>
          <w:bCs/>
          <w:color w:val="242021"/>
          <w:lang w:eastAsia="tr-TR"/>
        </w:rPr>
        <w:t>istisnadan faydalanamazlar</w:t>
      </w:r>
      <w:r w:rsidRPr="00AA78B2">
        <w:rPr>
          <w:rFonts w:ascii="AGaramondPro-Regular" w:eastAsia="Times New Roman" w:hAnsi="AGaramondPro-Regular" w:cs="Times New Roman"/>
          <w:color w:val="242021"/>
          <w:lang w:eastAsia="tr-TR"/>
        </w:rPr>
        <w:t>. Gelir Vergisi tarifesinin üçüncü diliminde ücretler için öngörülen tutar 20</w:t>
      </w:r>
      <w:r w:rsidR="00925BAA">
        <w:rPr>
          <w:rFonts w:ascii="AGaramondPro-Regular" w:eastAsia="Times New Roman" w:hAnsi="AGaramondPro-Regular" w:cs="Times New Roman"/>
          <w:color w:val="242021"/>
          <w:lang w:eastAsia="tr-TR"/>
        </w:rPr>
        <w:t>24</w:t>
      </w:r>
      <w:r w:rsidRPr="00AA78B2">
        <w:rPr>
          <w:rFonts w:ascii="AGaramondPro-Regular" w:eastAsia="Times New Roman" w:hAnsi="AGaramondPro-Regular" w:cs="Times New Roman"/>
          <w:color w:val="242021"/>
          <w:lang w:eastAsia="tr-TR"/>
        </w:rPr>
        <w:t xml:space="preserve"> yılı</w:t>
      </w:r>
      <w:r w:rsidR="00925BAA">
        <w:rPr>
          <w:rFonts w:ascii="AGaramondPro-Regular" w:eastAsia="Times New Roman" w:hAnsi="AGaramondPro-Regular" w:cs="Times New Roman"/>
          <w:color w:val="242021"/>
          <w:lang w:eastAsia="tr-TR"/>
        </w:rPr>
        <w:t xml:space="preserve"> </w:t>
      </w:r>
      <w:r w:rsidRPr="00AA78B2">
        <w:rPr>
          <w:rFonts w:ascii="AGaramondPro-Regular" w:eastAsia="Times New Roman" w:hAnsi="AGaramondPro-Regular" w:cs="Times New Roman"/>
          <w:color w:val="242021"/>
          <w:lang w:eastAsia="tr-TR"/>
        </w:rPr>
        <w:t xml:space="preserve">için </w:t>
      </w:r>
      <w:r w:rsidR="00925BAA">
        <w:rPr>
          <w:rFonts w:ascii="TLfont" w:eastAsia="Times New Roman" w:hAnsi="TLfont" w:cs="Times New Roman"/>
          <w:color w:val="242021"/>
          <w:lang w:eastAsia="tr-TR"/>
        </w:rPr>
        <w:t>870</w:t>
      </w:r>
      <w:r w:rsidRPr="00AA78B2">
        <w:rPr>
          <w:rFonts w:ascii="AGaramondPro-Regular" w:eastAsia="Times New Roman" w:hAnsi="AGaramondPro-Regular" w:cs="Times New Roman"/>
          <w:color w:val="242021"/>
          <w:lang w:eastAsia="tr-TR"/>
        </w:rPr>
        <w:t>.000’dir.</w:t>
      </w:r>
      <w:r w:rsidR="00925BAA">
        <w:rPr>
          <w:rFonts w:ascii="AGaramondPro-Regular" w:eastAsia="Times New Roman" w:hAnsi="AGaramondPro-Regular" w:cs="Times New Roman"/>
          <w:color w:val="242021"/>
          <w:lang w:eastAsia="tr-TR"/>
        </w:rPr>
        <w:t xml:space="preserve"> 2025-1.250.000</w:t>
      </w:r>
    </w:p>
    <w:p w14:paraId="7BDC58BA" w14:textId="4F44DF0A" w:rsidR="00021CDA" w:rsidRDefault="00021CDA" w:rsidP="00925BAA">
      <w:pPr>
        <w:spacing w:after="0" w:line="240" w:lineRule="auto"/>
        <w:rPr>
          <w:rFonts w:ascii="AGaramondPro-Regular" w:eastAsia="Times New Roman" w:hAnsi="AGaramondPro-Regular" w:cs="Times New Roman"/>
          <w:color w:val="242021"/>
          <w:lang w:eastAsia="tr-TR"/>
        </w:rPr>
      </w:pPr>
    </w:p>
    <w:p w14:paraId="0C700AAD" w14:textId="77777777" w:rsidR="00021CDA" w:rsidRPr="00021CDA" w:rsidRDefault="00021CDA" w:rsidP="00021CDA">
      <w:pPr>
        <w:spacing w:after="0" w:line="240" w:lineRule="auto"/>
        <w:rPr>
          <w:rFonts w:ascii="AGaramondPro-Regular" w:eastAsia="Times New Roman" w:hAnsi="AGaramondPro-Regular" w:cs="Times New Roman"/>
          <w:color w:val="242021"/>
          <w:lang w:eastAsia="tr-TR"/>
        </w:rPr>
      </w:pPr>
      <w:proofErr w:type="gramStart"/>
      <w:r w:rsidRPr="00021CDA">
        <w:rPr>
          <w:rFonts w:ascii="AGaramondPro-Regular" w:eastAsia="Times New Roman" w:hAnsi="AGaramondPro-Regular" w:cs="Times New Roman"/>
          <w:color w:val="242021"/>
          <w:lang w:eastAsia="tr-TR"/>
        </w:rPr>
        <w:t>vergiye</w:t>
      </w:r>
      <w:proofErr w:type="gramEnd"/>
      <w:r w:rsidRPr="00021CDA">
        <w:rPr>
          <w:rFonts w:ascii="AGaramondPro-Regular" w:eastAsia="Times New Roman" w:hAnsi="AGaramondPro-Regular" w:cs="Times New Roman"/>
          <w:color w:val="242021"/>
          <w:lang w:eastAsia="tr-TR"/>
        </w:rPr>
        <w:t xml:space="preserve"> tabi gayrisafi hasılata isabet eden gider aşağıdaki formüle göre hesaplanır.</w:t>
      </w:r>
    </w:p>
    <w:p w14:paraId="41564E03" w14:textId="77777777" w:rsidR="00021CDA" w:rsidRPr="00021CDA" w:rsidRDefault="00021CDA" w:rsidP="00021CDA">
      <w:pPr>
        <w:spacing w:after="0" w:line="240" w:lineRule="auto"/>
        <w:rPr>
          <w:rFonts w:ascii="AGaramondPro-Regular-Identity-H" w:eastAsia="Times New Roman" w:hAnsi="AGaramondPro-Regular-Identity-H" w:cs="Times New Roman"/>
          <w:color w:val="242021"/>
          <w:lang w:eastAsia="tr-TR"/>
        </w:rPr>
      </w:pPr>
      <w:r w:rsidRPr="00021CDA">
        <w:rPr>
          <w:rFonts w:ascii="AGaramondPro-Regular-Identity-H" w:eastAsia="Times New Roman" w:hAnsi="AGaramondPro-Regular-Identity-H" w:cs="Times New Roman"/>
          <w:color w:val="242021"/>
          <w:lang w:eastAsia="tr-TR"/>
        </w:rPr>
        <w:t>Vergiye Tabi İrada İsabet Eden</w:t>
      </w:r>
    </w:p>
    <w:p w14:paraId="202D6C0F" w14:textId="7572E0C5" w:rsidR="00021CDA" w:rsidRDefault="00021CDA" w:rsidP="00021CDA">
      <w:pPr>
        <w:spacing w:after="0" w:line="240" w:lineRule="auto"/>
        <w:rPr>
          <w:rStyle w:val="fontstyle01"/>
        </w:rPr>
      </w:pPr>
      <w:r>
        <w:rPr>
          <w:rFonts w:ascii="AGaramondPro-Regular-Identity-H" w:eastAsia="Times New Roman" w:hAnsi="AGaramondPro-Regular-Identity-H" w:cs="Times New Roman"/>
          <w:color w:val="242021"/>
          <w:lang w:eastAsia="tr-TR"/>
        </w:rPr>
        <w:t xml:space="preserve">         </w:t>
      </w:r>
      <w:r w:rsidRPr="00021CDA">
        <w:rPr>
          <w:rFonts w:ascii="AGaramondPro-Regular-Identity-H" w:eastAsia="Times New Roman" w:hAnsi="AGaramondPro-Regular-Identity-H" w:cs="Times New Roman"/>
          <w:color w:val="242021"/>
          <w:lang w:eastAsia="tr-TR"/>
        </w:rPr>
        <w:t xml:space="preserve">Gerçek Gider Tutarı </w:t>
      </w:r>
      <w:r>
        <w:rPr>
          <w:rFonts w:ascii="AGaramondPro-Regular-Identity-H" w:eastAsia="Times New Roman" w:hAnsi="AGaramondPro-Regular-Identity-H" w:cs="Times New Roman"/>
          <w:color w:val="242021"/>
          <w:lang w:eastAsia="tr-TR"/>
        </w:rPr>
        <w:t xml:space="preserve">         </w:t>
      </w:r>
      <w:r w:rsidRPr="00021CDA">
        <w:rPr>
          <w:rFonts w:ascii="AGaramondPro-Regular-Identity-H" w:eastAsia="Times New Roman" w:hAnsi="AGaramondPro-Regular-Identity-H" w:cs="Times New Roman"/>
          <w:color w:val="242021"/>
          <w:lang w:eastAsia="tr-TR"/>
        </w:rPr>
        <w:t>= (Vergiye Tabi Gayrisafi Hasılat x Toplam Gider) / Toplam Hasılat</w:t>
      </w:r>
    </w:p>
    <w:p w14:paraId="5EF33503" w14:textId="3345AE99" w:rsidR="00E46F71" w:rsidRDefault="00E46F71">
      <w:pPr>
        <w:rPr>
          <w:rStyle w:val="fontstyle01"/>
        </w:rPr>
      </w:pPr>
    </w:p>
    <w:p w14:paraId="1347FCC0" w14:textId="17D27FD6" w:rsidR="00E46F71" w:rsidRDefault="00021CDA" w:rsidP="00021CDA">
      <w:pPr>
        <w:spacing w:after="0" w:line="240" w:lineRule="auto"/>
        <w:rPr>
          <w:rStyle w:val="fontstyle01"/>
        </w:rPr>
      </w:pPr>
      <w:r w:rsidRPr="00021CDA">
        <w:rPr>
          <w:rFonts w:ascii="AGaramondPro-Regular-Identity-H" w:eastAsia="Times New Roman" w:hAnsi="AGaramondPro-Regular-Identity-H" w:cs="Times New Roman"/>
          <w:color w:val="242021"/>
          <w:sz w:val="20"/>
          <w:szCs w:val="20"/>
          <w:lang w:eastAsia="tr-TR"/>
        </w:rPr>
        <w:t>İşyerlerinin bedelsiz olarak</w:t>
      </w:r>
      <w:r>
        <w:rPr>
          <w:rFonts w:ascii="AGaramondPro-Regular-Identity-H" w:eastAsia="Times New Roman" w:hAnsi="AGaramondPro-Regular-Identity-H" w:cs="Times New Roman"/>
          <w:color w:val="242021"/>
          <w:sz w:val="20"/>
          <w:szCs w:val="20"/>
          <w:lang w:eastAsia="tr-TR"/>
        </w:rPr>
        <w:t xml:space="preserve"> </w:t>
      </w:r>
      <w:r w:rsidRPr="00021CDA">
        <w:rPr>
          <w:rFonts w:ascii="AGaramondPro-Regular" w:eastAsia="Times New Roman" w:hAnsi="AGaramondPro-Regular" w:cs="Times New Roman"/>
          <w:color w:val="242021"/>
          <w:sz w:val="20"/>
          <w:szCs w:val="20"/>
          <w:lang w:eastAsia="tr-TR"/>
        </w:rPr>
        <w:t>usul, füru veya kardeşlerin</w:t>
      </w:r>
      <w:r>
        <w:rPr>
          <w:rFonts w:ascii="AGaramondPro-Regular" w:eastAsia="Times New Roman" w:hAnsi="AGaramondPro-Regular" w:cs="Times New Roman"/>
          <w:color w:val="242021"/>
          <w:sz w:val="20"/>
          <w:szCs w:val="20"/>
          <w:lang w:eastAsia="tr-TR"/>
        </w:rPr>
        <w:t xml:space="preserve"> </w:t>
      </w:r>
      <w:r w:rsidRPr="00021CDA">
        <w:rPr>
          <w:rFonts w:ascii="AGaramondPro-Regular" w:eastAsia="Times New Roman" w:hAnsi="AGaramondPro-Regular" w:cs="Times New Roman"/>
          <w:color w:val="242021"/>
          <w:sz w:val="20"/>
          <w:szCs w:val="20"/>
          <w:lang w:eastAsia="tr-TR"/>
        </w:rPr>
        <w:t>kullanımına tahsis edilmesi</w:t>
      </w:r>
      <w:r>
        <w:rPr>
          <w:rFonts w:ascii="AGaramondPro-Regular" w:eastAsia="Times New Roman" w:hAnsi="AGaramondPro-Regular" w:cs="Times New Roman"/>
          <w:color w:val="242021"/>
          <w:sz w:val="20"/>
          <w:szCs w:val="20"/>
          <w:lang w:eastAsia="tr-TR"/>
        </w:rPr>
        <w:t xml:space="preserve"> </w:t>
      </w:r>
      <w:r w:rsidRPr="00021CDA">
        <w:rPr>
          <w:rFonts w:ascii="AGaramondPro-Regular" w:eastAsia="Times New Roman" w:hAnsi="AGaramondPro-Regular" w:cs="Times New Roman"/>
          <w:color w:val="242021"/>
          <w:sz w:val="20"/>
          <w:szCs w:val="20"/>
          <w:lang w:eastAsia="tr-TR"/>
        </w:rPr>
        <w:t>halinde emsal kira bedeli</w:t>
      </w:r>
      <w:r>
        <w:rPr>
          <w:rFonts w:ascii="AGaramondPro-Regular" w:eastAsia="Times New Roman" w:hAnsi="AGaramondPro-Regular" w:cs="Times New Roman"/>
          <w:color w:val="242021"/>
          <w:sz w:val="20"/>
          <w:szCs w:val="20"/>
          <w:lang w:eastAsia="tr-TR"/>
        </w:rPr>
        <w:t xml:space="preserve"> </w:t>
      </w:r>
      <w:r w:rsidRPr="00021CDA">
        <w:rPr>
          <w:rFonts w:ascii="AGaramondPro-Regular" w:eastAsia="Times New Roman" w:hAnsi="AGaramondPro-Regular" w:cs="Times New Roman"/>
          <w:color w:val="242021"/>
          <w:sz w:val="20"/>
          <w:szCs w:val="20"/>
          <w:lang w:eastAsia="tr-TR"/>
        </w:rPr>
        <w:t>uygulanır.</w:t>
      </w:r>
    </w:p>
    <w:p w14:paraId="6E8D89A7" w14:textId="39C9CBEA" w:rsidR="00E46F71" w:rsidRDefault="00E46F71"/>
    <w:p w14:paraId="0DA0A8A7" w14:textId="3059D91A" w:rsidR="00D039BD" w:rsidRDefault="00D039BD">
      <w:pPr>
        <w:rPr>
          <w:rFonts w:ascii="AGaramondPro-Regular" w:hAnsi="AGaramondPro-Regular"/>
          <w:color w:val="242021"/>
        </w:rPr>
      </w:pPr>
      <w:r w:rsidRPr="00D039BD">
        <w:rPr>
          <w:rFonts w:ascii="AGaramondPro-Regular" w:hAnsi="AGaramondPro-Regular"/>
          <w:color w:val="242021"/>
        </w:rPr>
        <w:t xml:space="preserve">Stopaja tabi tutulan kira ödemelerinin tutarı gelir vergisi tarifesinin ikinci gelir dilimindeki tutarı aşmaması durumunda beyan edilmemektedir. Bu tutar her yıl </w:t>
      </w:r>
      <w:proofErr w:type="spellStart"/>
      <w:r w:rsidRPr="00D039BD">
        <w:rPr>
          <w:rFonts w:ascii="AGaramondPro-Regular" w:hAnsi="AGaramondPro-Regular"/>
          <w:color w:val="242021"/>
        </w:rPr>
        <w:t>değişimekle</w:t>
      </w:r>
      <w:proofErr w:type="spellEnd"/>
      <w:r w:rsidRPr="00D039BD">
        <w:rPr>
          <w:rFonts w:ascii="AGaramondPro-Regular" w:hAnsi="AGaramondPro-Regular"/>
          <w:color w:val="242021"/>
        </w:rPr>
        <w:t xml:space="preserve"> birlikte 2018 yılı için </w:t>
      </w:r>
      <w:r w:rsidRPr="00D039BD">
        <w:rPr>
          <w:rFonts w:ascii="TLfont" w:hAnsi="TLfont"/>
          <w:color w:val="242021"/>
          <w:sz w:val="20"/>
          <w:szCs w:val="20"/>
        </w:rPr>
        <w:t>T</w:t>
      </w:r>
      <w:r w:rsidRPr="00D039BD">
        <w:rPr>
          <w:rFonts w:ascii="AGaramondPro-Regular" w:hAnsi="AGaramondPro-Regular"/>
          <w:color w:val="242021"/>
        </w:rPr>
        <w:t>34.000’dir.</w:t>
      </w:r>
      <w:r>
        <w:rPr>
          <w:rFonts w:ascii="AGaramondPro-Regular" w:hAnsi="AGaramondPro-Regular"/>
          <w:color w:val="242021"/>
        </w:rPr>
        <w:t xml:space="preserve"> 2024-230.000 – </w:t>
      </w:r>
      <w:proofErr w:type="gramStart"/>
      <w:r>
        <w:rPr>
          <w:rFonts w:ascii="AGaramondPro-Regular" w:hAnsi="AGaramondPro-Regular"/>
          <w:color w:val="242021"/>
        </w:rPr>
        <w:t>2025 -</w:t>
      </w:r>
      <w:proofErr w:type="gramEnd"/>
      <w:r>
        <w:rPr>
          <w:rFonts w:ascii="AGaramondPro-Regular" w:hAnsi="AGaramondPro-Regular"/>
          <w:color w:val="242021"/>
        </w:rPr>
        <w:t>330.000</w:t>
      </w:r>
    </w:p>
    <w:p w14:paraId="01EA8A79" w14:textId="3E6449BD" w:rsidR="007F6854" w:rsidRDefault="007F6854">
      <w:pPr>
        <w:rPr>
          <w:rFonts w:ascii="AGaramondPro-Regular" w:hAnsi="AGaramondPro-Regular"/>
          <w:color w:val="242021"/>
        </w:rPr>
      </w:pPr>
      <w:r w:rsidRPr="007F6854">
        <w:rPr>
          <w:rFonts w:ascii="AGaramondPro-Regular" w:hAnsi="AGaramondPro-Regular"/>
          <w:color w:val="242021"/>
        </w:rPr>
        <w:t xml:space="preserve">Stopaja tabi tutulan kira ödemelerinin gelir vergisi tarifesinin ikinci gelir dilimindeki tutarı aşması (2018 yılı için </w:t>
      </w:r>
      <w:r w:rsidRPr="007F6854">
        <w:rPr>
          <w:rFonts w:ascii="TLfont" w:hAnsi="TLfont"/>
          <w:color w:val="242021"/>
          <w:sz w:val="20"/>
          <w:szCs w:val="20"/>
        </w:rPr>
        <w:t>T</w:t>
      </w:r>
      <w:r w:rsidRPr="007F6854">
        <w:rPr>
          <w:rFonts w:ascii="AGaramondPro-Regular" w:hAnsi="AGaramondPro-Regular"/>
          <w:color w:val="242021"/>
        </w:rPr>
        <w:t>34.000) ve stopaja maruz kalmamış kira gelirleri tutarı ne olursa olsun beyan edilmek zorundadır.</w:t>
      </w:r>
    </w:p>
    <w:p w14:paraId="286DB4B9" w14:textId="2770857C" w:rsidR="00E32E5E" w:rsidRDefault="00E32E5E"/>
    <w:p w14:paraId="22BDA464" w14:textId="60584899" w:rsidR="004E5150" w:rsidRDefault="004E5150"/>
    <w:p w14:paraId="35E5FF3B" w14:textId="537D589E" w:rsidR="004E5150" w:rsidRDefault="004E5150"/>
    <w:p w14:paraId="0ABD8B9B" w14:textId="27058A62" w:rsidR="004E5150" w:rsidRDefault="004E5150">
      <w:r>
        <w:t>KDV</w:t>
      </w:r>
    </w:p>
    <w:p w14:paraId="1A9AAC0B" w14:textId="0292C84F" w:rsidR="004E5150" w:rsidRDefault="004E5150">
      <w:r w:rsidRPr="004E5150">
        <w:rPr>
          <w:rFonts w:ascii="AGaramondPro-Regular" w:hAnsi="AGaramondPro-Regular"/>
          <w:color w:val="242021"/>
        </w:rPr>
        <w:t xml:space="preserve">Türkiye’de 3065 sayılı KDV Kanununun uygulanması, 1 Ocak 1985’de başlamıştır. Kanunun yürürlüğe girmesi ile birlikte bu tarihe kadar uygulanan banka ve sigorta muameleleri vergisi dışındaki 8 değişik gider vergisi yürürlükten kaldırılmıştır. Kaldırılan vergiler arasında; dahilde alınan istihsal vergisi, ithalde alı- </w:t>
      </w:r>
      <w:proofErr w:type="spellStart"/>
      <w:r w:rsidRPr="004E5150">
        <w:rPr>
          <w:rFonts w:ascii="AGaramondPro-Regular" w:hAnsi="AGaramondPro-Regular"/>
          <w:color w:val="242021"/>
        </w:rPr>
        <w:t>nan</w:t>
      </w:r>
      <w:proofErr w:type="spellEnd"/>
      <w:r w:rsidRPr="004E5150">
        <w:rPr>
          <w:rFonts w:ascii="AGaramondPro-Regular" w:hAnsi="AGaramondPro-Regular"/>
          <w:color w:val="242021"/>
        </w:rPr>
        <w:t xml:space="preserve"> istihsal vergisi, işletme vergisi, PTT hizmetleri vergisi, şeker ve tuz tüketim vergisi, spor toto vergisi, perakende satış vergisi ve nakliyat vergisi yer almaktadır</w:t>
      </w:r>
    </w:p>
    <w:p w14:paraId="7A59E4B8" w14:textId="1735F3D6" w:rsidR="004E5150" w:rsidRDefault="00981236">
      <w:r w:rsidRPr="00981236">
        <w:rPr>
          <w:rFonts w:ascii="AGaramondPro-Regular" w:hAnsi="AGaramondPro-Regular"/>
          <w:color w:val="242021"/>
        </w:rPr>
        <w:t xml:space="preserve">KDV’de kanuni ve fiili mü- </w:t>
      </w:r>
      <w:proofErr w:type="spellStart"/>
      <w:r w:rsidRPr="00981236">
        <w:rPr>
          <w:rFonts w:ascii="AGaramondPro-Regular" w:hAnsi="AGaramondPro-Regular"/>
          <w:color w:val="242021"/>
        </w:rPr>
        <w:t>kellef</w:t>
      </w:r>
      <w:proofErr w:type="spellEnd"/>
      <w:r w:rsidRPr="00981236">
        <w:rPr>
          <w:rFonts w:ascii="AGaramondPro-Regular" w:hAnsi="AGaramondPro-Regular"/>
          <w:color w:val="242021"/>
        </w:rPr>
        <w:t xml:space="preserve"> olmak üzere iki tür mükellef söz konusudur.</w:t>
      </w:r>
      <w:r w:rsidRPr="00981236">
        <w:rPr>
          <w:rStyle w:val="fontstyle01"/>
        </w:rPr>
        <w:t xml:space="preserve"> </w:t>
      </w:r>
      <w:r w:rsidRPr="00981236">
        <w:rPr>
          <w:rFonts w:ascii="AGaramondPro-Regular" w:hAnsi="AGaramondPro-Regular"/>
          <w:color w:val="242021"/>
        </w:rPr>
        <w:t xml:space="preserve">Vergiyi tüketiciden satış fiyatı ile birlikte tahsil edip vergi dairesine yatırmak zorunda olanlar verginin </w:t>
      </w:r>
      <w:r w:rsidRPr="00981236">
        <w:rPr>
          <w:rFonts w:ascii="AGaramondPro-Regular" w:hAnsi="AGaramondPro-Regular"/>
          <w:b/>
          <w:bCs/>
          <w:color w:val="242021"/>
        </w:rPr>
        <w:t>kanuni mükellefleri</w:t>
      </w:r>
      <w:r w:rsidRPr="00981236">
        <w:rPr>
          <w:rFonts w:ascii="AGaramondPro-Regular" w:hAnsi="AGaramondPro-Regular"/>
          <w:color w:val="242021"/>
        </w:rPr>
        <w:t xml:space="preserve">dir. </w:t>
      </w:r>
      <w:r w:rsidRPr="00981236">
        <w:rPr>
          <w:rFonts w:ascii="AGaramondPro-Regular" w:hAnsi="AGaramondPro-Regular"/>
          <w:b/>
          <w:bCs/>
          <w:color w:val="242021"/>
        </w:rPr>
        <w:t>Fiili mükellef</w:t>
      </w:r>
      <w:r w:rsidRPr="00981236">
        <w:rPr>
          <w:rFonts w:ascii="AGaramondPro-Regular" w:hAnsi="AGaramondPro-Regular"/>
          <w:color w:val="242021"/>
        </w:rPr>
        <w:t xml:space="preserve">ler ise, kanuni mükelleflerin sundukları mal veya hizmetin nihai tüketicisi durumunda olan ve vergileri satış fiyatı ile birlikte kanuni mükelleflere ödeyen mükelleflerdir. Bu açıklamalardan anlaşılacağı üzere </w:t>
      </w:r>
      <w:r w:rsidRPr="00981236">
        <w:rPr>
          <w:rFonts w:ascii="AGaramondPro-Regular" w:hAnsi="AGaramondPro-Regular"/>
          <w:b/>
          <w:bCs/>
          <w:color w:val="242021"/>
        </w:rPr>
        <w:t>KDV’nin asıl yüklenicileri fiili mükelleflerdir.</w:t>
      </w:r>
    </w:p>
    <w:p w14:paraId="073B77E8" w14:textId="061954B8" w:rsidR="004E5150" w:rsidRDefault="00981236">
      <w:pPr>
        <w:rPr>
          <w:rFonts w:ascii="AGaramondPro-Regular" w:hAnsi="AGaramondPro-Regular"/>
          <w:color w:val="242021"/>
        </w:rPr>
      </w:pPr>
      <w:r w:rsidRPr="00981236">
        <w:rPr>
          <w:rFonts w:ascii="AGaramondPro-Regular" w:hAnsi="AGaramondPro-Regular"/>
          <w:b/>
          <w:bCs/>
          <w:color w:val="242021"/>
        </w:rPr>
        <w:t>KDV sorumluluğu</w:t>
      </w:r>
      <w:r>
        <w:rPr>
          <w:rFonts w:ascii="AGaramondPro-Regular" w:hAnsi="AGaramondPro-Regular"/>
          <w:color w:val="242021"/>
        </w:rPr>
        <w:t xml:space="preserve">, </w:t>
      </w:r>
      <w:r w:rsidRPr="00981236">
        <w:rPr>
          <w:rFonts w:ascii="AGaramondPro-Regular" w:hAnsi="AGaramondPro-Regular"/>
          <w:color w:val="242021"/>
        </w:rPr>
        <w:t xml:space="preserve">uygulamada </w:t>
      </w:r>
      <w:r w:rsidRPr="00981236">
        <w:rPr>
          <w:rFonts w:ascii="AGaramondPro-Regular" w:hAnsi="AGaramondPro-Regular"/>
          <w:b/>
          <w:bCs/>
          <w:color w:val="242021"/>
        </w:rPr>
        <w:t xml:space="preserve">“KDV </w:t>
      </w:r>
      <w:proofErr w:type="spellStart"/>
      <w:r w:rsidRPr="00981236">
        <w:rPr>
          <w:rFonts w:ascii="AGaramondPro-Regular" w:hAnsi="AGaramondPro-Regular"/>
          <w:b/>
          <w:bCs/>
          <w:color w:val="242021"/>
        </w:rPr>
        <w:t>tevkifatı</w:t>
      </w:r>
      <w:proofErr w:type="spellEnd"/>
      <w:r w:rsidRPr="00981236">
        <w:rPr>
          <w:rFonts w:ascii="AGaramondPro-Regular" w:hAnsi="AGaramondPro-Regular"/>
          <w:b/>
          <w:bCs/>
          <w:color w:val="242021"/>
        </w:rPr>
        <w:t>”</w:t>
      </w:r>
      <w:r w:rsidRPr="00981236">
        <w:rPr>
          <w:rFonts w:ascii="AGaramondPro-Regular" w:hAnsi="AGaramondPro-Regular"/>
          <w:color w:val="242021"/>
        </w:rPr>
        <w:t xml:space="preserve"> şeklinde de adlandırılabilmektedir.</w:t>
      </w:r>
      <w:r>
        <w:rPr>
          <w:rFonts w:ascii="AGaramondPro-Regular" w:hAnsi="AGaramondPro-Regular"/>
          <w:color w:val="242021"/>
        </w:rPr>
        <w:t xml:space="preserve"> </w:t>
      </w:r>
    </w:p>
    <w:p w14:paraId="43B18482" w14:textId="41A1718F" w:rsidR="00981236" w:rsidRPr="00981236" w:rsidRDefault="00981236" w:rsidP="00981236">
      <w:pPr>
        <w:spacing w:after="0" w:line="240" w:lineRule="auto"/>
        <w:rPr>
          <w:rFonts w:ascii="AGaramondPro-Regular-Identity-H" w:eastAsia="Times New Roman" w:hAnsi="AGaramondPro-Regular-Identity-H" w:cs="Times New Roman"/>
          <w:color w:val="242021"/>
          <w:lang w:eastAsia="tr-TR"/>
        </w:rPr>
      </w:pPr>
      <w:r w:rsidRPr="00981236">
        <w:rPr>
          <w:rFonts w:ascii="AGaramondPro-Regular-Identity-H" w:eastAsia="Times New Roman" w:hAnsi="AGaramondPro-Regular-Identity-H" w:cs="Times New Roman"/>
          <w:color w:val="242021"/>
          <w:lang w:eastAsia="tr-TR"/>
        </w:rPr>
        <w:t>• Mükellefin Türkiye içinde ikametgâhının, işyerinin, kanunî merkezi ve iş merkezinin bulunmaması.</w:t>
      </w:r>
    </w:p>
    <w:p w14:paraId="746055EA" w14:textId="1240F31D" w:rsidR="00981236" w:rsidRPr="00981236" w:rsidRDefault="00981236" w:rsidP="00981236">
      <w:pPr>
        <w:spacing w:after="0" w:line="240" w:lineRule="auto"/>
        <w:rPr>
          <w:rFonts w:ascii="AGaramondPro-Regular" w:eastAsia="Times New Roman" w:hAnsi="AGaramondPro-Regular" w:cs="Times New Roman"/>
          <w:color w:val="242021"/>
          <w:lang w:eastAsia="tr-TR"/>
        </w:rPr>
      </w:pPr>
      <w:r w:rsidRPr="00981236">
        <w:rPr>
          <w:rFonts w:ascii="AGaramondPro-Regular-Identity-H" w:eastAsia="Times New Roman" w:hAnsi="AGaramondPro-Regular-Identity-H" w:cs="Times New Roman"/>
          <w:color w:val="242021"/>
          <w:lang w:eastAsia="tr-TR"/>
        </w:rPr>
        <w:t xml:space="preserve">• Fiilî </w:t>
      </w:r>
      <w:proofErr w:type="gramStart"/>
      <w:r w:rsidRPr="00981236">
        <w:rPr>
          <w:rFonts w:ascii="AGaramondPro-Regular-Identity-H" w:eastAsia="Times New Roman" w:hAnsi="AGaramondPro-Regular-Identity-H" w:cs="Times New Roman"/>
          <w:color w:val="242021"/>
          <w:lang w:eastAsia="tr-TR"/>
        </w:rPr>
        <w:t>yada</w:t>
      </w:r>
      <w:proofErr w:type="gramEnd"/>
      <w:r w:rsidRPr="00981236">
        <w:rPr>
          <w:rFonts w:ascii="AGaramondPro-Regular-Identity-H" w:eastAsia="Times New Roman" w:hAnsi="AGaramondPro-Regular-Identity-H" w:cs="Times New Roman"/>
          <w:color w:val="242021"/>
          <w:lang w:eastAsia="tr-TR"/>
        </w:rPr>
        <w:t xml:space="preserve"> </w:t>
      </w:r>
      <w:proofErr w:type="spellStart"/>
      <w:r w:rsidRPr="00981236">
        <w:rPr>
          <w:rFonts w:ascii="AGaramondPro-Regular-Identity-H" w:eastAsia="Times New Roman" w:hAnsi="AGaramondPro-Regular-Identity-H" w:cs="Times New Roman"/>
          <w:color w:val="242021"/>
          <w:lang w:eastAsia="tr-TR"/>
        </w:rPr>
        <w:t>kaydî</w:t>
      </w:r>
      <w:proofErr w:type="spellEnd"/>
      <w:r w:rsidRPr="00981236">
        <w:rPr>
          <w:rFonts w:ascii="AGaramondPro-Regular-Identity-H" w:eastAsia="Times New Roman" w:hAnsi="AGaramondPro-Regular-Identity-H" w:cs="Times New Roman"/>
          <w:color w:val="242021"/>
          <w:lang w:eastAsia="tr-TR"/>
        </w:rPr>
        <w:t xml:space="preserve"> envanter sırasında belgesiz mal bulundurulduğu veya belgesiz hizmet satın alındı</w:t>
      </w:r>
      <w:r w:rsidRPr="00981236">
        <w:rPr>
          <w:rFonts w:ascii="AGaramondPro-Regular" w:eastAsia="Times New Roman" w:hAnsi="AGaramondPro-Regular" w:cs="Times New Roman"/>
          <w:color w:val="242021"/>
          <w:lang w:eastAsia="tr-TR"/>
        </w:rPr>
        <w:t xml:space="preserve">ğının tespiti halinde, bu alışlar nedeniyle </w:t>
      </w:r>
      <w:proofErr w:type="spellStart"/>
      <w:r w:rsidRPr="00981236">
        <w:rPr>
          <w:rFonts w:ascii="AGaramondPro-Regular" w:eastAsia="Times New Roman" w:hAnsi="AGaramondPro-Regular" w:cs="Times New Roman"/>
          <w:color w:val="242021"/>
          <w:lang w:eastAsia="tr-TR"/>
        </w:rPr>
        <w:t>ziyaa</w:t>
      </w:r>
      <w:proofErr w:type="spellEnd"/>
      <w:r w:rsidRPr="00981236">
        <w:rPr>
          <w:rFonts w:ascii="AGaramondPro-Regular" w:eastAsia="Times New Roman" w:hAnsi="AGaramondPro-Regular" w:cs="Times New Roman"/>
          <w:color w:val="242021"/>
          <w:lang w:eastAsia="tr-TR"/>
        </w:rPr>
        <w:t xml:space="preserve"> uğratılan katma değer vergisi, belgesiz mal bulunduran veya hizmet satın alan mükelleften aranır.</w:t>
      </w:r>
    </w:p>
    <w:p w14:paraId="2ECCD54A" w14:textId="77777777" w:rsidR="00981236" w:rsidRPr="00981236" w:rsidRDefault="00981236" w:rsidP="00981236">
      <w:pPr>
        <w:spacing w:after="0" w:line="240" w:lineRule="auto"/>
        <w:rPr>
          <w:rFonts w:ascii="AGaramondPro-Regular" w:eastAsia="Times New Roman" w:hAnsi="AGaramondPro-Regular" w:cs="Times New Roman"/>
          <w:color w:val="242021"/>
          <w:lang w:eastAsia="tr-TR"/>
        </w:rPr>
      </w:pPr>
      <w:r w:rsidRPr="00981236">
        <w:rPr>
          <w:rFonts w:ascii="AGaramondPro-Regular-Identity-H" w:eastAsia="Times New Roman" w:hAnsi="AGaramondPro-Regular-Identity-H" w:cs="Times New Roman"/>
          <w:color w:val="242021"/>
          <w:lang w:eastAsia="tr-TR"/>
        </w:rPr>
        <w:t>• 5300 sayılı Tarım Ürünleri Lisanslı Depoculuk Kanununa göre düzenlenen ürün senetlerinin, se</w:t>
      </w:r>
      <w:r w:rsidRPr="00981236">
        <w:rPr>
          <w:rFonts w:ascii="AGaramondPro-Regular" w:eastAsia="Times New Roman" w:hAnsi="AGaramondPro-Regular" w:cs="Times New Roman"/>
          <w:color w:val="242021"/>
          <w:lang w:eastAsia="tr-TR"/>
        </w:rPr>
        <w:t>nedin temsil ettiği ürünü depodan çekecek olanlara teslimine ait katma değer vergisinin ödenmesinden lisanslı depo işleticileri sorumludur.</w:t>
      </w:r>
    </w:p>
    <w:p w14:paraId="14D3C48E" w14:textId="60BB51CF" w:rsidR="00981236" w:rsidRDefault="00981236" w:rsidP="00981236">
      <w:pPr>
        <w:rPr>
          <w:rFonts w:ascii="AGaramondPro-Regular-Identity-H" w:eastAsia="Times New Roman" w:hAnsi="AGaramondPro-Regular-Identity-H" w:cs="Times New Roman"/>
          <w:color w:val="242021"/>
          <w:lang w:eastAsia="tr-TR"/>
        </w:rPr>
      </w:pPr>
      <w:r w:rsidRPr="00981236">
        <w:rPr>
          <w:rFonts w:ascii="AGaramondPro-Regular-Identity-H" w:eastAsia="Times New Roman" w:hAnsi="AGaramondPro-Regular-Identity-H" w:cs="Times New Roman"/>
          <w:color w:val="242021"/>
          <w:lang w:eastAsia="tr-TR"/>
        </w:rPr>
        <w:t>• Maliye Bakanlığı’nca gerekli görülen diğer haller.</w:t>
      </w:r>
    </w:p>
    <w:p w14:paraId="0D3E6DD6" w14:textId="7A5EB222" w:rsidR="00981236" w:rsidRPr="009207EE" w:rsidRDefault="00981236" w:rsidP="00981236">
      <w:pPr>
        <w:rPr>
          <w:rFonts w:ascii="AGaramondPro-Regular-Identity-H" w:eastAsia="Times New Roman" w:hAnsi="AGaramondPro-Regular-Identity-H" w:cs="Times New Roman"/>
          <w:b/>
          <w:bCs/>
          <w:color w:val="242021"/>
          <w:lang w:eastAsia="tr-TR"/>
        </w:rPr>
      </w:pPr>
      <w:r w:rsidRPr="00981236">
        <w:rPr>
          <w:rFonts w:ascii="AGaramondPro-Regular" w:hAnsi="AGaramondPro-Regular"/>
          <w:color w:val="242021"/>
        </w:rPr>
        <w:t xml:space="preserve">Yukarıdaki durumlarda normal olarak satıcının veya hizmet ifa edenin üzerinde bulunan KDV ödeme yükümlülüğü (kanuni yükümlülük) mal alıcısına veya kendisine hizmet ifa edilen kişiye geçmekte ve bu kişiler satış veya hizmet bedeli üzerinden KDV hesaplayarak, bunu </w:t>
      </w:r>
      <w:r w:rsidRPr="009207EE">
        <w:rPr>
          <w:rFonts w:ascii="AGaramondPro-Regular" w:hAnsi="AGaramondPro-Regular"/>
          <w:b/>
          <w:bCs/>
          <w:color w:val="242021"/>
        </w:rPr>
        <w:t>sorumlu sıfatı ile ödemek zorundadırlar</w:t>
      </w:r>
    </w:p>
    <w:p w14:paraId="6D642F69" w14:textId="377BD33E" w:rsidR="00981236" w:rsidRDefault="00981236" w:rsidP="00981236">
      <w:pPr>
        <w:rPr>
          <w:rFonts w:ascii="AGaramondPro-Regular-Identity-H" w:eastAsia="Times New Roman" w:hAnsi="AGaramondPro-Regular-Identity-H" w:cs="Times New Roman"/>
          <w:color w:val="242021"/>
          <w:lang w:eastAsia="tr-TR"/>
        </w:rPr>
      </w:pPr>
    </w:p>
    <w:p w14:paraId="2463D45B" w14:textId="24D670F1" w:rsidR="00981236" w:rsidRDefault="00981236" w:rsidP="00981236">
      <w:pPr>
        <w:rPr>
          <w:rFonts w:ascii="AGaramondPro-Regular-Identity-H" w:eastAsia="Times New Roman" w:hAnsi="AGaramondPro-Regular-Identity-H" w:cs="Times New Roman"/>
          <w:color w:val="242021"/>
          <w:lang w:eastAsia="tr-TR"/>
        </w:rPr>
      </w:pPr>
    </w:p>
    <w:p w14:paraId="51B784C6" w14:textId="77777777" w:rsidR="00981236" w:rsidRDefault="00981236" w:rsidP="00981236"/>
    <w:p w14:paraId="66949784" w14:textId="77777777" w:rsidR="004E5150" w:rsidRDefault="004E5150"/>
    <w:sectPr w:rsidR="004E51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GaramondPro-Regular">
    <w:altName w:val="Cambria"/>
    <w:panose1 w:val="00000000000000000000"/>
    <w:charset w:val="00"/>
    <w:family w:val="roman"/>
    <w:notTrueType/>
    <w:pitch w:val="default"/>
  </w:font>
  <w:font w:name="AGaramondPro-Regular-Identity-H">
    <w:altName w:val="Cambria"/>
    <w:panose1 w:val="00000000000000000000"/>
    <w:charset w:val="00"/>
    <w:family w:val="roman"/>
    <w:notTrueType/>
    <w:pitch w:val="default"/>
  </w:font>
  <w:font w:name="TLfont">
    <w:altName w:val="Cambria"/>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148"/>
    <w:rsid w:val="00021CDA"/>
    <w:rsid w:val="00200AFA"/>
    <w:rsid w:val="004E5150"/>
    <w:rsid w:val="005B0764"/>
    <w:rsid w:val="005C57B2"/>
    <w:rsid w:val="007F6854"/>
    <w:rsid w:val="00901148"/>
    <w:rsid w:val="009207EE"/>
    <w:rsid w:val="00925BAA"/>
    <w:rsid w:val="00981236"/>
    <w:rsid w:val="00A8678F"/>
    <w:rsid w:val="00AA78B2"/>
    <w:rsid w:val="00C56F87"/>
    <w:rsid w:val="00CD30D0"/>
    <w:rsid w:val="00D039BD"/>
    <w:rsid w:val="00E32E5E"/>
    <w:rsid w:val="00E46F71"/>
    <w:rsid w:val="00E81F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D1C8A"/>
  <w15:chartTrackingRefBased/>
  <w15:docId w15:val="{EE7E1D27-FD48-4DCB-BE19-199AB2113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fontstyle01">
    <w:name w:val="fontstyle01"/>
    <w:basedOn w:val="VarsaylanParagrafYazTipi"/>
    <w:rsid w:val="00E46F71"/>
    <w:rPr>
      <w:rFonts w:ascii="AGaramondPro-Regular" w:hAnsi="AGaramondPro-Regular" w:hint="default"/>
      <w:b w:val="0"/>
      <w:bCs w:val="0"/>
      <w:i w:val="0"/>
      <w:iCs w:val="0"/>
      <w:color w:val="242021"/>
      <w:sz w:val="22"/>
      <w:szCs w:val="22"/>
    </w:rPr>
  </w:style>
  <w:style w:type="character" w:customStyle="1" w:styleId="fontstyle21">
    <w:name w:val="fontstyle21"/>
    <w:basedOn w:val="VarsaylanParagrafYazTipi"/>
    <w:rsid w:val="00E46F71"/>
    <w:rPr>
      <w:rFonts w:ascii="AGaramondPro-Regular-Identity-H" w:hAnsi="AGaramondPro-Regular-Identity-H" w:hint="default"/>
      <w:b w:val="0"/>
      <w:bCs w:val="0"/>
      <w:i w:val="0"/>
      <w:iCs w:val="0"/>
      <w:color w:val="24202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57000">
      <w:bodyDiv w:val="1"/>
      <w:marLeft w:val="0"/>
      <w:marRight w:val="0"/>
      <w:marTop w:val="0"/>
      <w:marBottom w:val="0"/>
      <w:divBdr>
        <w:top w:val="none" w:sz="0" w:space="0" w:color="auto"/>
        <w:left w:val="none" w:sz="0" w:space="0" w:color="auto"/>
        <w:bottom w:val="none" w:sz="0" w:space="0" w:color="auto"/>
        <w:right w:val="none" w:sz="0" w:space="0" w:color="auto"/>
      </w:divBdr>
    </w:div>
    <w:div w:id="235436485">
      <w:bodyDiv w:val="1"/>
      <w:marLeft w:val="0"/>
      <w:marRight w:val="0"/>
      <w:marTop w:val="0"/>
      <w:marBottom w:val="0"/>
      <w:divBdr>
        <w:top w:val="none" w:sz="0" w:space="0" w:color="auto"/>
        <w:left w:val="none" w:sz="0" w:space="0" w:color="auto"/>
        <w:bottom w:val="none" w:sz="0" w:space="0" w:color="auto"/>
        <w:right w:val="none" w:sz="0" w:space="0" w:color="auto"/>
      </w:divBdr>
    </w:div>
    <w:div w:id="398292406">
      <w:bodyDiv w:val="1"/>
      <w:marLeft w:val="0"/>
      <w:marRight w:val="0"/>
      <w:marTop w:val="0"/>
      <w:marBottom w:val="0"/>
      <w:divBdr>
        <w:top w:val="none" w:sz="0" w:space="0" w:color="auto"/>
        <w:left w:val="none" w:sz="0" w:space="0" w:color="auto"/>
        <w:bottom w:val="none" w:sz="0" w:space="0" w:color="auto"/>
        <w:right w:val="none" w:sz="0" w:space="0" w:color="auto"/>
      </w:divBdr>
    </w:div>
    <w:div w:id="1342274690">
      <w:bodyDiv w:val="1"/>
      <w:marLeft w:val="0"/>
      <w:marRight w:val="0"/>
      <w:marTop w:val="0"/>
      <w:marBottom w:val="0"/>
      <w:divBdr>
        <w:top w:val="none" w:sz="0" w:space="0" w:color="auto"/>
        <w:left w:val="none" w:sz="0" w:space="0" w:color="auto"/>
        <w:bottom w:val="none" w:sz="0" w:space="0" w:color="auto"/>
        <w:right w:val="none" w:sz="0" w:space="0" w:color="auto"/>
      </w:divBdr>
    </w:div>
    <w:div w:id="2030644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2941</TotalTime>
  <Pages>1</Pages>
  <Words>708</Words>
  <Characters>4040</Characters>
  <Application>Microsoft Office Word</Application>
  <DocSecurity>0</DocSecurity>
  <Lines>33</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4</cp:revision>
  <dcterms:created xsi:type="dcterms:W3CDTF">2024-12-06T08:33:00Z</dcterms:created>
  <dcterms:modified xsi:type="dcterms:W3CDTF">2024-12-08T09:27:00Z</dcterms:modified>
</cp:coreProperties>
</file>