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rPr>
          <w:rStyle w:val="Strong"/>
        </w:rPr>
      </w:pPr>
      <w:r>
        <w:rPr/>
      </w:r>
    </w:p>
    <w:p>
      <w:pPr>
        <w:pStyle w:val="NormalWeb"/>
        <w:spacing w:before="280" w:after="280"/>
        <w:rPr>
          <w:rStyle w:val="StrongEmphasis"/>
          <w:rFonts w:ascii="Times New Roman;serif" w:hAnsi="Times New Roman;serif"/>
          <w:sz w:val="24"/>
          <w:szCs w:val="22"/>
          <w:u w:val="single"/>
        </w:rPr>
      </w:pPr>
      <w:r>
        <w:rPr/>
      </w:r>
    </w:p>
    <w:p>
      <w:pPr>
        <w:pStyle w:val="NormalWeb"/>
        <w:spacing w:before="0" w:after="280"/>
        <w:rPr/>
      </w:pPr>
      <w:r>
        <w:rPr>
          <w:rStyle w:val="Strong"/>
        </w:rPr>
        <w:t>Kiranın Elden Ödendiğinin İspat Yükü</w:t>
      </w:r>
    </w:p>
    <w:p>
      <w:pPr>
        <w:pStyle w:val="NormalWeb"/>
        <w:spacing w:before="280" w:after="280"/>
        <w:rPr/>
      </w:pPr>
      <w:r>
        <w:rPr>
          <w:rStyle w:val="StrongEmphasis"/>
          <w:rFonts w:ascii="Times New Roman;serif" w:hAnsi="Times New Roman;serif"/>
          <w:sz w:val="18"/>
        </w:rPr>
        <w:t>Kira ilişkisinin varlığının ispatı mülk sahibine, kira bedelinin ödendiğinin ispatı ise kiracıya düşer.</w:t>
      </w:r>
    </w:p>
    <w:p>
      <w:pPr>
        <w:pStyle w:val="NormalWeb"/>
        <w:spacing w:before="280" w:after="280"/>
        <w:rPr/>
      </w:pPr>
      <w:hyperlink r:id="rId2">
        <w:r>
          <w:rPr>
            <w:rStyle w:val="Strong"/>
            <w:color w:val="0000FF"/>
            <w:u w:val="single"/>
          </w:rPr>
          <w:t>Yargıtay 3. Hukuk Dairesi  2017/9219 E. 2019/6130 K.</w:t>
        </w:r>
      </w:hyperlink>
    </w:p>
    <w:p>
      <w:pPr>
        <w:pStyle w:val="NormalWeb"/>
        <w:spacing w:before="280" w:after="280"/>
        <w:rPr/>
      </w:pPr>
      <w:r>
        <w:rPr>
          <w:rStyle w:val="Strong"/>
        </w:rPr>
        <w:t>“…</w:t>
      </w:r>
      <w:r>
        <w:rPr>
          <w:rStyle w:val="Strong"/>
        </w:rPr>
        <w:t>Kural olarak, kira ilişkisinin varlığını ve aylık kira bedelinin ne kadar olduğunu ispat külfeti davacıya, davalı tarafından kabul edilen kira bedelinin ödendiğinin ispat külfeti ise davalıya düşer. Davacının talep ettiği yıllık kira miktarı HMK’nın 200.maddesi uyarınca belirlenecek senetle ispat sınırının üzerinde ise davacı kira bedelini yazılı belge ile kanıtlamak zorundadır. Yazılı delille kanıtlanmadığı takdirde ise davalının kabulünde olan miktar esas alınmalıdır. Yine davalı da aynı koşullar altında yıllık kira bedelinin senetle ispat sınırının üzerinde olması durumunda kira borcunun ödendiğini yazılı belge ile ispat etmelidir…”</w:t>
      </w:r>
    </w:p>
    <w:p>
      <w:pPr>
        <w:pStyle w:val="NormalWeb"/>
        <w:spacing w:before="280" w:after="280"/>
        <w:rPr/>
      </w:pPr>
      <w:r>
        <w:rPr>
          <w:rStyle w:val="StrongEmphasis"/>
          <w:rFonts w:ascii="Times New Roman;serif" w:hAnsi="Times New Roman;serif"/>
          <w:sz w:val="22"/>
          <w:szCs w:val="22"/>
          <w:u w:val="single"/>
        </w:rPr>
        <w:t>Yargıtay Hukuk Genel Kurulu 07.10.2021 tarihli 2018/634 E. 2021/1171 K. sayılı kararı</w:t>
      </w:r>
    </w:p>
    <w:p>
      <w:pPr>
        <w:pStyle w:val="NormalWeb"/>
        <w:spacing w:before="280" w:after="280"/>
        <w:rPr/>
      </w:pPr>
      <w:r>
        <w:rPr>
          <w:rStyle w:val="Strong"/>
          <w:rFonts w:ascii="Times New Roman;serif" w:hAnsi="Times New Roman;serif"/>
          <w:sz w:val="24"/>
          <w:u w:val="single"/>
        </w:rPr>
        <w:t xml:space="preserve">Yargıtay’a göre kiraya veren tarafından herhangi bir bedel alınmaksızın uzun süre boyunca kiracının kiralananda oturmasına izin verilmesi hayatın olağan akışına aykırı olacağından mümkün değildir. </w:t>
      </w:r>
    </w:p>
    <w:p>
      <w:pPr>
        <w:pStyle w:val="NormalWeb"/>
        <w:spacing w:before="280" w:after="280"/>
        <w:rPr>
          <w:rStyle w:val="Strong"/>
        </w:rPr>
      </w:pPr>
      <w:r>
        <w:rPr>
          <w:rStyle w:val="Strong"/>
          <w:rFonts w:ascii="Times New Roman;serif" w:hAnsi="Times New Roman;serif"/>
          <w:sz w:val="24"/>
        </w:rPr>
        <w:t xml:space="preserve">Kira bedelinin ödendiği nasıl ispat edilir: Türk hukukunda kural olarak delil serbestisi ilkesi geçerli olsa da para borcunun konusunu oluşturan kira sözleşmesi gibi bazı sözleşmelerde belirli bir tutarın üstü için HMK 200. Madde hükmü gereği senetle ispat yükümlülüğü getirilmiştir. Bu tutar 2024 yılı itibari ile 2.500 TL’dir. Ancak Yargıtay istisnai de olsa bu tutarın üstünde kalan bazı durumlarda tanık beyanını da delil olarak değerlendirmektedir. </w:t>
      </w:r>
    </w:p>
    <w:p>
      <w:pPr>
        <w:pStyle w:val="TextBody"/>
        <w:widowControl/>
        <w:bidi w:val="0"/>
        <w:spacing w:lineRule="auto" w:line="259" w:before="0" w:after="160"/>
        <w:jc w:val="left"/>
        <w:rPr>
          <w:rFonts w:ascii="Calibri;sans-serif" w:hAnsi="Calibri;sans-serif"/>
          <w:sz w:val="22"/>
        </w:rPr>
      </w:pPr>
      <w:r>
        <w:rPr>
          <w:rFonts w:ascii="Times New Roman;serif" w:hAnsi="Times New Roman;serif"/>
          <w:color w:val="FF0000"/>
          <w:sz w:val="24"/>
        </w:rPr>
        <w:t>Önemli Not!!!</w:t>
      </w:r>
      <w:r>
        <w:rPr>
          <w:rFonts w:ascii="Calibri;sans-serif" w:hAnsi="Calibri;sans-serif"/>
          <w:sz w:val="22"/>
        </w:rPr>
        <w:t xml:space="preserve"> </w:t>
      </w:r>
      <w:r>
        <w:rPr>
          <w:rFonts w:ascii="Times New Roman;serif" w:hAnsi="Times New Roman;serif"/>
          <w:sz w:val="24"/>
        </w:rPr>
        <w:t xml:space="preserve">Özellikle kanundaki senetle ispat zorunluluğunu aşmak için </w:t>
      </w:r>
      <w:r>
        <w:rPr>
          <w:rFonts w:ascii="Times New Roman;serif" w:hAnsi="Times New Roman;serif"/>
          <w:sz w:val="24"/>
          <w:u w:val="single"/>
        </w:rPr>
        <w:t>bedelin ödendiğini değil, bedelin elden ödendiğini ispat için mahkemede tanık dinletilebilir.</w:t>
      </w:r>
      <w:r>
        <w:rPr>
          <w:rFonts w:ascii="Times New Roman;serif" w:hAnsi="Times New Roman;serif"/>
          <w:sz w:val="24"/>
        </w:rPr>
        <w:t xml:space="preserve"> </w:t>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t>(268 Seri No’lu Gelir Vergisi Genel Tebliği) Aylık 500 lira üstü konut kira geliri elde eden mülk sahiplerinin, banka veya PTT kanalıyla tahsilat yapması 2008’den bugüne zorunlu. (500 lira altı konut kirası pek kalmadığından, ‘tüm konut kiralarının bankadan ödenmesi zorunludur da diyebiliriz.)  İşyeri kiralarının ise alt limit olmaksızın tümünün banka/PTT kanalıyla ödenmesi zorunlu. 2017 Temmuz’dan itibaren ise; haftalık, günlük veya benzeri şekilde kısa süreli konut kiralamalarında da tutara bakılmaksızın kira geliri elde edenlerin kiraya ilişkin tahsilatlarını banka veya PTT tarafından düzenlenmiş belgelerle tevsik etmesi zorunlu hale getirildi. (298 Seri No’lu Gelir Vergisi Genel Tebliği) Bankadan yapılmayan kira tahsilatları için, zorunluluklara uymayanlara her bir işlem için bu işleme konu tutarın yüzde 5’i tutarında özel usulsüzlük cezası öngörülüyor.</w:t>
      </w:r>
    </w:p>
    <w:p>
      <w:pPr>
        <w:pStyle w:val="TextBody"/>
        <w:widowControl/>
        <w:bidi w:val="0"/>
        <w:spacing w:lineRule="auto" w:line="259" w:before="0" w:after="160"/>
        <w:jc w:val="left"/>
        <w:rPr/>
      </w:pPr>
      <w:r>
        <w:rPr/>
        <w:t xml:space="preserve"> </w:t>
      </w:r>
      <w:r>
        <w:rPr>
          <w:rStyle w:val="StrongEmphasis"/>
        </w:rPr>
        <w:t>Yargıtay Hukuk Genel Kurulu’nun 02.11.2021 tarihli ve 2017/980 E. 2021/1302 K.</w:t>
      </w:r>
      <w:r>
        <w:rPr/>
        <w:t xml:space="preserve"> </w:t>
      </w:r>
    </w:p>
    <w:p>
      <w:pPr>
        <w:pStyle w:val="TextBody"/>
        <w:widowControl/>
        <w:bidi w:val="0"/>
        <w:spacing w:lineRule="auto" w:line="259" w:before="0" w:after="160"/>
        <w:jc w:val="left"/>
        <w:rPr/>
      </w:pPr>
      <w:r>
        <w:rPr>
          <w:rStyle w:val="Emphasis"/>
        </w:rPr>
        <w:t>“</w:t>
      </w:r>
      <w:r>
        <w:rPr>
          <w:rStyle w:val="Emphasis"/>
        </w:rPr>
        <w:t>...Davacı vekili, davalının kiracı olarak bulunduğu taşınmazın 22.10.2012 tarihinde müvekkili tarafından satın alındığını, davalıya .... Noterliğinin 19.11.2012 tarihli ve 21210 yevmiye numaralı ihtarnamesi keşide edilerek ödemekte olduğu aylık 450TL kira bedelini müvekkilinin banka hesabına ödenmesinin istenildiğini, kira bedellerinin eksik ödenmesi üzerine davalı aleyhine icra takibi başlatıldığını, davalının, aylık kira bedellerini ödediğini ve borcu olmadığını beyan ederek itirazda bulunduğunu, davalının kira bedellerini tam olarak ödemekle yükümlü olduğunu ileri sürerek itirazın kaldırılmasına ve akdin feshi ile davalının kiralanandan tahliyesine karar verilmesini istemiştir. İcra takibine dayanak yapılan ve hükme esas alınan 02.08.2012 başlangıç tarihli bir yıl süreli kira sözleşmesi konusunda taraflar arasında bir uyuşmazlık bulunmamaktadır. Sözleşmede aylık kira bedeli 450TL olup, ödemelerin her ayın ikisinde peşin olarak yapılacağı kararlaştırılmıştır. Davacı (alacaklı) davalı (borçlu) hakkında 26.03.2013 tarihinde başlattığı haciz ve tahliye istemli icra takibinde, 2012 yılı Kasım ayı kira bedeli olarak 450TL ile 2012 yılı Aralık, 2013 yılı Ocak, Şubat ve Mart ayları için 31,50TL’den eksik yatan kira farkları 126TL olmak üzere toplam 576TL’nin tahsilini istemiştir. Davalı süresinde yaptığı itirazında, sözleşme gereğince aylık kira bedellerini süresinde ödediğini, bu nedenle borcu kabul etmediğini ileri sürmüş ve dört adet ödeme dekontu sunmuştur. Davalı tarafından sunulan ödeme dekontlarından 31,50TL banka masraf kesintisi yapıldıktan sonra takip konusu ayların kira bedeli için aylık 418,50TL ödeme yapıldığı anlaşılmaktadır. Takibin konusu, sözleşmeden kaynaklı para borcu olduğundan ve sözleşmede aksine bir şart konulmadığından kira bedeline ilişkin para borcu alacaklının ödeme zamanındaki yerleşim yerinde ödeneceğinden, ifa yeri de alacaklının yerleşim yeridir. TBK’nın 89. maddesi uyarınca kira parası götürülüp ödenmesi gereken borçlardan olduğundan, kiralayana götürülüp elden ödenmesi veya gideri kiracıya ait olmak koşuluyla banka hesabına yatırılması ya da konutta ödemeli olarak PTT kanalıyla gönderilmesi gerekir. Kira bedelinin kiraya verenin banka hesabına yatırılması durumunda banka tarafından kesilen havale giderinden kiracı sorumludur. Açıklanan şekilde yapılmayan ödemeler yasal ödeme olarak kabul edilemez. Bu nedenle mahkemece, takibe konu eksik ödenen kira bedelleri üzerinden itirazın iptali ile kiralananın tahliyesine karar verilmesi gerekir......”</w:t>
      </w:r>
    </w:p>
    <w:p>
      <w:pPr>
        <w:pStyle w:val="TextBody"/>
        <w:rPr/>
      </w:pPr>
      <w:r>
        <w:rPr/>
      </w:r>
    </w:p>
    <w:p>
      <w:pPr>
        <w:pStyle w:val="Normal"/>
        <w:widowControl/>
        <w:bidi w:val="0"/>
        <w:spacing w:lineRule="auto" w:line="259" w:before="0" w:after="160"/>
        <w:jc w:val="left"/>
        <w:rPr/>
      </w:pPr>
      <w:r>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altName w:val="serif"/>
    <w:charset w:val="01"/>
    <w:family w:val="roman"/>
    <w:pitch w:val="variable"/>
  </w:font>
  <w:font w:name="Times New Roman">
    <w:altName w:val="serif"/>
    <w:charset w:val="01"/>
    <w:family w:val="auto"/>
    <w:pitch w:val="default"/>
  </w:font>
  <w:font w:name="Calibri">
    <w:altName w:val="sans-serif"/>
    <w:charset w:val="01"/>
    <w:family w:val="auto"/>
    <w:pitch w:val="default"/>
  </w:font>
</w:fonts>
</file>

<file path=word/settings.xml><?xml version="1.0" encoding="utf-8"?>
<w:settings xmlns:w="http://schemas.openxmlformats.org/wordprocessingml/2006/main">
  <w:zoom w:percent="2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tr-T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tr-TR" w:eastAsia="en-US"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1f4c1a"/>
    <w:rPr>
      <w:b/>
      <w:bCs/>
    </w:rPr>
  </w:style>
  <w:style w:type="character" w:styleId="InternetLink">
    <w:name w:val="Hyperlink"/>
    <w:rPr>
      <w:color w:val="000080"/>
      <w:u w:val="single"/>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1f4c1a"/>
    <w:pPr>
      <w:spacing w:lineRule="auto" w:line="240" w:beforeAutospacing="1" w:afterAutospacing="1"/>
    </w:pPr>
    <w:rPr>
      <w:rFonts w:ascii="Times New Roman" w:hAnsi="Times New Roman" w:eastAsia="Times New Roman" w:cs="Times New Roman"/>
      <w:sz w:val="24"/>
      <w:szCs w:val="24"/>
      <w:lang w:eastAsia="tr-TR"/>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yavuz.av.tr/kira-iliskisinin-varligini-ve-aylik-kira-bedelinin-ne-kadar-oldugunu-ispat-kulfeti/"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Application>LibreOffice/7.3.7.2$Linux_X86_64 LibreOffice_project/30$Build-2</Application>
  <AppVersion>15.0000</AppVersion>
  <Pages>2</Pages>
  <Words>672</Words>
  <Characters>4561</Characters>
  <CharactersWithSpaces>5228</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2023-12-04T11:04:00Z</dcterms:created>
  <dc:creator>m</dc:creator>
  <dc:description/>
  <dc:language>tr-TR</dc:language>
  <cp:lastModifiedBy/>
  <dcterms:modified xsi:type="dcterms:W3CDTF">2024-06-08T04:50:26Z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