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7CE4A2" w14:textId="77777777" w:rsidR="001B3825" w:rsidRPr="001B3825" w:rsidRDefault="001B3825" w:rsidP="001B3825">
      <w:pPr>
        <w:spacing w:after="0" w:line="240" w:lineRule="auto"/>
        <w:jc w:val="both"/>
        <w:rPr>
          <w:rFonts w:ascii="Times New Roman" w:eastAsia="Times New Roman" w:hAnsi="Times New Roman" w:cs="Times New Roman"/>
          <w:sz w:val="24"/>
          <w:szCs w:val="24"/>
          <w:lang w:eastAsia="tr-TR"/>
        </w:rPr>
      </w:pPr>
      <w:r w:rsidRPr="001B3825">
        <w:rPr>
          <w:rFonts w:ascii="Verdana" w:eastAsia="Times New Roman" w:hAnsi="Verdana" w:cs="Times New Roman"/>
          <w:b/>
          <w:bCs/>
          <w:sz w:val="20"/>
          <w:szCs w:val="20"/>
          <w:lang w:eastAsia="tr-TR"/>
        </w:rPr>
        <w:t>3. Hukuk Dairesi         2017/7225 E.  ,  2019/4773 K.</w:t>
      </w:r>
    </w:p>
    <w:p w14:paraId="5AB370F1" w14:textId="77777777" w:rsidR="00C45D18" w:rsidRDefault="001B3825" w:rsidP="001B3825">
      <w:pPr>
        <w:spacing w:before="100" w:beforeAutospacing="1" w:after="100" w:afterAutospacing="1" w:line="240" w:lineRule="auto"/>
        <w:jc w:val="both"/>
        <w:rPr>
          <w:rFonts w:ascii="Verdana" w:eastAsia="Times New Roman" w:hAnsi="Verdana" w:cs="Times New Roman"/>
          <w:sz w:val="20"/>
          <w:szCs w:val="20"/>
          <w:lang w:eastAsia="tr-TR"/>
        </w:rPr>
      </w:pPr>
      <w:r w:rsidRPr="001B3825">
        <w:rPr>
          <w:rFonts w:ascii="Verdana" w:eastAsia="Times New Roman" w:hAnsi="Verdana" w:cs="Times New Roman"/>
          <w:sz w:val="20"/>
          <w:szCs w:val="20"/>
          <w:lang w:eastAsia="tr-TR"/>
        </w:rPr>
        <w:t>MAHKEMESİ :SULH HUKUK MAHKEMESİ</w:t>
      </w:r>
    </w:p>
    <w:p w14:paraId="79B100D7" w14:textId="05136B9C" w:rsidR="001B3825" w:rsidRDefault="001B3825" w:rsidP="001B3825">
      <w:pPr>
        <w:spacing w:before="100" w:beforeAutospacing="1" w:after="100" w:afterAutospacing="1" w:line="240" w:lineRule="auto"/>
        <w:jc w:val="both"/>
        <w:rPr>
          <w:rFonts w:ascii="Verdana" w:eastAsia="Times New Roman" w:hAnsi="Verdana" w:cs="Times New Roman"/>
          <w:sz w:val="20"/>
          <w:szCs w:val="20"/>
          <w:lang w:eastAsia="tr-TR"/>
        </w:rPr>
      </w:pPr>
      <w:r w:rsidRPr="001B3825">
        <w:rPr>
          <w:rFonts w:ascii="Verdana" w:eastAsia="Times New Roman" w:hAnsi="Verdana" w:cs="Times New Roman"/>
          <w:sz w:val="20"/>
          <w:szCs w:val="20"/>
          <w:lang w:eastAsia="tr-TR"/>
        </w:rPr>
        <w:t>Taraflar arasındaki itirazın iptali ve tahliye davasının mahkemece yapılan yargılaması sonucunda, davanın reddine yönelik olarak verilen hükmün, süresi içinde davacı vekili tarafından temyiz edilmesi üzerine; temyiz dilekçesinin kabulüne karar verildikten sonra, dosya içerisindeki kağıtlar okunup gereği düşünüldü:</w:t>
      </w:r>
    </w:p>
    <w:p w14:paraId="2FB67FC5" w14:textId="167A2188" w:rsidR="001B3825" w:rsidRDefault="001B3825" w:rsidP="001B3825">
      <w:pPr>
        <w:spacing w:before="100" w:beforeAutospacing="1" w:after="100" w:afterAutospacing="1" w:line="240" w:lineRule="auto"/>
        <w:jc w:val="both"/>
        <w:rPr>
          <w:rFonts w:ascii="Verdana" w:eastAsia="Times New Roman" w:hAnsi="Verdana" w:cs="Times New Roman"/>
          <w:sz w:val="20"/>
          <w:szCs w:val="20"/>
          <w:lang w:eastAsia="tr-TR"/>
        </w:rPr>
      </w:pPr>
      <w:r w:rsidRPr="001B3825">
        <w:rPr>
          <w:rFonts w:ascii="Verdana" w:eastAsia="Times New Roman" w:hAnsi="Verdana" w:cs="Times New Roman"/>
          <w:sz w:val="20"/>
          <w:szCs w:val="20"/>
          <w:lang w:eastAsia="tr-TR"/>
        </w:rPr>
        <w:t>Y A R G I T A Y K A R A R I</w:t>
      </w:r>
    </w:p>
    <w:p w14:paraId="1C231136" w14:textId="77777777" w:rsidR="001B3825" w:rsidRDefault="001B3825" w:rsidP="001B3825">
      <w:pPr>
        <w:spacing w:before="100" w:beforeAutospacing="1" w:after="100" w:afterAutospacing="1" w:line="240" w:lineRule="auto"/>
        <w:jc w:val="both"/>
        <w:rPr>
          <w:rFonts w:ascii="Verdana" w:eastAsia="Times New Roman" w:hAnsi="Verdana" w:cs="Times New Roman"/>
          <w:sz w:val="20"/>
          <w:szCs w:val="20"/>
          <w:lang w:eastAsia="tr-TR"/>
        </w:rPr>
      </w:pPr>
      <w:r w:rsidRPr="001B3825">
        <w:rPr>
          <w:rFonts w:ascii="Verdana" w:eastAsia="Times New Roman" w:hAnsi="Verdana" w:cs="Times New Roman"/>
          <w:sz w:val="20"/>
          <w:szCs w:val="20"/>
          <w:lang w:eastAsia="tr-TR"/>
        </w:rPr>
        <w:t xml:space="preserve">Davacı; davacı ile davalı arasında 01.05.2013 başlangıç tarihli kira sözleşmesi bulunduğunu, tahliye taahhüdüne rağmen davalının kiralananı tahliye etmediğini, tahliye taahhüdüne dayalı olarak başlatılan icra takibine itirazının haksız olduğunu belirterek itirazın iptali ile kiralananın tahliyesine karar verilmesini talep ve dava etmiştir. </w:t>
      </w:r>
      <w:r w:rsidRPr="001B3825">
        <w:rPr>
          <w:rFonts w:ascii="Verdana" w:eastAsia="Times New Roman" w:hAnsi="Verdana" w:cs="Times New Roman"/>
          <w:sz w:val="20"/>
          <w:szCs w:val="20"/>
          <w:lang w:eastAsia="tr-TR"/>
        </w:rPr>
        <w:br/>
        <w:t>Davalı; boş arsaya olan yerin işyeri haline getirildikten sonra arsa sahibinin kötü niyetli olarak davayı açtığını belirterek davanın reddini savunmuştur.</w:t>
      </w:r>
      <w:r>
        <w:rPr>
          <w:rFonts w:ascii="Verdana" w:eastAsia="Times New Roman" w:hAnsi="Verdana" w:cs="Times New Roman"/>
          <w:sz w:val="20"/>
          <w:szCs w:val="20"/>
          <w:lang w:eastAsia="tr-TR"/>
        </w:rPr>
        <w:t xml:space="preserve"> </w:t>
      </w:r>
      <w:r w:rsidRPr="001B3825">
        <w:rPr>
          <w:rFonts w:ascii="Verdana" w:eastAsia="Times New Roman" w:hAnsi="Verdana" w:cs="Times New Roman"/>
          <w:sz w:val="20"/>
          <w:szCs w:val="20"/>
          <w:lang w:eastAsia="tr-TR"/>
        </w:rPr>
        <w:t xml:space="preserve">Mahkeme, kira </w:t>
      </w:r>
      <w:r>
        <w:rPr>
          <w:rFonts w:ascii="Verdana" w:eastAsia="Times New Roman" w:hAnsi="Verdana" w:cs="Times New Roman"/>
          <w:sz w:val="20"/>
          <w:szCs w:val="20"/>
          <w:lang w:eastAsia="tr-TR"/>
        </w:rPr>
        <w:t>s</w:t>
      </w:r>
      <w:r w:rsidRPr="001B3825">
        <w:rPr>
          <w:rFonts w:ascii="Verdana" w:eastAsia="Times New Roman" w:hAnsi="Verdana" w:cs="Times New Roman"/>
          <w:sz w:val="20"/>
          <w:szCs w:val="20"/>
          <w:lang w:eastAsia="tr-TR"/>
        </w:rPr>
        <w:t>özleşmesinin 3+2 yıllık düzenlendiğini, bu nedenle süre bitmeden dava açıldığından süresinde açılmayan davanın reddine karar verilmiştir, hüküm davacı vekili tarafından süresi içerisinde temyiz edilmiştir.</w:t>
      </w:r>
    </w:p>
    <w:p w14:paraId="451AA066" w14:textId="77777777" w:rsidR="001B3825" w:rsidRDefault="001B3825" w:rsidP="001B3825">
      <w:pPr>
        <w:spacing w:before="100" w:beforeAutospacing="1" w:after="100" w:afterAutospacing="1" w:line="240" w:lineRule="auto"/>
        <w:jc w:val="both"/>
        <w:rPr>
          <w:rFonts w:ascii="Verdana" w:eastAsia="Times New Roman" w:hAnsi="Verdana" w:cs="Times New Roman"/>
          <w:sz w:val="20"/>
          <w:szCs w:val="20"/>
          <w:lang w:eastAsia="tr-TR"/>
        </w:rPr>
      </w:pPr>
      <w:r w:rsidRPr="001B3825">
        <w:rPr>
          <w:rFonts w:ascii="Verdana" w:eastAsia="Times New Roman" w:hAnsi="Verdana" w:cs="Times New Roman"/>
          <w:sz w:val="20"/>
          <w:szCs w:val="20"/>
          <w:lang w:eastAsia="tr-TR"/>
        </w:rPr>
        <w:t xml:space="preserve">Taraflar Kiralananın Borçlar Kanununa tabi olması halinde süreli sözleşmelerde kira süresinin sonunda ve yerleşen içtihatlara göre bir ay içinde akdin feshi ve kiralananın tahliyesi istenebilir. Süre bitiminden önce akdin yenilenmeyeceği hususundaki irade karşı tarafa ulaşmış ise, o takdirde kira süresinin bitiminden itibaren bir ay içinde dava açılması zorunlu değildir. Bu durumda tahliye için başka bir sebep aramaya gerek kalmaz. </w:t>
      </w:r>
      <w:r w:rsidRPr="001B3825">
        <w:rPr>
          <w:rFonts w:ascii="Verdana" w:eastAsia="Times New Roman" w:hAnsi="Verdana" w:cs="Times New Roman"/>
          <w:sz w:val="20"/>
          <w:szCs w:val="20"/>
          <w:lang w:eastAsia="tr-TR"/>
        </w:rPr>
        <w:br/>
        <w:t xml:space="preserve">Olayımızda; davacı ile davalı arasında düzenlenen 01.05.2013 başlangıç tarihli ve 3+2 yıl süreli kira sözleşmesi hususunda taraflar arasında bir uyuşmazlık bulunmamaktadır. Taraflar arasında düzenlenen 17.05.2013 tarihli yazılı tahliye taahhüdü (ek sözleşme) ile davalının taşınmazı 30.06.2015 tarihinde tahliye edeceği kararlaştırılmıştır. Sözleşmede Kiralananın 271m2 arsa olduğu belirtilmiş, Mahkemece de taşınmazın arsa olduğu kabul edilerek hüküm kurulmuş ve davalı tarafından da temyiz edilmemiştir. Sözleşme bu niteliği itibariyle TBK'nun kira sözleşmesine ilişkin genel hükümlerine tabidir. TBK 352/1 maddesinde düzenlenen </w:t>
      </w:r>
      <w:r w:rsidRPr="001B3825">
        <w:rPr>
          <w:rFonts w:ascii="Verdana" w:eastAsia="Times New Roman" w:hAnsi="Verdana" w:cs="Times New Roman"/>
          <w:b/>
          <w:bCs/>
          <w:sz w:val="20"/>
          <w:szCs w:val="20"/>
          <w:lang w:eastAsia="tr-TR"/>
        </w:rPr>
        <w:t>tahliye taahhüdüne dayalı tahliye isteği TBK'nun genel hükümlerine tabi taşınmazlar için uygulanamaz ise de, TBK'nun genel hükümlerine tabi taşınmazlarda akdin bitim tarihini belirler.</w:t>
      </w:r>
      <w:r w:rsidRPr="001B3825">
        <w:rPr>
          <w:rFonts w:ascii="Verdana" w:eastAsia="Times New Roman" w:hAnsi="Verdana" w:cs="Times New Roman"/>
          <w:sz w:val="20"/>
          <w:szCs w:val="20"/>
          <w:lang w:eastAsia="tr-TR"/>
        </w:rPr>
        <w:t xml:space="preserve"> Borçlar Kanununa tabi süreli yazılı kira sözleşmesine konu olan taşınmazlara ilişkin tahliye davaları İcra İflas Kanununun 272. maddesi uyarınca akdin sonunda ve bir ay içinde açılması yada icra takibi yapılarak tahliye istenmesi mümkündür. Bu nedenle taraflar arasındaki sözleşmenin bitim tarihi olan 30.06.2015 tarihine nazaran14.07.2015 tarihinde başlatılan takip süresindedir. Bu şekilde takibin yapılmasında ve 21.08.2015 tarihinde dava açılmasında bir usulsüzlük bulunmamaktadır. Takip yasal sürede yapıldığına göre, başka bir sebep aramaksızın davanın kabulüne, </w:t>
      </w:r>
      <w:r w:rsidRPr="001B3825">
        <w:rPr>
          <w:rFonts w:ascii="Verdana" w:eastAsia="Times New Roman" w:hAnsi="Verdana" w:cs="Times New Roman"/>
          <w:b/>
          <w:bCs/>
          <w:sz w:val="20"/>
          <w:szCs w:val="20"/>
          <w:lang w:eastAsia="tr-TR"/>
        </w:rPr>
        <w:t xml:space="preserve">itirazın iptaline ve kiralananın tahliyesine karar verilmesi gerekirken, yazılı gerekçe ile reddine karar verilmesi usul ve yasaya aykırı olup </w:t>
      </w:r>
      <w:r w:rsidRPr="001B3825">
        <w:rPr>
          <w:rFonts w:ascii="Verdana" w:eastAsia="Times New Roman" w:hAnsi="Verdana" w:cs="Times New Roman"/>
          <w:sz w:val="20"/>
          <w:szCs w:val="20"/>
          <w:lang w:eastAsia="tr-TR"/>
        </w:rPr>
        <w:t>bozmayı</w:t>
      </w:r>
      <w:r>
        <w:rPr>
          <w:rFonts w:ascii="Verdana" w:eastAsia="Times New Roman" w:hAnsi="Verdana" w:cs="Times New Roman"/>
          <w:sz w:val="20"/>
          <w:szCs w:val="20"/>
          <w:lang w:eastAsia="tr-TR"/>
        </w:rPr>
        <w:t xml:space="preserve"> </w:t>
      </w:r>
      <w:r w:rsidRPr="001B3825">
        <w:rPr>
          <w:rFonts w:ascii="Verdana" w:eastAsia="Times New Roman" w:hAnsi="Verdana" w:cs="Times New Roman"/>
          <w:sz w:val="20"/>
          <w:szCs w:val="20"/>
          <w:lang w:eastAsia="tr-TR"/>
        </w:rPr>
        <w:t xml:space="preserve">gerektirmiştir. </w:t>
      </w:r>
    </w:p>
    <w:p w14:paraId="31C69FC7" w14:textId="29884DAF" w:rsidR="001B3825" w:rsidRPr="001B3825" w:rsidRDefault="001B3825" w:rsidP="001B3825">
      <w:pPr>
        <w:spacing w:before="100" w:beforeAutospacing="1" w:after="100" w:afterAutospacing="1" w:line="240" w:lineRule="auto"/>
        <w:jc w:val="both"/>
        <w:rPr>
          <w:rFonts w:ascii="Verdana" w:eastAsia="Times New Roman" w:hAnsi="Verdana" w:cs="Times New Roman"/>
          <w:sz w:val="20"/>
          <w:szCs w:val="20"/>
          <w:lang w:eastAsia="tr-TR"/>
        </w:rPr>
      </w:pPr>
      <w:r w:rsidRPr="001B3825">
        <w:rPr>
          <w:rFonts w:ascii="Verdana" w:eastAsia="Times New Roman" w:hAnsi="Verdana" w:cs="Times New Roman"/>
          <w:sz w:val="20"/>
          <w:szCs w:val="20"/>
          <w:lang w:eastAsia="tr-TR"/>
        </w:rPr>
        <w:t xml:space="preserve">SONUÇ: Yukarıda açıklanan nedenlerle hükmün HUMK.nun 428. maddesi gereğince davacı yararına BOZULMASINA ve peşin alınan temyiz harcının istek halinde temyiz edene iadesine, 6100 sayılı HMK'nun geçici madde 3 atfıyla 1086 sayılı HUMK.nun 440.maddesi gereğince karar düzeltme yolu kapalı olmak üzere, 21.05.2019 tarihinde oy birliğiyle karar verildi. </w:t>
      </w:r>
    </w:p>
    <w:p w14:paraId="2C4632E8" w14:textId="77777777" w:rsidR="00E81F8D" w:rsidRDefault="00E81F8D" w:rsidP="001B3825">
      <w:pPr>
        <w:jc w:val="both"/>
      </w:pPr>
    </w:p>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4F0A02"/>
    <w:multiLevelType w:val="multilevel"/>
    <w:tmpl w:val="3F22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EDE"/>
    <w:rsid w:val="001B3825"/>
    <w:rsid w:val="001B6EDE"/>
    <w:rsid w:val="00200AFA"/>
    <w:rsid w:val="003C2411"/>
    <w:rsid w:val="005B0764"/>
    <w:rsid w:val="00A8678F"/>
    <w:rsid w:val="00C45D18"/>
    <w:rsid w:val="00CD30D0"/>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DE59"/>
  <w15:chartTrackingRefBased/>
  <w15:docId w15:val="{B0E6EEC3-6BA4-4153-9077-9ABFB5641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B3825"/>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037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521</Words>
  <Characters>2970</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4</cp:revision>
  <dcterms:created xsi:type="dcterms:W3CDTF">2025-02-12T09:39:00Z</dcterms:created>
  <dcterms:modified xsi:type="dcterms:W3CDTF">2025-02-12T10:10:00Z</dcterms:modified>
</cp:coreProperties>
</file>