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Overview of Application of Lightning Protection Regulations to CSATF SoPs: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must SHELTER due to electrical storm for 30 minutes if you are working outdoors 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lightning strikes within 6 miles.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must SHUT DOWN during a lightning storm if: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you have no way to get power from a shelter structure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one of the following: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your alternative electrical supply is unbonded OR ungrounded OR has improperly rated cords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your alternative electrical supply are portable generators within 20 ft of each other that cannot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 bonded together by a dedicated copper bonding conductor from generator to generator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2) you are sheltered in a powered structure AND using its internal electrical supply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 external electrical supply that is INSIDE the structure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one of the following: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External supply can not have its grounding conductor bonded to the structure’s grounding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Electrode (according to lightning protection standards set forth in NFPA 780)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CO2 from external supply exhaust cannot be pumped out of the building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(Reference bulletins and document sections CSATF 38, OSHA 3826, OSHA 3863,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OSHA 1926.404, OSHA 5a, NFPA 780)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CSATF Excerpts from NFPA 780: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Surge protective devices should be installed on all feeders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a portable generator supplying power into a building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 structure.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a generator housing is more than 3/16" thick, air terminals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would not be required. The frame of the generator could have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two 1/0 minimum copper conductors attached to the frame at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opposite corners and each connected to a 10-foot ground rod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separated by at least 20 feet.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4.6.1.1 termination devices shall include air terminals, metal masts, permanent metal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parts of the structure as described in 4.6.1.4 and overhead ground wires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4.6.1.4 metal parts of a structure that are exposed to direct lightning flashes and have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metal thickness of 3/16 inch or greater shall only require connection to the lightning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protection system in accordance with section 4.9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4.6.4.4 the overhead ground wire shall be a minimum diameter of 1/2 inch and shall be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self-supporting with minimum sag under all conditions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4.9.10 at least two down conductors shall be provided on any kind of structure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4.13.2.3.1 the ground rods shall extend vertically not less than 10 feet into the earth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4.13.2.4 where multiple connected ground rods are used, the separation between any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two ground rods shall be at least the sum of their driven depths, where practicable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A.8.3.2 the best method to protect extremely sensitive operations from all sources of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electromagnetic radiation is to enclose the equipment, operations, or facility inside 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metallic, Faraday-like cage. A metallic, Faraday-like cage is an enclosure that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comprises a continuous grid of conductors, such that the voltage between any two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points inside the enclosure is zero when the cage is immersed in electrostatic field. 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metallic cage or Faraday shield lightning protection system is one in which the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protected volume is enclosed by a heavy metal screen, similar to a birdcage, 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continuous metallic structure with all metallic penetrations bonded. The lightning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current flows on the exterior of the structure, not through the interior. A Faraday-like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shield, which is not an ideal Faraday cage, is formed by a continuous conductive matrix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that is properly bonded and grounded.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freestanding structure that is determined by the AHJ to be a metallic cage 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Faraday-like shield might not require either grounding systems or strike termination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devices.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