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When strike ends we want: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Ribcage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Reached out to every UPM that worked with MBS in GA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follow up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w UPMs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6 shows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Beehive (Jobworld)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Cross-Pollinatrix Marketing Strategy HiveMind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“HiveMinds”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ThinkMine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ad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 Revolution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tutorials (Wesley content)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Nexus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Inner Routine Challenge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Long term continued program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Outer Routine Challenge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Long term continued program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Tree of prompts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PROsona masking = making highly ckntextualized storyworld personae/pretending to actually BE the persona such that the user is their thoughts, to contextualize the right answer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is a context that synergizes w client input via user input (prosona masking)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use “light the way” navigator prompt role as input prompt 2 (as if this were part of the original System’s thoughts [or AI jobworld], and put all these thought types in the original system and keep them in every input prompt role prompt)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skills and knowledge and workflow to output the sequence of input prompts required to provide the necessary output in context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prompt 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result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prompt 4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result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final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to client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