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Opening image: book cover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Ordinary world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Status quo</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Home work play ⇔ call to adventure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Sanctuary system teachings exist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Learning about them</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Learning about Olivus Victory-Promise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TWI</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Spark</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Herald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Catalyst = spark of TWI</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Call to Adventure =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What comes here?!?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Is this real or am I crazy? (Debate?)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The Wasteland Empire vs the Wasteland of Self</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Journey to Inner Sanctuary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TWI burning the cave</w:t>
      </w:r>
    </w:p>
    <w:p w:rsidR="00000000" w:rsidDel="00000000" w:rsidP="00000000" w:rsidRDefault="00000000" w:rsidRPr="00000000" w14:paraId="00000016">
      <w:pPr>
        <w:rPr/>
      </w:pPr>
      <w:r w:rsidDel="00000000" w:rsidR="00000000" w:rsidRPr="00000000">
        <w:rPr>
          <w:rtl w:val="0"/>
        </w:rPr>
        <w:t xml:space="preserve">Where there’s smoke…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Stories mirror the POV of sacred vision, not skeptical vision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Ie: experience of having pure vision and coming to it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So sanctuary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Should mirror experience of introduction to pure vision, coming to live in pure vision, pure vision giving way to reality, pure vision collapsing, and coming back as the full holistic view, and the full view being spread and prevailing!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