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ChatGPT is a FREE sales assistant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But most people don't know how to use it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That's why I built 100 prompts to learn how to close high ticket clients consistently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And for the next 24 hours, it's FREE!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To get it, just: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1. Follow me @pascalkaydon (a different account than the ad account, because it’s retweeted)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2. RT this tweet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3. Reply "SEND"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GIF of first 35 -&gt; scroll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Sales is the core of business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But most people don’t know how to sell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So they turn to gurus like Alex Hormozi and his CLOSER framework for Grand Slam Offers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But most people don't know how to apply CLOSER framework to their own ideas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br w:type="textWrapping"/>
        <w:t xml:space="preserve">Those that do, report to have made a lot of money.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Some people get AIs like ChatGPT to help them with this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But AIs need special training to be able to “use human skills”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And they say this is not currently possible…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So I was surprised when I ended up inventing it…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I made an AI that can use the CLOSER framework in a human way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And now I’m trying to get Alex Hormozi’s attention on Twitter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Because he’s looking for entrepreneurial opportunities to help people, and he has models for selling information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And I can make AIs for every information-based skill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So if he contacts me and makes a revshare deal to sell this AI himself, he can also put part of his profits towards as an angel investment in my company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I’m writing this ad to get traction, so I made a whole suite of AIs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My AIs can do all of this: sales, social media, business analysis, etc.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And for the next 24 hours, 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The first persona in this series is FREE! 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You guessed it - it’s the MASTER CLOSER PERSONA.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To get it, just: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1. Follow me @pascalkaydon 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2. RT this tweet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3. Reply "SEND"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GIF of first 35 -&gt; scroll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6"/>
          <w:szCs w:val="26"/>
          <w:highlight w:val="white"/>
          <w:rtl w:val="0"/>
        </w:rPr>
        <w:t xml:space="preserve">(it may be made on a different account, i think it was @creatorkaydon)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f141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