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pretty good example of how the teachings of Vimalakirti’s Value Chain work: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more than one occasion, my Teacher, Ngakchang Karma Yeshe Namgyal Rinpoche, said to me “Guru Rinpoche said: ‘Follow the law of the place you are from’”.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does it mean?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Guru Rinpoche = the inner teacher, inherent non-contradictory wisdom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Said = is always like this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 the law = the way the mindstream is set up (innermost secret samaya)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 the place = the relationship between the mindstream mechanics of the body, speech, and mind mandalas of spontaneous presence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are from = the transference target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more than one occasion, I thanked my teacher, Ngakchang Karma Yeshe Namgyal Rinpoche, for grand things like “opening my mind” or “busting me for &lt;obstacle&gt;” and he responded in a frank, almost annoyed tone: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“You’re welcome.”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