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after="157" w:before="157" w:line="270" w:lineRule="auto"/>
        <w:ind/>
        <w:jc w:val="left"/>
        <w:rPr/>
      </w:pPr>
      <w:r>
        <w:rPr>
          <w:rFonts w:ascii="inter" w:hAnsi="inter" w:eastAsia="inter" w:cs="inter"/>
          <w:b/>
          <w:color w:val="000000"/>
          <w:sz w:val="39"/>
        </w:rPr>
        <w:t xml:space="preserve">EU Funding Proposal: Open=Safe - Community-Based Radiation Monitoring Workshops</w:t>
      </w:r>
      <w:r/>
    </w:p>
    <w:p>
      <w:pPr>
        <w:pBdr/>
        <w:spacing w:after="210" w:line="360" w:lineRule="auto"/>
        <w:ind/>
        <w:rPr/>
      </w:pPr>
      <w:r>
        <w:rPr>
          <w:rFonts w:ascii="inter" w:hAnsi="inter" w:eastAsia="inter" w:cs="inter"/>
          <w:color w:val="000000"/>
        </w:rPr>
        <w:t xml:space="preserve">The following proposal outlines a project seeking EU funding to establish community-based workshops across Europe for teaching and building open-sourc</w:t>
      </w:r>
      <w:r>
        <w:rPr>
          <w:rFonts w:ascii="inter" w:hAnsi="inter" w:eastAsia="inter" w:cs="inter"/>
          <w:color w:val="000000"/>
        </w:rPr>
        <w:t xml:space="preserve">e real-time radiation monitoring devices. This initiative builds upon Safecast's 13-year legacy of successful radiation monitoring programs while contributing to environmental safety, scientific literacy, and community resilience across the European Union.</w:t>
      </w:r>
      <w:r/>
    </w:p>
    <w:p>
      <w:pPr>
        <w:pBdr/>
        <w:spacing w:after="105" w:before="315" w:line="360" w:lineRule="auto"/>
        <w:ind w:left="-30"/>
        <w:jc w:val="left"/>
        <w:rPr/>
      </w:pPr>
      <w:r>
        <w:rPr>
          <w:rFonts w:ascii="inter" w:hAnsi="inter" w:eastAsia="inter" w:cs="inter"/>
          <w:b/>
          <w:color w:val="000000"/>
          <w:sz w:val="24"/>
        </w:rPr>
        <w:t xml:space="preserve">Executive Summary</w:t>
      </w:r>
      <w:r/>
    </w:p>
    <w:p>
      <w:pPr>
        <w:pBdr/>
        <w:spacing w:after="210" w:line="360" w:lineRule="auto"/>
        <w:ind/>
        <w:rPr/>
      </w:pPr>
      <w:r>
        <w:rPr>
          <w:rFonts w:ascii="inter" w:hAnsi="inter" w:eastAsia="inter" w:cs="inter"/>
          <w:color w:val="000000"/>
        </w:rPr>
        <w:t xml:space="preserve">Safecast, a globally recognized organization in citizen-based environmental monitoring, proposes the "Open=Safe" project to est</w:t>
      </w:r>
      <w:r>
        <w:rPr>
          <w:rFonts w:ascii="inter" w:hAnsi="inter" w:eastAsia="inter" w:cs="inter"/>
          <w:color w:val="000000"/>
        </w:rPr>
        <w:t xml:space="preserve">ablish hands-on workshops throughout European communities. These workshops will empower citizens with the knowledge and tools to build open-source radiation monitoring devices (bGeigieZen kits), contributing to a more comprehensive radiation monitoring net</w:t>
      </w:r>
      <w:r>
        <w:rPr>
          <w:rFonts w:ascii="inter" w:hAnsi="inter" w:eastAsia="inter" w:cs="inter"/>
          <w:color w:val="000000"/>
        </w:rPr>
        <w:t xml:space="preserve">work across Europe while enhancing public engagement with environmental science. The project aligns with multiple EU priorities including environmental protection, scientific literacy, digital skills development, and citizen empowerment through technology.</w:t>
      </w:r>
      <w:r/>
    </w:p>
    <w:p>
      <w:pPr>
        <w:pBdr/>
        <w:spacing w:after="105" w:before="315" w:line="360" w:lineRule="auto"/>
        <w:ind w:left="-30"/>
        <w:jc w:val="left"/>
        <w:rPr/>
      </w:pPr>
      <w:r>
        <w:rPr>
          <w:rFonts w:ascii="inter" w:hAnsi="inter" w:eastAsia="inter" w:cs="inter"/>
          <w:b/>
          <w:color w:val="000000"/>
          <w:sz w:val="24"/>
        </w:rPr>
        <w:t xml:space="preserve">Project Background and Rationale</w:t>
      </w:r>
      <w:r/>
    </w:p>
    <w:p>
      <w:pPr>
        <w:pBdr/>
        <w:spacing w:after="210" w:line="360" w:lineRule="auto"/>
        <w:ind/>
        <w:rPr/>
      </w:pPr>
      <w:r>
        <w:rPr>
          <w:rFonts w:ascii="inter" w:hAnsi="inter" w:eastAsia="inter" w:cs="inter"/>
          <w:color w:val="000000"/>
        </w:rPr>
        <w:t xml:space="preserve">Safecast emerged following the 2011 Fukushima nuclear disaster as a citizen science initiative to provide independent, reliable radiation measurem</w:t>
      </w:r>
      <w:r>
        <w:rPr>
          <w:rFonts w:ascii="inter" w:hAnsi="inter" w:eastAsia="inter" w:cs="inter"/>
          <w:color w:val="000000"/>
        </w:rPr>
        <w:t xml:space="preserve">ents when institutional data was insufficient. Over the past 13 years, Safecast has developed a global radiation monitoring network with over 150 million data points, demonstrating the effectiveness of open-source, community-driven environmental monitoring</w:t>
      </w:r>
      <w:bookmarkStart w:id="0" w:name="fnref1"/>
      <w:r/>
      <w:bookmarkEnd w:id="0"/>
      <w:r/>
      <w:hyperlink w:tooltip="#fn1" w:anchor="fn1" w:history="1">
        <w:r>
          <w:rPr>
            <w:rFonts w:ascii="inter" w:hAnsi="inter" w:eastAsia="inter" w:cs="inter"/>
            <w:color w:val="000000"/>
            <w:u w:val="single"/>
            <w:vertAlign w:val="superscript"/>
          </w:rPr>
          <w:t xml:space="preserve">[1]</w:t>
        </w:r>
      </w:hyperlink>
      <w:r>
        <w:rPr>
          <w:rFonts w:ascii="inter" w:hAnsi="inter" w:eastAsia="inter" w:cs="inter"/>
          <w:color w:val="000000"/>
        </w:rPr>
        <w:t xml:space="preserve">.</w:t>
      </w:r>
      <w:r/>
    </w:p>
    <w:p>
      <w:pPr>
        <w:pBdr/>
        <w:spacing w:after="210" w:line="360" w:lineRule="auto"/>
        <w:ind/>
        <w:rPr/>
      </w:pPr>
      <w:r>
        <w:rPr>
          <w:rFonts w:ascii="inter" w:hAnsi="inter" w:eastAsia="inter" w:cs="inter"/>
          <w:color w:val="000000"/>
        </w:rPr>
        <w:t xml:space="preserve">Despite Europe's advanced environmental monitoring systems, s</w:t>
      </w:r>
      <w:r>
        <w:rPr>
          <w:rFonts w:ascii="inter" w:hAnsi="inter" w:eastAsia="inter" w:cs="inter"/>
          <w:color w:val="000000"/>
        </w:rPr>
        <w:t xml:space="preserve">ignificant gaps remain in real-time radiation monitoring coverage, particularly in remote or less-resourced areas. Additionally, public understanding of radiation science remains limited, creating potential for misinformation during environmental incidents</w:t>
      </w:r>
      <w:bookmarkStart w:id="1" w:name="fnref2"/>
      <w:r/>
      <w:bookmarkEnd w:id="1"/>
      <w:r/>
      <w:hyperlink w:tooltip="#fn2" w:anchor="fn2" w:history="1">
        <w:r>
          <w:rPr>
            <w:rFonts w:ascii="inter" w:hAnsi="inter" w:eastAsia="inter" w:cs="inter"/>
            <w:color w:val="000000"/>
            <w:u w:val="single"/>
            <w:vertAlign w:val="superscript"/>
          </w:rPr>
          <w:t xml:space="preserve">[2]</w:t>
        </w:r>
      </w:hyperlink>
      <w:r>
        <w:rPr>
          <w:rFonts w:ascii="inter" w:hAnsi="inter" w:eastAsia="inter" w:cs="inter"/>
          <w:color w:val="000000"/>
        </w:rPr>
        <w:t xml:space="preserve">.</w:t>
      </w:r>
      <w:r/>
    </w:p>
    <w:p>
      <w:pPr>
        <w:pBdr/>
        <w:spacing w:after="210" w:line="360" w:lineRule="auto"/>
        <w:ind/>
        <w:rPr/>
      </w:pPr>
      <w:r>
        <w:rPr>
          <w:rFonts w:ascii="inter" w:hAnsi="inter" w:eastAsia="inter" w:cs="inter"/>
          <w:color w:val="000000"/>
        </w:rPr>
        <w:t xml:space="preserve">The "Open=Safe" project addresses these challenges by:</w:t>
      </w:r>
      <w:r/>
    </w:p>
    <w:p>
      <w:pPr>
        <w:numPr>
          <w:ilvl w:val="0"/>
          <w:numId w:val="1"/>
        </w:numPr>
        <w:pBdr/>
        <w:spacing w:after="105" w:before="105" w:line="360" w:lineRule="auto"/>
        <w:ind/>
        <w:rPr/>
      </w:pPr>
      <w:r>
        <w:rPr>
          <w:rFonts w:ascii="inter" w:hAnsi="inter" w:eastAsia="inter" w:cs="inter"/>
          <w:color w:val="000000"/>
          <w:sz w:val="21"/>
        </w:rPr>
        <w:t xml:space="preserve">Expanding the geographical coverage of radiation monitoring across Europe</w:t>
      </w:r>
      <w:r/>
    </w:p>
    <w:p>
      <w:pPr>
        <w:numPr>
          <w:ilvl w:val="0"/>
          <w:numId w:val="1"/>
        </w:numPr>
        <w:pBdr/>
        <w:spacing w:after="105" w:before="105" w:line="360" w:lineRule="auto"/>
        <w:ind/>
        <w:rPr/>
      </w:pPr>
      <w:r>
        <w:rPr>
          <w:rFonts w:ascii="inter" w:hAnsi="inter" w:eastAsia="inter" w:cs="inter"/>
          <w:color w:val="000000"/>
          <w:sz w:val="21"/>
        </w:rPr>
        <w:t xml:space="preserve">Building community capacity for environmental monitoring</w:t>
      </w:r>
      <w:r/>
    </w:p>
    <w:p>
      <w:pPr>
        <w:numPr>
          <w:ilvl w:val="0"/>
          <w:numId w:val="1"/>
        </w:numPr>
        <w:pBdr/>
        <w:spacing w:after="105" w:before="105" w:line="360" w:lineRule="auto"/>
        <w:ind/>
        <w:rPr/>
      </w:pPr>
      <w:r>
        <w:rPr>
          <w:rFonts w:ascii="inter" w:hAnsi="inter" w:eastAsia="inter" w:cs="inter"/>
          <w:color w:val="000000"/>
          <w:sz w:val="21"/>
        </w:rPr>
        <w:t xml:space="preserve">Enhancing public understanding of radiation science</w:t>
      </w:r>
      <w:r/>
    </w:p>
    <w:p>
      <w:pPr>
        <w:numPr>
          <w:ilvl w:val="0"/>
          <w:numId w:val="1"/>
        </w:numPr>
        <w:pBdr/>
        <w:spacing w:after="105" w:before="105" w:line="360" w:lineRule="auto"/>
        <w:ind/>
        <w:rPr/>
      </w:pPr>
      <w:r>
        <w:rPr>
          <w:rFonts w:ascii="inter" w:hAnsi="inter" w:eastAsia="inter" w:cs="inter"/>
          <w:color w:val="000000"/>
          <w:sz w:val="21"/>
        </w:rPr>
        <w:t xml:space="preserve">Creating a sustainable model for citizen participation in environmental safety</w:t>
      </w:r>
      <w:r/>
    </w:p>
    <w:p>
      <w:pPr>
        <w:numPr>
          <w:ilvl w:val="0"/>
          <w:numId w:val="1"/>
        </w:numPr>
        <w:pBdr/>
        <w:spacing w:after="105" w:before="105" w:line="360" w:lineRule="auto"/>
        <w:ind/>
        <w:rPr/>
      </w:pPr>
      <w:r>
        <w:rPr>
          <w:rFonts w:ascii="inter" w:hAnsi="inter" w:eastAsia="inter" w:cs="inter"/>
          <w:color w:val="000000"/>
          <w:sz w:val="21"/>
        </w:rPr>
        <w:t xml:space="preserve">Supporting the EU's commitment to environmental protection and public safety as outlined in the Serious Cross Border Health Threats Regulation (2022/2371)</w:t>
      </w:r>
      <w:bookmarkStart w:id="2" w:name="fnref2:1"/>
      <w:r/>
      <w:bookmarkEnd w:id="2"/>
      <w:r/>
      <w:hyperlink w:tooltip="#fn2" w:anchor="fn2" w:history="1">
        <w:r>
          <w:rPr>
            <w:rFonts w:ascii="inter" w:hAnsi="inter" w:eastAsia="inter" w:cs="inter"/>
            <w:color w:val="000000"/>
            <w:sz w:val="21"/>
            <w:u w:val="single"/>
            <w:vertAlign w:val="superscript"/>
          </w:rPr>
          <w:t xml:space="preserve">[2]</w:t>
        </w:r>
      </w:hyperlink>
      <w:r/>
      <w:r/>
    </w:p>
    <w:p>
      <w:pPr>
        <w:pBdr/>
        <w:spacing w:after="105" w:before="315" w:line="360" w:lineRule="auto"/>
        <w:ind w:left="-30"/>
        <w:jc w:val="left"/>
        <w:rPr/>
      </w:pPr>
      <w:r>
        <w:rPr>
          <w:rFonts w:ascii="inter" w:hAnsi="inter" w:eastAsia="inter" w:cs="inter"/>
          <w:b/>
          <w:color w:val="000000"/>
          <w:sz w:val="24"/>
        </w:rPr>
        <w:t xml:space="preserve">Project Objectives and Methodology</w:t>
      </w:r>
      <w:r/>
    </w:p>
    <w:p>
      <w:pPr>
        <w:pBdr/>
        <w:spacing w:after="105" w:before="315" w:line="360" w:lineRule="auto"/>
        <w:ind w:left="-30"/>
        <w:jc w:val="left"/>
        <w:rPr/>
      </w:pPr>
      <w:r>
        <w:rPr>
          <w:rFonts w:ascii="inter" w:hAnsi="inter" w:eastAsia="inter" w:cs="inter"/>
          <w:b/>
          <w:color w:val="000000"/>
          <w:sz w:val="24"/>
        </w:rPr>
        <w:t xml:space="preserve">Primary Objectives</w:t>
      </w:r>
      <w:r/>
    </w:p>
    <w:p>
      <w:pPr>
        <w:numPr>
          <w:ilvl w:val="0"/>
          <w:numId w:val="2"/>
        </w:numPr>
        <w:pBdr/>
        <w:spacing w:after="105" w:before="105" w:line="360" w:lineRule="auto"/>
        <w:ind/>
        <w:rPr/>
      </w:pPr>
      <w:r>
        <w:rPr>
          <w:rFonts w:ascii="inter" w:hAnsi="inter" w:eastAsia="inter" w:cs="inter"/>
          <w:color w:val="000000"/>
          <w:sz w:val="21"/>
        </w:rPr>
        <w:t xml:space="preserve">Conduct 50 community-based workshops across 10 EU member states over 24 months</w:t>
      </w:r>
      <w:r/>
    </w:p>
    <w:p>
      <w:pPr>
        <w:numPr>
          <w:ilvl w:val="0"/>
          <w:numId w:val="2"/>
        </w:numPr>
        <w:pBdr/>
        <w:spacing w:after="105" w:before="105" w:line="360" w:lineRule="auto"/>
        <w:ind/>
        <w:rPr/>
      </w:pPr>
      <w:r>
        <w:rPr>
          <w:rFonts w:ascii="inter" w:hAnsi="inter" w:eastAsia="inter" w:cs="inter"/>
          <w:color w:val="000000"/>
          <w:sz w:val="21"/>
        </w:rPr>
        <w:t xml:space="preserve">Train 500 participants in radiation monitoring principles and device construction</w:t>
      </w:r>
      <w:r/>
    </w:p>
    <w:p>
      <w:pPr>
        <w:numPr>
          <w:ilvl w:val="0"/>
          <w:numId w:val="2"/>
        </w:numPr>
        <w:pBdr/>
        <w:spacing w:after="105" w:before="105" w:line="360" w:lineRule="auto"/>
        <w:ind/>
        <w:rPr/>
      </w:pPr>
      <w:r>
        <w:rPr>
          <w:rFonts w:ascii="inter" w:hAnsi="inter" w:eastAsia="inter" w:cs="inter"/>
          <w:color w:val="000000"/>
          <w:sz w:val="21"/>
        </w:rPr>
        <w:t xml:space="preserve">Deploy 500 new open-source radiation monitoring devices across Europe</w:t>
      </w:r>
      <w:r/>
    </w:p>
    <w:p>
      <w:pPr>
        <w:numPr>
          <w:ilvl w:val="0"/>
          <w:numId w:val="2"/>
        </w:numPr>
        <w:pBdr/>
        <w:spacing w:after="105" w:before="105" w:line="360" w:lineRule="auto"/>
        <w:ind/>
        <w:rPr/>
      </w:pPr>
      <w:r>
        <w:rPr>
          <w:rFonts w:ascii="inter" w:hAnsi="inter" w:eastAsia="inter" w:cs="inter"/>
          <w:color w:val="000000"/>
          <w:sz w:val="21"/>
        </w:rPr>
        <w:t xml:space="preserve">Create an expanded, real-time radiation data network accessible to researchers, policymakers, and the public</w:t>
      </w:r>
      <w:r/>
    </w:p>
    <w:p>
      <w:pPr>
        <w:numPr>
          <w:ilvl w:val="0"/>
          <w:numId w:val="2"/>
        </w:numPr>
        <w:pBdr/>
        <w:spacing w:after="105" w:before="105" w:line="360" w:lineRule="auto"/>
        <w:ind/>
        <w:rPr/>
      </w:pPr>
      <w:r>
        <w:rPr>
          <w:rFonts w:ascii="inter" w:hAnsi="inter" w:eastAsia="inter" w:cs="inter"/>
          <w:color w:val="000000"/>
          <w:sz w:val="21"/>
        </w:rPr>
        <w:t xml:space="preserve">Develop open educational resources for continued learning and device maintenance</w:t>
      </w:r>
      <w:r/>
    </w:p>
    <w:p>
      <w:pPr>
        <w:pBdr/>
        <w:spacing w:after="105" w:before="315" w:line="360" w:lineRule="auto"/>
        <w:ind w:left="-30"/>
        <w:jc w:val="left"/>
        <w:rPr/>
      </w:pPr>
      <w:r>
        <w:rPr>
          <w:rFonts w:ascii="inter" w:hAnsi="inter" w:eastAsia="inter" w:cs="inter"/>
          <w:b/>
          <w:color w:val="000000"/>
          <w:sz w:val="24"/>
        </w:rPr>
        <w:t xml:space="preserve">Methodology</w:t>
      </w:r>
      <w:r/>
    </w:p>
    <w:p>
      <w:pPr>
        <w:pBdr/>
        <w:spacing w:after="105" w:before="315" w:line="360" w:lineRule="auto"/>
        <w:ind w:left="-30"/>
        <w:jc w:val="left"/>
        <w:rPr/>
      </w:pPr>
      <w:r>
        <w:rPr>
          <w:rFonts w:ascii="inter" w:hAnsi="inter" w:eastAsia="inter" w:cs="inter"/>
          <w:b/>
          <w:color w:val="000000"/>
          <w:sz w:val="24"/>
        </w:rPr>
        <w:t xml:space="preserve">Workshop Structure and Implementation</w:t>
      </w:r>
      <w:r/>
    </w:p>
    <w:p>
      <w:pPr>
        <w:pBdr/>
        <w:spacing w:after="210" w:line="360" w:lineRule="auto"/>
        <w:ind/>
        <w:rPr/>
      </w:pPr>
      <w:r>
        <w:rPr>
          <w:rFonts w:ascii="inter" w:hAnsi="inter" w:eastAsia="inter" w:cs="inter"/>
          <w:color w:val="000000"/>
        </w:rPr>
        <w:t xml:space="preserve">Each workshop will follow Safecast's proven educational model:</w:t>
      </w:r>
      <w:r/>
    </w:p>
    <w:p>
      <w:pPr>
        <w:numPr>
          <w:ilvl w:val="0"/>
          <w:numId w:val="3"/>
        </w:numPr>
        <w:pBdr/>
        <w:spacing w:after="210" w:line="360" w:lineRule="auto"/>
        <w:ind/>
        <w:rPr/>
      </w:pPr>
      <w:r>
        <w:rPr>
          <w:rFonts w:ascii="inter" w:hAnsi="inter" w:eastAsia="inter" w:cs="inter"/>
          <w:b/>
          <w:color w:val="000000"/>
          <w:sz w:val="21"/>
        </w:rPr>
        <w:t xml:space="preserve">Workshop Size</w:t>
      </w:r>
      <w:r>
        <w:rPr>
          <w:rFonts w:ascii="inter" w:hAnsi="inter" w:eastAsia="inter" w:cs="inter"/>
          <w:color w:val="000000"/>
          <w:sz w:val="21"/>
        </w:rPr>
        <w:t xml:space="preserve">: Limited to 10 participants per session to ensure quality instruction</w:t>
      </w:r>
      <w:r/>
    </w:p>
    <w:p>
      <w:pPr>
        <w:numPr>
          <w:ilvl w:val="0"/>
          <w:numId w:val="3"/>
        </w:numPr>
        <w:pBdr/>
        <w:spacing w:after="210" w:line="360" w:lineRule="auto"/>
        <w:ind/>
        <w:rPr/>
      </w:pPr>
      <w:r>
        <w:rPr>
          <w:rFonts w:ascii="inter" w:hAnsi="inter" w:eastAsia="inter" w:cs="inter"/>
          <w:b/>
          <w:color w:val="000000"/>
          <w:sz w:val="21"/>
        </w:rPr>
        <w:t xml:space="preserve">Instructor Team</w:t>
      </w:r>
      <w:r>
        <w:rPr>
          <w:rFonts w:ascii="inter" w:hAnsi="inter" w:eastAsia="inter" w:cs="inter"/>
          <w:color w:val="000000"/>
          <w:sz w:val="21"/>
        </w:rPr>
        <w:t xml:space="preserve">: Three qualified instructors per workshop, including:</w:t>
      </w:r>
      <w:r/>
    </w:p>
    <w:p>
      <w:pPr>
        <w:numPr>
          <w:ilvl w:val="1"/>
          <w:numId w:val="3"/>
        </w:numPr>
        <w:pBdr/>
        <w:spacing w:after="105" w:before="105" w:line="360" w:lineRule="auto"/>
        <w:ind/>
        <w:rPr/>
      </w:pPr>
      <w:r>
        <w:rPr>
          <w:rFonts w:ascii="inter" w:hAnsi="inter" w:eastAsia="inter" w:cs="inter"/>
          <w:color w:val="000000"/>
          <w:sz w:val="21"/>
        </w:rPr>
        <w:t xml:space="preserve">Lead technical instructor (device assembly expertise)</w:t>
      </w:r>
      <w:r/>
    </w:p>
    <w:p>
      <w:pPr>
        <w:numPr>
          <w:ilvl w:val="1"/>
          <w:numId w:val="3"/>
        </w:numPr>
        <w:pBdr/>
        <w:spacing w:after="105" w:before="105" w:line="360" w:lineRule="auto"/>
        <w:ind/>
        <w:rPr/>
      </w:pPr>
      <w:r>
        <w:rPr>
          <w:rFonts w:ascii="inter" w:hAnsi="inter" w:eastAsia="inter" w:cs="inter"/>
          <w:color w:val="000000"/>
          <w:sz w:val="21"/>
        </w:rPr>
        <w:t xml:space="preserve">Radiation science educator (scientific principles)</w:t>
      </w:r>
      <w:r/>
    </w:p>
    <w:p>
      <w:pPr>
        <w:numPr>
          <w:ilvl w:val="1"/>
          <w:numId w:val="3"/>
        </w:numPr>
        <w:pBdr/>
        <w:spacing w:after="105" w:before="105" w:line="360" w:lineRule="auto"/>
        <w:ind/>
        <w:rPr/>
      </w:pPr>
      <w:r>
        <w:rPr>
          <w:rFonts w:ascii="inter" w:hAnsi="inter" w:eastAsia="inter" w:cs="inter"/>
          <w:color w:val="000000"/>
          <w:sz w:val="21"/>
        </w:rPr>
        <w:t xml:space="preserve">Data management specialist (network integration and maintenance)</w:t>
      </w:r>
      <w:r/>
    </w:p>
    <w:p>
      <w:pPr>
        <w:numPr>
          <w:ilvl w:val="0"/>
          <w:numId w:val="3"/>
        </w:numPr>
        <w:pBdr/>
        <w:spacing w:after="210" w:line="360" w:lineRule="auto"/>
        <w:ind/>
        <w:rPr/>
      </w:pPr>
      <w:r>
        <w:rPr>
          <w:rFonts w:ascii="inter" w:hAnsi="inter" w:eastAsia="inter" w:cs="inter"/>
          <w:b/>
          <w:color w:val="000000"/>
          <w:sz w:val="21"/>
        </w:rPr>
        <w:t xml:space="preserve">Workshop Components</w:t>
      </w:r>
      <w:r>
        <w:rPr>
          <w:rFonts w:ascii="inter" w:hAnsi="inter" w:eastAsia="inter" w:cs="inter"/>
          <w:color w:val="000000"/>
          <w:sz w:val="21"/>
        </w:rPr>
        <w:t xml:space="preserve">:</w:t>
      </w:r>
      <w:r/>
    </w:p>
    <w:p>
      <w:pPr>
        <w:numPr>
          <w:ilvl w:val="1"/>
          <w:numId w:val="3"/>
        </w:numPr>
        <w:pBdr/>
        <w:spacing w:after="105" w:before="105" w:line="360" w:lineRule="auto"/>
        <w:ind/>
        <w:rPr/>
      </w:pPr>
      <w:r>
        <w:rPr>
          <w:rFonts w:ascii="inter" w:hAnsi="inter" w:eastAsia="inter" w:cs="inter"/>
          <w:color w:val="000000"/>
          <w:sz w:val="21"/>
        </w:rPr>
        <w:t xml:space="preserve">Introduction to radiation science and monitoring principles</w:t>
      </w:r>
      <w:r/>
    </w:p>
    <w:p>
      <w:pPr>
        <w:numPr>
          <w:ilvl w:val="1"/>
          <w:numId w:val="3"/>
        </w:numPr>
        <w:pBdr/>
        <w:spacing w:after="105" w:before="105" w:line="360" w:lineRule="auto"/>
        <w:ind/>
        <w:rPr/>
      </w:pPr>
      <w:r>
        <w:rPr>
          <w:rFonts w:ascii="inter" w:hAnsi="inter" w:eastAsia="inter" w:cs="inter"/>
          <w:color w:val="000000"/>
          <w:sz w:val="21"/>
        </w:rPr>
        <w:t xml:space="preserve">Hands-on assembly of bGeigieZen kits</w:t>
      </w:r>
      <w:r/>
    </w:p>
    <w:p>
      <w:pPr>
        <w:numPr>
          <w:ilvl w:val="1"/>
          <w:numId w:val="3"/>
        </w:numPr>
        <w:pBdr/>
        <w:spacing w:after="105" w:before="105" w:line="360" w:lineRule="auto"/>
        <w:ind/>
        <w:rPr/>
      </w:pPr>
      <w:r>
        <w:rPr>
          <w:rFonts w:ascii="inter" w:hAnsi="inter" w:eastAsia="inter" w:cs="inter"/>
          <w:color w:val="000000"/>
          <w:sz w:val="21"/>
        </w:rPr>
        <w:t xml:space="preserve">Data integration and visualization training</w:t>
      </w:r>
      <w:r/>
    </w:p>
    <w:p>
      <w:pPr>
        <w:numPr>
          <w:ilvl w:val="1"/>
          <w:numId w:val="3"/>
        </w:numPr>
        <w:pBdr/>
        <w:spacing w:after="105" w:before="105" w:line="360" w:lineRule="auto"/>
        <w:ind/>
        <w:rPr/>
      </w:pPr>
      <w:r>
        <w:rPr>
          <w:rFonts w:ascii="inter" w:hAnsi="inter" w:eastAsia="inter" w:cs="inter"/>
          <w:color w:val="000000"/>
          <w:sz w:val="21"/>
        </w:rPr>
        <w:t xml:space="preserve">Ongoing maintenance and troubleshooting guidance</w:t>
      </w:r>
      <w:r/>
    </w:p>
    <w:p>
      <w:pPr>
        <w:numPr>
          <w:ilvl w:val="1"/>
          <w:numId w:val="3"/>
        </w:numPr>
        <w:pBdr/>
        <w:spacing w:after="105" w:before="105" w:line="360" w:lineRule="auto"/>
        <w:ind/>
        <w:rPr/>
      </w:pPr>
      <w:r>
        <w:rPr>
          <w:rFonts w:ascii="inter" w:hAnsi="inter" w:eastAsia="inter" w:cs="inter"/>
          <w:color w:val="000000"/>
          <w:sz w:val="21"/>
        </w:rPr>
        <w:t xml:space="preserve">Community integration planning</w:t>
      </w:r>
      <w:r/>
    </w:p>
    <w:p>
      <w:pPr>
        <w:pBdr/>
        <w:spacing w:after="105" w:before="315" w:line="360" w:lineRule="auto"/>
        <w:ind w:left="-30"/>
        <w:jc w:val="left"/>
        <w:rPr/>
      </w:pPr>
      <w:r>
        <w:rPr>
          <w:rFonts w:ascii="inter" w:hAnsi="inter" w:eastAsia="inter" w:cs="inter"/>
          <w:b/>
          <w:color w:val="000000"/>
          <w:sz w:val="24"/>
        </w:rPr>
        <w:t xml:space="preserve">Hardware and Materials</w:t>
      </w:r>
      <w:r/>
    </w:p>
    <w:p>
      <w:pPr>
        <w:pBdr/>
        <w:spacing w:after="210" w:line="360" w:lineRule="auto"/>
        <w:ind/>
        <w:rPr/>
      </w:pPr>
      <w:r>
        <w:rPr>
          <w:rFonts w:ascii="inter" w:hAnsi="inter" w:eastAsia="inter" w:cs="inter"/>
          <w:color w:val="000000"/>
        </w:rPr>
        <w:t xml:space="preserve">Each participant will receive:</w:t>
      </w:r>
      <w:r/>
    </w:p>
    <w:p>
      <w:pPr>
        <w:numPr>
          <w:ilvl w:val="0"/>
          <w:numId w:val="4"/>
        </w:numPr>
        <w:pBdr/>
        <w:spacing w:after="105" w:before="105" w:line="360" w:lineRule="auto"/>
        <w:ind/>
        <w:rPr/>
      </w:pPr>
      <w:r>
        <w:rPr>
          <w:rFonts w:ascii="inter" w:hAnsi="inter" w:eastAsia="inter" w:cs="inter"/>
          <w:color w:val="000000"/>
          <w:sz w:val="21"/>
        </w:rPr>
        <w:t xml:space="preserve">Complete bGeigieZen kit (radiation detector, microcontroller, display, connectivity components)</w:t>
      </w:r>
      <w:r/>
    </w:p>
    <w:p>
      <w:pPr>
        <w:numPr>
          <w:ilvl w:val="0"/>
          <w:numId w:val="4"/>
        </w:numPr>
        <w:pBdr/>
        <w:spacing w:after="105" w:before="105" w:line="360" w:lineRule="auto"/>
        <w:ind/>
        <w:rPr/>
      </w:pPr>
      <w:r>
        <w:rPr>
          <w:rFonts w:ascii="inter" w:hAnsi="inter" w:eastAsia="inter" w:cs="inter"/>
          <w:color w:val="000000"/>
          <w:sz w:val="21"/>
        </w:rPr>
        <w:t xml:space="preserve">Comprehensive documentation and support materials</w:t>
      </w:r>
      <w:r/>
    </w:p>
    <w:p>
      <w:pPr>
        <w:numPr>
          <w:ilvl w:val="0"/>
          <w:numId w:val="4"/>
        </w:numPr>
        <w:pBdr/>
        <w:spacing w:after="105" w:before="105" w:line="360" w:lineRule="auto"/>
        <w:ind/>
        <w:rPr/>
      </w:pPr>
      <w:r>
        <w:rPr>
          <w:rFonts w:ascii="inter" w:hAnsi="inter" w:eastAsia="inter" w:cs="inter"/>
          <w:color w:val="000000"/>
          <w:sz w:val="21"/>
        </w:rPr>
        <w:t xml:space="preserve">Lifetime access to Safecast's global data network</w:t>
      </w:r>
      <w:r/>
    </w:p>
    <w:p>
      <w:pPr>
        <w:pBdr/>
        <w:spacing w:after="105" w:before="315" w:line="360" w:lineRule="auto"/>
        <w:ind w:left="-30"/>
        <w:jc w:val="left"/>
        <w:rPr/>
      </w:pPr>
      <w:r>
        <w:rPr>
          <w:rFonts w:ascii="inter" w:hAnsi="inter" w:eastAsia="inter" w:cs="inter"/>
          <w:b/>
          <w:color w:val="000000"/>
          <w:sz w:val="24"/>
        </w:rPr>
        <w:t xml:space="preserve">Location Selection Strategy</w:t>
      </w:r>
      <w:r/>
    </w:p>
    <w:p>
      <w:pPr>
        <w:pBdr/>
        <w:spacing w:after="210" w:line="360" w:lineRule="auto"/>
        <w:ind/>
        <w:rPr/>
      </w:pPr>
      <w:r>
        <w:rPr>
          <w:rFonts w:ascii="inter" w:hAnsi="inter" w:eastAsia="inter" w:cs="inter"/>
          <w:color w:val="000000"/>
        </w:rPr>
        <w:t xml:space="preserve">Workshop locations will be strategically selected based on:</w:t>
      </w:r>
      <w:r/>
    </w:p>
    <w:p>
      <w:pPr>
        <w:numPr>
          <w:ilvl w:val="0"/>
          <w:numId w:val="5"/>
        </w:numPr>
        <w:pBdr/>
        <w:spacing w:after="105" w:before="105" w:line="360" w:lineRule="auto"/>
        <w:ind/>
        <w:rPr/>
      </w:pPr>
      <w:r>
        <w:rPr>
          <w:rFonts w:ascii="inter" w:hAnsi="inter" w:eastAsia="inter" w:cs="inter"/>
          <w:color w:val="000000"/>
          <w:sz w:val="21"/>
        </w:rPr>
        <w:t xml:space="preserve">Geographical distribution across diverse EU regions</w:t>
      </w:r>
      <w:r/>
    </w:p>
    <w:p>
      <w:pPr>
        <w:numPr>
          <w:ilvl w:val="0"/>
          <w:numId w:val="5"/>
        </w:numPr>
        <w:pBdr/>
        <w:spacing w:after="105" w:before="105" w:line="360" w:lineRule="auto"/>
        <w:ind/>
        <w:rPr/>
      </w:pPr>
      <w:r>
        <w:rPr>
          <w:rFonts w:ascii="inter" w:hAnsi="inter" w:eastAsia="inter" w:cs="inter"/>
          <w:color w:val="000000"/>
          <w:sz w:val="21"/>
        </w:rPr>
        <w:t xml:space="preserve">Population density considerations</w:t>
      </w:r>
      <w:r/>
    </w:p>
    <w:p>
      <w:pPr>
        <w:numPr>
          <w:ilvl w:val="0"/>
          <w:numId w:val="5"/>
        </w:numPr>
        <w:pBdr/>
        <w:spacing w:after="105" w:before="105" w:line="360" w:lineRule="auto"/>
        <w:ind/>
        <w:rPr/>
      </w:pPr>
      <w:r>
        <w:rPr>
          <w:rFonts w:ascii="inter" w:hAnsi="inter" w:eastAsia="inter" w:cs="inter"/>
          <w:color w:val="000000"/>
          <w:sz w:val="21"/>
        </w:rPr>
        <w:t xml:space="preserve">Existing radiation monitoring coverage gaps</w:t>
      </w:r>
      <w:r/>
    </w:p>
    <w:p>
      <w:pPr>
        <w:numPr>
          <w:ilvl w:val="0"/>
          <w:numId w:val="5"/>
        </w:numPr>
        <w:pBdr/>
        <w:spacing w:after="105" w:before="105" w:line="360" w:lineRule="auto"/>
        <w:ind/>
        <w:rPr/>
      </w:pPr>
      <w:r>
        <w:rPr>
          <w:rFonts w:ascii="inter" w:hAnsi="inter" w:eastAsia="inter" w:cs="inter"/>
          <w:color w:val="000000"/>
          <w:sz w:val="21"/>
        </w:rPr>
        <w:t xml:space="preserve">Local interest and institutional partnerships</w:t>
      </w:r>
      <w:r/>
    </w:p>
    <w:p>
      <w:pPr>
        <w:numPr>
          <w:ilvl w:val="0"/>
          <w:numId w:val="5"/>
        </w:numPr>
        <w:pBdr/>
        <w:spacing w:after="105" w:before="105" w:line="360" w:lineRule="auto"/>
        <w:ind/>
        <w:rPr/>
      </w:pPr>
      <w:r>
        <w:rPr>
          <w:rFonts w:ascii="inter" w:hAnsi="inter" w:eastAsia="inter" w:cs="inter"/>
          <w:color w:val="000000"/>
          <w:sz w:val="21"/>
        </w:rPr>
        <w:t xml:space="preserve">Environmental vulnerability assessment</w:t>
      </w:r>
      <w:r/>
    </w:p>
    <w:p>
      <w:pPr>
        <w:pBdr/>
        <w:spacing w:after="105" w:before="315" w:line="360" w:lineRule="auto"/>
        <w:ind w:left="-30"/>
        <w:jc w:val="left"/>
        <w:rPr/>
      </w:pPr>
      <w:r>
        <w:rPr>
          <w:rFonts w:ascii="inter" w:hAnsi="inter" w:eastAsia="inter" w:cs="inter"/>
          <w:b/>
          <w:color w:val="000000"/>
          <w:sz w:val="24"/>
        </w:rPr>
        <w:t xml:space="preserve">Alignment with EU Priorities and Programs</w:t>
      </w:r>
      <w:r/>
    </w:p>
    <w:p>
      <w:pPr>
        <w:pBdr/>
        <w:spacing w:after="210" w:line="360" w:lineRule="auto"/>
        <w:ind/>
        <w:rPr/>
      </w:pPr>
      <w:r>
        <w:rPr>
          <w:rFonts w:ascii="inter" w:hAnsi="inter" w:eastAsia="inter" w:cs="inter"/>
          <w:color w:val="000000"/>
        </w:rPr>
        <w:t xml:space="preserve">The "Open=Safe" project directly supports multiple EU strategic priorities:</w:t>
      </w:r>
      <w:r/>
    </w:p>
    <w:p>
      <w:pPr>
        <w:numPr>
          <w:ilvl w:val="0"/>
          <w:numId w:val="6"/>
        </w:numPr>
        <w:pBdr/>
        <w:spacing w:after="210" w:line="360" w:lineRule="auto"/>
        <w:ind/>
        <w:rPr/>
      </w:pPr>
      <w:r>
        <w:rPr>
          <w:rFonts w:ascii="inter" w:hAnsi="inter" w:eastAsia="inter" w:cs="inter"/>
          <w:b/>
          <w:color w:val="000000"/>
          <w:sz w:val="21"/>
        </w:rPr>
        <w:t xml:space="preserve">Environmental Monitoring and Protection</w:t>
      </w:r>
      <w:r>
        <w:rPr>
          <w:rFonts w:ascii="inter" w:hAnsi="inter" w:eastAsia="inter" w:cs="inter"/>
          <w:color w:val="000000"/>
          <w:sz w:val="21"/>
        </w:rPr>
        <w:t xml:space="preserve">: Enhances radiation monitoring infrastructure across Europe, supporting the Environment and Climate Action (LIFE) program objectives</w:t>
      </w:r>
      <w:bookmarkStart w:id="3" w:name="fnref3"/>
      <w:r/>
      <w:bookmarkEnd w:id="3"/>
      <w:r/>
      <w:hyperlink w:tooltip="#fn3" w:anchor="fn3" w:history="1">
        <w:r>
          <w:rPr>
            <w:rFonts w:ascii="inter" w:hAnsi="inter" w:eastAsia="inter" w:cs="inter"/>
            <w:color w:val="000000"/>
            <w:sz w:val="21"/>
            <w:u w:val="single"/>
            <w:vertAlign w:val="superscript"/>
          </w:rPr>
          <w:t xml:space="preserve">[3]</w:t>
        </w:r>
      </w:hyperlink>
      <w:r>
        <w:rPr>
          <w:rFonts w:ascii="inter" w:hAnsi="inter" w:eastAsia="inter" w:cs="inter"/>
          <w:color w:val="000000"/>
          <w:sz w:val="21"/>
        </w:rPr>
        <w:t xml:space="preserve">.</w:t>
      </w:r>
      <w:r/>
    </w:p>
    <w:p>
      <w:pPr>
        <w:numPr>
          <w:ilvl w:val="0"/>
          <w:numId w:val="6"/>
        </w:numPr>
        <w:pBdr/>
        <w:spacing w:after="210" w:line="360" w:lineRule="auto"/>
        <w:ind/>
        <w:rPr/>
      </w:pPr>
      <w:r>
        <w:rPr>
          <w:rFonts w:ascii="inter" w:hAnsi="inter" w:eastAsia="inter" w:cs="inter"/>
          <w:b/>
          <w:color w:val="000000"/>
          <w:sz w:val="21"/>
        </w:rPr>
        <w:t xml:space="preserve">Digital Skills Development</w:t>
      </w:r>
      <w:r>
        <w:rPr>
          <w:rFonts w:ascii="inter" w:hAnsi="inter" w:eastAsia="inter" w:cs="inter"/>
          <w:color w:val="000000"/>
          <w:sz w:val="21"/>
        </w:rPr>
        <w:t xml:space="preserve">: Provides practical technology education to diverse communities, aligning with Digital Europe program goals for digital literacy</w:t>
      </w:r>
      <w:bookmarkStart w:id="4" w:name="fnref3:1"/>
      <w:r/>
      <w:bookmarkEnd w:id="4"/>
      <w:r/>
      <w:hyperlink w:tooltip="#fn3" w:anchor="fn3" w:history="1">
        <w:r>
          <w:rPr>
            <w:rFonts w:ascii="inter" w:hAnsi="inter" w:eastAsia="inter" w:cs="inter"/>
            <w:color w:val="000000"/>
            <w:sz w:val="21"/>
            <w:u w:val="single"/>
            <w:vertAlign w:val="superscript"/>
          </w:rPr>
          <w:t xml:space="preserve">[3]</w:t>
        </w:r>
      </w:hyperlink>
      <w:r>
        <w:rPr>
          <w:rFonts w:ascii="inter" w:hAnsi="inter" w:eastAsia="inter" w:cs="inter"/>
          <w:color w:val="000000"/>
          <w:sz w:val="21"/>
        </w:rPr>
        <w:t xml:space="preserve">.</w:t>
      </w:r>
      <w:r/>
    </w:p>
    <w:p>
      <w:pPr>
        <w:numPr>
          <w:ilvl w:val="0"/>
          <w:numId w:val="6"/>
        </w:numPr>
        <w:pBdr/>
        <w:spacing w:after="210" w:line="360" w:lineRule="auto"/>
        <w:ind/>
        <w:rPr/>
      </w:pPr>
      <w:r>
        <w:rPr>
          <w:rFonts w:ascii="inter" w:hAnsi="inter" w:eastAsia="inter" w:cs="inter"/>
          <w:b/>
          <w:color w:val="000000"/>
          <w:sz w:val="21"/>
        </w:rPr>
        <w:t xml:space="preserve">Citizen Science Engagement</w:t>
      </w:r>
      <w:r>
        <w:rPr>
          <w:rFonts w:ascii="inter" w:hAnsi="inter" w:eastAsia="inter" w:cs="inter"/>
          <w:color w:val="000000"/>
          <w:sz w:val="21"/>
        </w:rPr>
        <w:t xml:space="preserve">: Promotes active citizen participation in environmental monitoring, supporting the EU's "Open and Structured Dialogue" with civil society</w:t>
      </w:r>
      <w:bookmarkStart w:id="5" w:name="fnref4"/>
      <w:r/>
      <w:bookmarkEnd w:id="5"/>
      <w:r/>
      <w:hyperlink w:tooltip="#fn4" w:anchor="fn4" w:history="1">
        <w:r>
          <w:rPr>
            <w:rFonts w:ascii="inter" w:hAnsi="inter" w:eastAsia="inter" w:cs="inter"/>
            <w:color w:val="000000"/>
            <w:sz w:val="21"/>
            <w:u w:val="single"/>
            <w:vertAlign w:val="superscript"/>
          </w:rPr>
          <w:t xml:space="preserve">[4]</w:t>
        </w:r>
      </w:hyperlink>
      <w:r>
        <w:rPr>
          <w:rFonts w:ascii="inter" w:hAnsi="inter" w:eastAsia="inter" w:cs="inter"/>
          <w:color w:val="000000"/>
          <w:sz w:val="21"/>
        </w:rPr>
        <w:t xml:space="preserve">.</w:t>
      </w:r>
      <w:r/>
    </w:p>
    <w:p>
      <w:pPr>
        <w:numPr>
          <w:ilvl w:val="0"/>
          <w:numId w:val="6"/>
        </w:numPr>
        <w:pBdr/>
        <w:spacing w:after="210" w:line="360" w:lineRule="auto"/>
        <w:ind/>
        <w:rPr/>
      </w:pPr>
      <w:r>
        <w:rPr>
          <w:rFonts w:ascii="inter" w:hAnsi="inter" w:eastAsia="inter" w:cs="inter"/>
          <w:b/>
          <w:color w:val="000000"/>
          <w:sz w:val="21"/>
        </w:rPr>
        <w:t xml:space="preserve">Cross-Border Health Threat Preparedness</w:t>
      </w:r>
      <w:r>
        <w:rPr>
          <w:rFonts w:ascii="inter" w:hAnsi="inter" w:eastAsia="inter" w:cs="inter"/>
          <w:color w:val="000000"/>
          <w:sz w:val="21"/>
        </w:rPr>
        <w:t xml:space="preserve">: Creates additional monitoring infrastructure relevant to the EU Regulation 2022/2371 on serious cross-border health threats</w:t>
      </w:r>
      <w:bookmarkStart w:id="6" w:name="fnref2:2"/>
      <w:r/>
      <w:bookmarkEnd w:id="6"/>
      <w:r/>
      <w:hyperlink w:tooltip="#fn2" w:anchor="fn2" w:history="1">
        <w:r>
          <w:rPr>
            <w:rFonts w:ascii="inter" w:hAnsi="inter" w:eastAsia="inter" w:cs="inter"/>
            <w:color w:val="000000"/>
            <w:sz w:val="21"/>
            <w:u w:val="single"/>
            <w:vertAlign w:val="superscript"/>
          </w:rPr>
          <w:t xml:space="preserve">[2]</w:t>
        </w:r>
      </w:hyperlink>
      <w:r>
        <w:rPr>
          <w:rFonts w:ascii="inter" w:hAnsi="inter" w:eastAsia="inter" w:cs="inter"/>
          <w:color w:val="000000"/>
          <w:sz w:val="21"/>
        </w:rPr>
        <w:t xml:space="preserve">.</w:t>
      </w:r>
      <w:r/>
    </w:p>
    <w:p>
      <w:pPr>
        <w:numPr>
          <w:ilvl w:val="0"/>
          <w:numId w:val="6"/>
        </w:numPr>
        <w:pBdr/>
        <w:spacing w:after="210" w:line="360" w:lineRule="auto"/>
        <w:ind/>
        <w:rPr/>
      </w:pPr>
      <w:r>
        <w:rPr>
          <w:rFonts w:ascii="inter" w:hAnsi="inter" w:eastAsia="inter" w:cs="inter"/>
          <w:b/>
          <w:color w:val="000000"/>
          <w:sz w:val="21"/>
        </w:rPr>
        <w:t xml:space="preserve">Open Science and Research Integrity</w:t>
      </w:r>
      <w:r>
        <w:rPr>
          <w:rFonts w:ascii="inter" w:hAnsi="inter" w:eastAsia="inter" w:cs="inter"/>
          <w:color w:val="000000"/>
          <w:sz w:val="21"/>
        </w:rPr>
        <w:t xml:space="preserve">: Adheres to responsible research principles by making all data openly accessible and maintaining transparency in methodologies, aligning with EU research funding priorities</w:t>
      </w:r>
      <w:bookmarkStart w:id="7" w:name="fnref5"/>
      <w:r/>
      <w:bookmarkEnd w:id="7"/>
      <w:r/>
      <w:hyperlink w:tooltip="#fn5" w:anchor="fn5" w:history="1">
        <w:r>
          <w:rPr>
            <w:rFonts w:ascii="inter" w:hAnsi="inter" w:eastAsia="inter" w:cs="inter"/>
            <w:color w:val="000000"/>
            <w:sz w:val="21"/>
            <w:u w:val="single"/>
            <w:vertAlign w:val="superscript"/>
          </w:rPr>
          <w:t xml:space="preserve">[5]</w:t>
        </w:r>
      </w:hyperlink>
      <w:r>
        <w:rPr>
          <w:rFonts w:ascii="inter" w:hAnsi="inter" w:eastAsia="inter" w:cs="inter"/>
          <w:color w:val="000000"/>
          <w:sz w:val="21"/>
        </w:rPr>
        <w:t xml:space="preserve">.</w:t>
      </w:r>
      <w:r/>
    </w:p>
    <w:p>
      <w:pPr>
        <w:pBdr/>
        <w:spacing w:after="105" w:before="315" w:line="360" w:lineRule="auto"/>
        <w:ind w:left="-30"/>
        <w:jc w:val="left"/>
        <w:rPr/>
      </w:pPr>
      <w:r>
        <w:rPr>
          <w:rFonts w:ascii="inter" w:hAnsi="inter" w:eastAsia="inter" w:cs="inter"/>
          <w:b/>
          <w:color w:val="000000"/>
          <w:sz w:val="24"/>
        </w:rPr>
        <w:t xml:space="preserve">Expected Impact and Outcomes</w:t>
      </w:r>
      <w:r/>
    </w:p>
    <w:p>
      <w:pPr>
        <w:pBdr/>
        <w:spacing w:after="105" w:before="315" w:line="360" w:lineRule="auto"/>
        <w:ind w:left="-30"/>
        <w:jc w:val="left"/>
        <w:rPr/>
      </w:pPr>
      <w:r>
        <w:rPr>
          <w:rFonts w:ascii="inter" w:hAnsi="inter" w:eastAsia="inter" w:cs="inter"/>
          <w:b/>
          <w:color w:val="000000"/>
          <w:sz w:val="24"/>
        </w:rPr>
        <w:t xml:space="preserve">Immediate Outcomes</w:t>
      </w:r>
      <w:r/>
    </w:p>
    <w:p>
      <w:pPr>
        <w:numPr>
          <w:ilvl w:val="0"/>
          <w:numId w:val="7"/>
        </w:numPr>
        <w:pBdr/>
        <w:spacing w:after="105" w:before="105" w:line="360" w:lineRule="auto"/>
        <w:ind/>
        <w:rPr/>
      </w:pPr>
      <w:r>
        <w:rPr>
          <w:rFonts w:ascii="inter" w:hAnsi="inter" w:eastAsia="inter" w:cs="inter"/>
          <w:color w:val="000000"/>
          <w:sz w:val="21"/>
        </w:rPr>
        <w:t xml:space="preserve">Deployment of 500 new radiation monitoring devices across Europe</w:t>
      </w:r>
      <w:r/>
    </w:p>
    <w:p>
      <w:pPr>
        <w:numPr>
          <w:ilvl w:val="0"/>
          <w:numId w:val="7"/>
        </w:numPr>
        <w:pBdr/>
        <w:spacing w:after="105" w:before="105" w:line="360" w:lineRule="auto"/>
        <w:ind/>
        <w:rPr/>
      </w:pPr>
      <w:r>
        <w:rPr>
          <w:rFonts w:ascii="inter" w:hAnsi="inter" w:eastAsia="inter" w:cs="inter"/>
          <w:color w:val="000000"/>
          <w:sz w:val="21"/>
        </w:rPr>
        <w:t xml:space="preserve">Creation of a more comprehensive, real-time radiation data network</w:t>
      </w:r>
      <w:r/>
    </w:p>
    <w:p>
      <w:pPr>
        <w:numPr>
          <w:ilvl w:val="0"/>
          <w:numId w:val="7"/>
        </w:numPr>
        <w:pBdr/>
        <w:spacing w:after="105" w:before="105" w:line="360" w:lineRule="auto"/>
        <w:ind/>
        <w:rPr/>
      </w:pPr>
      <w:r>
        <w:rPr>
          <w:rFonts w:ascii="inter" w:hAnsi="inter" w:eastAsia="inter" w:cs="inter"/>
          <w:color w:val="000000"/>
          <w:sz w:val="21"/>
        </w:rPr>
        <w:t xml:space="preserve">Enhanced scientific literacy among 500 direct participants</w:t>
      </w:r>
      <w:r/>
    </w:p>
    <w:p>
      <w:pPr>
        <w:numPr>
          <w:ilvl w:val="0"/>
          <w:numId w:val="7"/>
        </w:numPr>
        <w:pBdr/>
        <w:spacing w:after="105" w:before="105" w:line="360" w:lineRule="auto"/>
        <w:ind/>
        <w:rPr/>
      </w:pPr>
      <w:r>
        <w:rPr>
          <w:rFonts w:ascii="inter" w:hAnsi="inter" w:eastAsia="inter" w:cs="inter"/>
          <w:color w:val="000000"/>
          <w:sz w:val="21"/>
        </w:rPr>
        <w:t xml:space="preserve">Increased community awareness of environmental monitoring</w:t>
      </w:r>
      <w:r/>
    </w:p>
    <w:p>
      <w:pPr>
        <w:pBdr/>
        <w:spacing w:after="105" w:before="315" w:line="360" w:lineRule="auto"/>
        <w:ind w:left="-30"/>
        <w:jc w:val="left"/>
        <w:rPr/>
      </w:pPr>
      <w:r>
        <w:rPr>
          <w:rFonts w:ascii="inter" w:hAnsi="inter" w:eastAsia="inter" w:cs="inter"/>
          <w:b/>
          <w:color w:val="000000"/>
          <w:sz w:val="24"/>
        </w:rPr>
        <w:t xml:space="preserve">Long-term Impact</w:t>
      </w:r>
      <w:r/>
    </w:p>
    <w:p>
      <w:pPr>
        <w:numPr>
          <w:ilvl w:val="0"/>
          <w:numId w:val="8"/>
        </w:numPr>
        <w:pBdr/>
        <w:spacing w:after="105" w:before="105" w:line="360" w:lineRule="auto"/>
        <w:ind/>
        <w:rPr/>
      </w:pPr>
      <w:r>
        <w:rPr>
          <w:rFonts w:ascii="inter" w:hAnsi="inter" w:eastAsia="inter" w:cs="inter"/>
          <w:color w:val="000000"/>
          <w:sz w:val="21"/>
        </w:rPr>
        <w:t xml:space="preserve">Sustainable citizen-science infrastructure for ongoing environmental monitoring</w:t>
      </w:r>
      <w:r/>
    </w:p>
    <w:p>
      <w:pPr>
        <w:numPr>
          <w:ilvl w:val="0"/>
          <w:numId w:val="8"/>
        </w:numPr>
        <w:pBdr/>
        <w:spacing w:after="105" w:before="105" w:line="360" w:lineRule="auto"/>
        <w:ind/>
        <w:rPr/>
      </w:pPr>
      <w:r>
        <w:rPr>
          <w:rFonts w:ascii="inter" w:hAnsi="inter" w:eastAsia="inter" w:cs="inter"/>
          <w:color w:val="000000"/>
          <w:sz w:val="21"/>
        </w:rPr>
        <w:t xml:space="preserve">Improved emergency preparedness for potential radiation incidents</w:t>
      </w:r>
      <w:r/>
    </w:p>
    <w:p>
      <w:pPr>
        <w:numPr>
          <w:ilvl w:val="0"/>
          <w:numId w:val="8"/>
        </w:numPr>
        <w:pBdr/>
        <w:spacing w:after="105" w:before="105" w:line="360" w:lineRule="auto"/>
        <w:ind/>
        <w:rPr/>
      </w:pPr>
      <w:r>
        <w:rPr>
          <w:rFonts w:ascii="inter" w:hAnsi="inter" w:eastAsia="inter" w:cs="inter"/>
          <w:color w:val="000000"/>
          <w:sz w:val="21"/>
        </w:rPr>
        <w:t xml:space="preserve">Enhanced community resilience through technology empowerment</w:t>
      </w:r>
      <w:r/>
    </w:p>
    <w:p>
      <w:pPr>
        <w:numPr>
          <w:ilvl w:val="0"/>
          <w:numId w:val="8"/>
        </w:numPr>
        <w:pBdr/>
        <w:spacing w:after="105" w:before="105" w:line="360" w:lineRule="auto"/>
        <w:ind/>
        <w:rPr/>
      </w:pPr>
      <w:r>
        <w:rPr>
          <w:rFonts w:ascii="inter" w:hAnsi="inter" w:eastAsia="inter" w:cs="inter"/>
          <w:color w:val="000000"/>
          <w:sz w:val="21"/>
        </w:rPr>
        <w:t xml:space="preserve">Model for future open-source environmental monitoring initiatives</w:t>
      </w:r>
      <w:r/>
    </w:p>
    <w:p>
      <w:pPr>
        <w:numPr>
          <w:ilvl w:val="0"/>
          <w:numId w:val="8"/>
        </w:numPr>
        <w:pBdr/>
        <w:spacing w:after="105" w:before="105" w:line="360" w:lineRule="auto"/>
        <w:ind/>
        <w:rPr/>
      </w:pPr>
      <w:r>
        <w:rPr>
          <w:rFonts w:ascii="inter" w:hAnsi="inter" w:eastAsia="inter" w:cs="inter"/>
          <w:color w:val="000000"/>
          <w:sz w:val="21"/>
        </w:rPr>
        <w:t xml:space="preserve">Contribution to EU's environmental and public health databases</w:t>
      </w:r>
      <w:r/>
    </w:p>
    <w:p>
      <w:pPr>
        <w:pBdr/>
        <w:spacing w:after="105" w:before="315" w:line="360" w:lineRule="auto"/>
        <w:ind w:left="-30"/>
        <w:jc w:val="left"/>
        <w:rPr/>
      </w:pPr>
      <w:r>
        <w:rPr>
          <w:rFonts w:ascii="inter" w:hAnsi="inter" w:eastAsia="inter" w:cs="inter"/>
          <w:b/>
          <w:color w:val="000000"/>
          <w:sz w:val="24"/>
        </w:rPr>
        <w:t xml:space="preserve">Budget and Resource Requirements</w:t>
      </w:r>
      <w:r>
        <w:rPr>
          <w:rFonts w:ascii="inter" w:hAnsi="inter" w:eastAsia="inter" w:cs="inter"/>
          <w:b/>
          <w:color w:val="000000"/>
          <w:sz w:val="24"/>
          <w:lang w:val="ja-JP"/>
        </w:rPr>
        <w:t xml:space="preserve"> Summary (details is other document)</w:t>
      </w:r>
      <w:r/>
    </w:p>
    <w:p>
      <w:pPr>
        <w:pBdr/>
        <w:spacing w:after="105" w:before="315" w:line="360" w:lineRule="auto"/>
        <w:ind w:left="-30"/>
        <w:jc w:val="left"/>
        <w:rPr/>
      </w:pPr>
      <w:r>
        <w:rPr>
          <w:rFonts w:ascii="inter" w:hAnsi="inter" w:eastAsia="inter" w:cs="inter"/>
          <w:b/>
          <w:color w:val="000000"/>
          <w:sz w:val="24"/>
        </w:rPr>
        <w:t xml:space="preserve">Personnel Costs</w:t>
      </w:r>
      <w:r/>
    </w:p>
    <w:p>
      <w:pPr>
        <w:numPr>
          <w:ilvl w:val="0"/>
          <w:numId w:val="9"/>
        </w:numPr>
        <w:pBdr/>
        <w:spacing w:after="105" w:before="105" w:line="360" w:lineRule="auto"/>
        <w:ind/>
        <w:rPr/>
      </w:pPr>
      <w:r>
        <w:rPr>
          <w:rFonts w:ascii="inter" w:hAnsi="inter" w:eastAsia="inter" w:cs="inter"/>
          <w:color w:val="000000"/>
          <w:sz w:val="21"/>
        </w:rPr>
        <w:t xml:space="preserve">Workshop Instructor Fees: €150,000 (3 instructors × 50 workshops)</w:t>
      </w:r>
      <w:r/>
    </w:p>
    <w:p>
      <w:pPr>
        <w:numPr>
          <w:ilvl w:val="0"/>
          <w:numId w:val="9"/>
        </w:numPr>
        <w:pBdr/>
        <w:spacing w:after="105" w:before="105" w:line="360" w:lineRule="auto"/>
        <w:ind/>
        <w:rPr/>
      </w:pPr>
      <w:r>
        <w:rPr>
          <w:rFonts w:ascii="inter" w:hAnsi="inter" w:eastAsia="inter" w:cs="inter"/>
          <w:color w:val="000000"/>
          <w:sz w:val="21"/>
        </w:rPr>
        <w:t xml:space="preserve">Project Coordination: €75,000</w:t>
      </w:r>
      <w:r/>
    </w:p>
    <w:p>
      <w:pPr>
        <w:numPr>
          <w:ilvl w:val="0"/>
          <w:numId w:val="9"/>
        </w:numPr>
        <w:pBdr/>
        <w:spacing w:after="105" w:before="105" w:line="360" w:lineRule="auto"/>
        <w:ind/>
        <w:rPr/>
      </w:pPr>
      <w:r>
        <w:rPr>
          <w:rFonts w:ascii="inter" w:hAnsi="inter" w:eastAsia="inter" w:cs="inter"/>
          <w:color w:val="000000"/>
          <w:sz w:val="21"/>
        </w:rPr>
        <w:t xml:space="preserve">Technical Support: €50,000</w:t>
      </w:r>
      <w:r/>
    </w:p>
    <w:p>
      <w:pPr>
        <w:pBdr/>
        <w:spacing w:after="105" w:before="315" w:line="360" w:lineRule="auto"/>
        <w:ind w:left="-30"/>
        <w:jc w:val="left"/>
        <w:rPr/>
      </w:pPr>
      <w:r>
        <w:rPr>
          <w:rFonts w:ascii="inter" w:hAnsi="inter" w:eastAsia="inter" w:cs="inter"/>
          <w:b/>
          <w:color w:val="000000"/>
          <w:sz w:val="24"/>
        </w:rPr>
        <w:t xml:space="preserve">Equipment and Materials</w:t>
      </w:r>
      <w:r/>
    </w:p>
    <w:p>
      <w:pPr>
        <w:numPr>
          <w:ilvl w:val="0"/>
          <w:numId w:val="10"/>
        </w:numPr>
        <w:pBdr/>
        <w:spacing w:after="105" w:before="105" w:line="360" w:lineRule="auto"/>
        <w:ind/>
        <w:rPr/>
      </w:pPr>
      <w:r>
        <w:rPr>
          <w:rFonts w:ascii="inter" w:hAnsi="inter" w:eastAsia="inter" w:cs="inter"/>
          <w:color w:val="000000"/>
          <w:sz w:val="21"/>
        </w:rPr>
        <w:t xml:space="preserve">500 bGeigieZen Kits: €175,000</w:t>
      </w:r>
      <w:r/>
    </w:p>
    <w:p>
      <w:pPr>
        <w:numPr>
          <w:ilvl w:val="0"/>
          <w:numId w:val="10"/>
        </w:numPr>
        <w:pBdr/>
        <w:spacing w:after="105" w:before="105" w:line="360" w:lineRule="auto"/>
        <w:ind/>
        <w:rPr/>
      </w:pPr>
      <w:r>
        <w:rPr>
          <w:rFonts w:ascii="inter" w:hAnsi="inter" w:eastAsia="inter" w:cs="inter"/>
          <w:color w:val="000000"/>
          <w:sz w:val="21"/>
        </w:rPr>
        <w:t xml:space="preserve">Workshop educational materials: €25,000</w:t>
      </w:r>
      <w:r/>
    </w:p>
    <w:p>
      <w:pPr>
        <w:pBdr/>
        <w:spacing w:after="105" w:before="315" w:line="360" w:lineRule="auto"/>
        <w:ind w:left="-30"/>
        <w:jc w:val="left"/>
        <w:rPr/>
      </w:pPr>
      <w:r>
        <w:rPr>
          <w:rFonts w:ascii="inter" w:hAnsi="inter" w:eastAsia="inter" w:cs="inter"/>
          <w:b/>
          <w:color w:val="000000"/>
          <w:sz w:val="24"/>
        </w:rPr>
        <w:t xml:space="preserve">Travel and Logistics</w:t>
      </w:r>
      <w:r/>
    </w:p>
    <w:p>
      <w:pPr>
        <w:numPr>
          <w:ilvl w:val="0"/>
          <w:numId w:val="11"/>
        </w:numPr>
        <w:pBdr/>
        <w:spacing w:after="105" w:before="105" w:line="360" w:lineRule="auto"/>
        <w:ind/>
        <w:rPr/>
      </w:pPr>
      <w:r>
        <w:rPr>
          <w:rFonts w:ascii="inter" w:hAnsi="inter" w:eastAsia="inter" w:cs="inter"/>
          <w:color w:val="000000"/>
          <w:sz w:val="21"/>
        </w:rPr>
        <w:t xml:space="preserve">Instructor transportation to workshop locations: €60,000</w:t>
      </w:r>
      <w:r/>
    </w:p>
    <w:p>
      <w:pPr>
        <w:numPr>
          <w:ilvl w:val="0"/>
          <w:numId w:val="11"/>
        </w:numPr>
        <w:pBdr/>
        <w:spacing w:after="105" w:before="105" w:line="360" w:lineRule="auto"/>
        <w:ind/>
        <w:rPr/>
      </w:pPr>
      <w:r>
        <w:rPr>
          <w:rFonts w:ascii="inter" w:hAnsi="inter" w:eastAsia="inter" w:cs="inter"/>
          <w:color w:val="000000"/>
          <w:sz w:val="21"/>
        </w:rPr>
        <w:t xml:space="preserve">Accommodation for workshop teams: €40,000</w:t>
      </w:r>
      <w:r/>
    </w:p>
    <w:p>
      <w:pPr>
        <w:numPr>
          <w:ilvl w:val="0"/>
          <w:numId w:val="11"/>
        </w:numPr>
        <w:pBdr/>
        <w:spacing w:after="105" w:before="105" w:line="360" w:lineRule="auto"/>
        <w:ind/>
        <w:rPr/>
      </w:pPr>
      <w:r>
        <w:rPr>
          <w:rFonts w:ascii="inter" w:hAnsi="inter" w:eastAsia="inter" w:cs="inter"/>
          <w:color w:val="000000"/>
          <w:sz w:val="21"/>
        </w:rPr>
        <w:t xml:space="preserve">Venue costs (when needed): €25,000</w:t>
      </w:r>
      <w:r/>
    </w:p>
    <w:p>
      <w:pPr>
        <w:pBdr/>
        <w:spacing w:after="105" w:before="315" w:line="360" w:lineRule="auto"/>
        <w:ind w:left="-30"/>
        <w:jc w:val="left"/>
        <w:rPr/>
      </w:pPr>
      <w:r>
        <w:rPr>
          <w:rFonts w:ascii="inter" w:hAnsi="inter" w:eastAsia="inter" w:cs="inter"/>
          <w:b/>
          <w:color w:val="000000"/>
          <w:sz w:val="24"/>
        </w:rPr>
        <w:t xml:space="preserve">Other Costs</w:t>
      </w:r>
      <w:r/>
    </w:p>
    <w:p>
      <w:pPr>
        <w:numPr>
          <w:ilvl w:val="0"/>
          <w:numId w:val="12"/>
        </w:numPr>
        <w:pBdr/>
        <w:spacing w:after="105" w:before="105" w:line="360" w:lineRule="auto"/>
        <w:ind/>
        <w:rPr/>
      </w:pPr>
      <w:r>
        <w:rPr>
          <w:rFonts w:ascii="inter" w:hAnsi="inter" w:eastAsia="inter" w:cs="inter"/>
          <w:color w:val="000000"/>
          <w:sz w:val="21"/>
        </w:rPr>
        <w:t xml:space="preserve">Data server infrastructure: €15,000</w:t>
      </w:r>
      <w:r/>
    </w:p>
    <w:p>
      <w:pPr>
        <w:numPr>
          <w:ilvl w:val="0"/>
          <w:numId w:val="12"/>
        </w:numPr>
        <w:pBdr/>
        <w:spacing w:after="105" w:before="105" w:line="360" w:lineRule="auto"/>
        <w:ind/>
        <w:rPr/>
      </w:pPr>
      <w:r>
        <w:rPr>
          <w:rFonts w:ascii="inter" w:hAnsi="inter" w:eastAsia="inter" w:cs="inter"/>
          <w:color w:val="000000"/>
          <w:sz w:val="21"/>
        </w:rPr>
        <w:t xml:space="preserve">Documentation and translation: €20,000</w:t>
      </w:r>
      <w:r/>
    </w:p>
    <w:p>
      <w:pPr>
        <w:numPr>
          <w:ilvl w:val="0"/>
          <w:numId w:val="12"/>
        </w:numPr>
        <w:pBdr/>
        <w:spacing w:after="105" w:before="105" w:line="360" w:lineRule="auto"/>
        <w:ind/>
        <w:rPr/>
      </w:pPr>
      <w:r>
        <w:rPr>
          <w:rFonts w:ascii="inter" w:hAnsi="inter" w:eastAsia="inter" w:cs="inter"/>
          <w:color w:val="000000"/>
          <w:sz w:val="21"/>
        </w:rPr>
        <w:t xml:space="preserve">Evaluation and reporting: €15,000</w:t>
      </w:r>
      <w:r/>
    </w:p>
    <w:p>
      <w:pPr>
        <w:pBdr/>
        <w:spacing w:after="210" w:line="360" w:lineRule="auto"/>
        <w:ind/>
        <w:rPr/>
      </w:pPr>
      <w:r>
        <w:rPr>
          <w:rFonts w:ascii="inter" w:hAnsi="inter" w:eastAsia="inter" w:cs="inter"/>
          <w:b/>
          <w:color w:val="000000"/>
        </w:rPr>
        <w:t xml:space="preserve">Total Requested Funding: €650,000</w:t>
      </w:r>
      <w:r/>
    </w:p>
    <w:p>
      <w:pPr>
        <w:pBdr/>
        <w:spacing w:after="105" w:before="315" w:line="360" w:lineRule="auto"/>
        <w:ind w:left="-30"/>
        <w:jc w:val="left"/>
        <w:rPr/>
      </w:pPr>
      <w:r>
        <w:rPr>
          <w:rFonts w:ascii="inter" w:hAnsi="inter" w:eastAsia="inter" w:cs="inter"/>
          <w:b/>
          <w:color w:val="000000"/>
          <w:sz w:val="24"/>
        </w:rPr>
        <w:t xml:space="preserve">Implementation Timeline</w:t>
      </w:r>
      <w:r/>
    </w:p>
    <w:p>
      <w:pPr>
        <w:pBdr/>
        <w:spacing w:after="210" w:line="360" w:lineRule="auto"/>
        <w:ind/>
        <w:rPr/>
      </w:pPr>
      <w:r>
        <w:rPr>
          <w:rFonts w:ascii="inter" w:hAnsi="inter" w:eastAsia="inter" w:cs="inter"/>
          <w:b/>
          <w:color w:val="000000"/>
        </w:rPr>
        <w:t xml:space="preserve">Months 1-3:</w:t>
      </w:r>
      <w:r/>
    </w:p>
    <w:p>
      <w:pPr>
        <w:numPr>
          <w:ilvl w:val="0"/>
          <w:numId w:val="13"/>
        </w:numPr>
        <w:pBdr/>
        <w:spacing w:after="105" w:before="105" w:line="360" w:lineRule="auto"/>
        <w:ind/>
        <w:rPr/>
      </w:pPr>
      <w:r>
        <w:rPr>
          <w:rFonts w:ascii="inter" w:hAnsi="inter" w:eastAsia="inter" w:cs="inter"/>
          <w:color w:val="000000"/>
          <w:sz w:val="21"/>
        </w:rPr>
        <w:t xml:space="preserve">Project team formation</w:t>
      </w:r>
      <w:r/>
    </w:p>
    <w:p>
      <w:pPr>
        <w:numPr>
          <w:ilvl w:val="0"/>
          <w:numId w:val="13"/>
        </w:numPr>
        <w:pBdr/>
        <w:spacing w:after="105" w:before="105" w:line="360" w:lineRule="auto"/>
        <w:ind/>
        <w:rPr/>
      </w:pPr>
      <w:r>
        <w:rPr>
          <w:rFonts w:ascii="inter" w:hAnsi="inter" w:eastAsia="inter" w:cs="inter"/>
          <w:color w:val="000000"/>
          <w:sz w:val="21"/>
        </w:rPr>
        <w:t xml:space="preserve">Workshop curriculum finalization</w:t>
      </w:r>
      <w:r/>
    </w:p>
    <w:p>
      <w:pPr>
        <w:numPr>
          <w:ilvl w:val="0"/>
          <w:numId w:val="13"/>
        </w:numPr>
        <w:pBdr/>
        <w:spacing w:after="105" w:before="105" w:line="360" w:lineRule="auto"/>
        <w:ind/>
        <w:rPr/>
      </w:pPr>
      <w:r>
        <w:rPr>
          <w:rFonts w:ascii="inter" w:hAnsi="inter" w:eastAsia="inter" w:cs="inter"/>
          <w:color w:val="000000"/>
          <w:sz w:val="21"/>
        </w:rPr>
        <w:t xml:space="preserve">Location selection and scheduling</w:t>
      </w:r>
      <w:r/>
    </w:p>
    <w:p>
      <w:pPr>
        <w:numPr>
          <w:ilvl w:val="0"/>
          <w:numId w:val="13"/>
        </w:numPr>
        <w:pBdr/>
        <w:spacing w:after="105" w:before="105" w:line="360" w:lineRule="auto"/>
        <w:ind/>
        <w:rPr/>
      </w:pPr>
      <w:r>
        <w:rPr>
          <w:rFonts w:ascii="inter" w:hAnsi="inter" w:eastAsia="inter" w:cs="inter"/>
          <w:color w:val="000000"/>
          <w:sz w:val="21"/>
        </w:rPr>
        <w:t xml:space="preserve">Procurement of initial equipment</w:t>
      </w:r>
      <w:r/>
    </w:p>
    <w:p>
      <w:pPr>
        <w:pBdr/>
        <w:spacing w:after="210" w:line="360" w:lineRule="auto"/>
        <w:ind/>
        <w:rPr/>
      </w:pPr>
      <w:r>
        <w:rPr>
          <w:rFonts w:ascii="inter" w:hAnsi="inter" w:eastAsia="inter" w:cs="inter"/>
          <w:b/>
          <w:color w:val="000000"/>
        </w:rPr>
        <w:t xml:space="preserve">Months 4-20:</w:t>
      </w:r>
      <w:r/>
    </w:p>
    <w:p>
      <w:pPr>
        <w:numPr>
          <w:ilvl w:val="0"/>
          <w:numId w:val="14"/>
        </w:numPr>
        <w:pBdr/>
        <w:spacing w:after="105" w:before="105" w:line="360" w:lineRule="auto"/>
        <w:ind/>
        <w:rPr/>
      </w:pPr>
      <w:r>
        <w:rPr>
          <w:rFonts w:ascii="inter" w:hAnsi="inter" w:eastAsia="inter" w:cs="inter"/>
          <w:color w:val="000000"/>
          <w:sz w:val="21"/>
        </w:rPr>
        <w:t xml:space="preserve">Workshop implementation across selected locations</w:t>
      </w:r>
      <w:r/>
    </w:p>
    <w:p>
      <w:pPr>
        <w:numPr>
          <w:ilvl w:val="0"/>
          <w:numId w:val="14"/>
        </w:numPr>
        <w:pBdr/>
        <w:spacing w:after="105" w:before="105" w:line="360" w:lineRule="auto"/>
        <w:ind/>
        <w:rPr/>
      </w:pPr>
      <w:r>
        <w:rPr>
          <w:rFonts w:ascii="inter" w:hAnsi="inter" w:eastAsia="inter" w:cs="inter"/>
          <w:color w:val="000000"/>
          <w:sz w:val="21"/>
        </w:rPr>
        <w:t xml:space="preserve">Ongoing device deployment and network integration</w:t>
      </w:r>
      <w:r/>
    </w:p>
    <w:p>
      <w:pPr>
        <w:numPr>
          <w:ilvl w:val="0"/>
          <w:numId w:val="14"/>
        </w:numPr>
        <w:pBdr/>
        <w:spacing w:after="105" w:before="105" w:line="360" w:lineRule="auto"/>
        <w:ind/>
        <w:rPr/>
      </w:pPr>
      <w:r>
        <w:rPr>
          <w:rFonts w:ascii="inter" w:hAnsi="inter" w:eastAsia="inter" w:cs="inter"/>
          <w:color w:val="000000"/>
          <w:sz w:val="21"/>
        </w:rPr>
        <w:t xml:space="preserve">Real-time data collection and visualization</w:t>
      </w:r>
      <w:r/>
    </w:p>
    <w:p>
      <w:pPr>
        <w:pBdr/>
        <w:spacing w:after="210" w:line="360" w:lineRule="auto"/>
        <w:ind/>
        <w:rPr/>
      </w:pPr>
      <w:r>
        <w:rPr>
          <w:rFonts w:ascii="inter" w:hAnsi="inter" w:eastAsia="inter" w:cs="inter"/>
          <w:b/>
          <w:color w:val="000000"/>
        </w:rPr>
        <w:t xml:space="preserve">Months 21-24:</w:t>
      </w:r>
      <w:r/>
    </w:p>
    <w:p>
      <w:pPr>
        <w:numPr>
          <w:ilvl w:val="0"/>
          <w:numId w:val="15"/>
        </w:numPr>
        <w:pBdr/>
        <w:spacing w:after="105" w:before="105" w:line="360" w:lineRule="auto"/>
        <w:ind/>
        <w:rPr/>
      </w:pPr>
      <w:r>
        <w:rPr>
          <w:rFonts w:ascii="inter" w:hAnsi="inter" w:eastAsia="inter" w:cs="inter"/>
          <w:color w:val="000000"/>
          <w:sz w:val="21"/>
        </w:rPr>
        <w:t xml:space="preserve">Final workshops and device deployment</w:t>
      </w:r>
      <w:r/>
    </w:p>
    <w:p>
      <w:pPr>
        <w:numPr>
          <w:ilvl w:val="0"/>
          <w:numId w:val="15"/>
        </w:numPr>
        <w:pBdr/>
        <w:spacing w:after="105" w:before="105" w:line="360" w:lineRule="auto"/>
        <w:ind/>
        <w:rPr/>
      </w:pPr>
      <w:r>
        <w:rPr>
          <w:rFonts w:ascii="inter" w:hAnsi="inter" w:eastAsia="inter" w:cs="inter"/>
          <w:color w:val="000000"/>
          <w:sz w:val="21"/>
        </w:rPr>
        <w:t xml:space="preserve">Comprehensive evaluation</w:t>
      </w:r>
      <w:r/>
    </w:p>
    <w:p>
      <w:pPr>
        <w:numPr>
          <w:ilvl w:val="0"/>
          <w:numId w:val="15"/>
        </w:numPr>
        <w:pBdr/>
        <w:spacing w:after="105" w:before="105" w:line="360" w:lineRule="auto"/>
        <w:ind/>
        <w:rPr/>
      </w:pPr>
      <w:r>
        <w:rPr>
          <w:rFonts w:ascii="inter" w:hAnsi="inter" w:eastAsia="inter" w:cs="inter"/>
          <w:color w:val="000000"/>
          <w:sz w:val="21"/>
        </w:rPr>
        <w:t xml:space="preserve">Sustainability planning and final reporting</w:t>
      </w:r>
      <w:r/>
    </w:p>
    <w:p>
      <w:pPr>
        <w:pBdr/>
        <w:spacing w:after="105" w:before="315" w:line="360" w:lineRule="auto"/>
        <w:ind w:left="-30"/>
        <w:jc w:val="left"/>
        <w:rPr/>
      </w:pPr>
      <w:r>
        <w:rPr>
          <w:rFonts w:ascii="inter" w:hAnsi="inter" w:eastAsia="inter" w:cs="inter"/>
          <w:b/>
          <w:color w:val="000000"/>
          <w:sz w:val="24"/>
        </w:rPr>
        <w:t xml:space="preserve">Organizational Capacity</w:t>
      </w:r>
      <w:r/>
    </w:p>
    <w:p>
      <w:pPr>
        <w:pBdr/>
        <w:spacing w:after="210" w:line="360" w:lineRule="auto"/>
        <w:ind/>
        <w:rPr/>
      </w:pPr>
      <w:r>
        <w:rPr>
          <w:rFonts w:ascii="inter" w:hAnsi="inter" w:eastAsia="inter" w:cs="inter"/>
          <w:color w:val="000000"/>
        </w:rPr>
        <w:t xml:space="preserve">Safecast brings 13 years of expertise in citizen-based radiation monitoring, having successfully:</w:t>
      </w:r>
      <w:r/>
    </w:p>
    <w:p>
      <w:pPr>
        <w:numPr>
          <w:ilvl w:val="0"/>
          <w:numId w:val="16"/>
        </w:numPr>
        <w:pBdr/>
        <w:spacing w:after="105" w:before="105" w:line="360" w:lineRule="auto"/>
        <w:ind/>
        <w:rPr/>
      </w:pPr>
      <w:r>
        <w:rPr>
          <w:rFonts w:ascii="inter" w:hAnsi="inter" w:eastAsia="inter" w:cs="inter"/>
          <w:color w:val="000000"/>
          <w:sz w:val="21"/>
        </w:rPr>
        <w:t xml:space="preserve">Conducted similar workshops globally</w:t>
      </w:r>
      <w:r/>
    </w:p>
    <w:p>
      <w:pPr>
        <w:numPr>
          <w:ilvl w:val="0"/>
          <w:numId w:val="16"/>
        </w:numPr>
        <w:pBdr/>
        <w:spacing w:after="105" w:before="105" w:line="360" w:lineRule="auto"/>
        <w:ind/>
        <w:rPr/>
      </w:pPr>
      <w:r>
        <w:rPr>
          <w:rFonts w:ascii="inter" w:hAnsi="inter" w:eastAsia="inter" w:cs="inter"/>
          <w:color w:val="000000"/>
          <w:sz w:val="21"/>
        </w:rPr>
        <w:t xml:space="preserve">Developed the open-source bGeigieZen technology</w:t>
      </w:r>
      <w:r/>
    </w:p>
    <w:p>
      <w:pPr>
        <w:numPr>
          <w:ilvl w:val="0"/>
          <w:numId w:val="16"/>
        </w:numPr>
        <w:pBdr/>
        <w:spacing w:after="105" w:before="105" w:line="360" w:lineRule="auto"/>
        <w:ind/>
        <w:rPr/>
      </w:pPr>
      <w:r>
        <w:rPr>
          <w:rFonts w:ascii="inter" w:hAnsi="inter" w:eastAsia="inter" w:cs="inter"/>
          <w:color w:val="000000"/>
          <w:sz w:val="21"/>
        </w:rPr>
        <w:t xml:space="preserve">Created and maintained the world's largest open radiation dataset</w:t>
      </w:r>
      <w:r/>
    </w:p>
    <w:p>
      <w:pPr>
        <w:numPr>
          <w:ilvl w:val="0"/>
          <w:numId w:val="16"/>
        </w:numPr>
        <w:pBdr/>
        <w:spacing w:after="105" w:before="105" w:line="360" w:lineRule="auto"/>
        <w:ind/>
        <w:rPr/>
      </w:pPr>
      <w:r>
        <w:rPr>
          <w:rFonts w:ascii="inter" w:hAnsi="inter" w:eastAsia="inter" w:cs="inter"/>
          <w:color w:val="000000"/>
          <w:sz w:val="21"/>
        </w:rPr>
        <w:t xml:space="preserve">Built partnerships with scientific institutions, governments, and communities</w:t>
      </w:r>
      <w:r/>
    </w:p>
    <w:p>
      <w:pPr>
        <w:pBdr/>
        <w:spacing w:after="210" w:line="360" w:lineRule="auto"/>
        <w:ind/>
        <w:rPr/>
      </w:pPr>
      <w:r>
        <w:rPr>
          <w:rFonts w:ascii="inter" w:hAnsi="inter" w:eastAsia="inter" w:cs="inter"/>
          <w:color w:val="000000"/>
        </w:rPr>
        <w:t xml:space="preserve">This established track record ensures efficient implementation and effective knowledge transfer throughout the project duration.</w:t>
      </w:r>
      <w:r/>
    </w:p>
    <w:p>
      <w:pPr>
        <w:pBdr/>
        <w:spacing w:after="105" w:before="315" w:line="360" w:lineRule="auto"/>
        <w:ind w:left="-30"/>
        <w:jc w:val="left"/>
        <w:rPr/>
      </w:pPr>
      <w:r>
        <w:rPr>
          <w:rFonts w:ascii="inter" w:hAnsi="inter" w:eastAsia="inter" w:cs="inter"/>
          <w:b/>
          <w:color w:val="000000"/>
          <w:sz w:val="24"/>
        </w:rPr>
        <w:t xml:space="preserve">Evaluation Framework</w:t>
      </w:r>
      <w:r/>
    </w:p>
    <w:p>
      <w:pPr>
        <w:pBdr/>
        <w:spacing w:after="210" w:line="360" w:lineRule="auto"/>
        <w:ind/>
        <w:rPr/>
      </w:pPr>
      <w:r>
        <w:rPr>
          <w:rFonts w:ascii="inter" w:hAnsi="inter" w:eastAsia="inter" w:cs="inter"/>
          <w:color w:val="000000"/>
        </w:rPr>
        <w:t xml:space="preserve">The project will implement a comprehensive evaluation strategy:</w:t>
      </w:r>
      <w:r/>
    </w:p>
    <w:p>
      <w:pPr>
        <w:numPr>
          <w:ilvl w:val="0"/>
          <w:numId w:val="17"/>
        </w:numPr>
        <w:pBdr/>
        <w:spacing w:after="105" w:before="105" w:line="360" w:lineRule="auto"/>
        <w:ind/>
        <w:rPr/>
      </w:pPr>
      <w:r>
        <w:rPr>
          <w:rFonts w:ascii="inter" w:hAnsi="inter" w:eastAsia="inter" w:cs="inter"/>
          <w:b/>
          <w:color w:val="000000"/>
          <w:sz w:val="21"/>
        </w:rPr>
        <w:t xml:space="preserve">Quantitative Metrics</w:t>
      </w:r>
      <w:r>
        <w:rPr>
          <w:rFonts w:ascii="inter" w:hAnsi="inter" w:eastAsia="inter" w:cs="inter"/>
          <w:color w:val="000000"/>
          <w:sz w:val="21"/>
        </w:rPr>
        <w:t xml:space="preserve">: Number of devices deployed, data points collected, geographical coverage achieved</w:t>
      </w:r>
      <w:r/>
    </w:p>
    <w:p>
      <w:pPr>
        <w:numPr>
          <w:ilvl w:val="0"/>
          <w:numId w:val="17"/>
        </w:numPr>
        <w:pBdr/>
        <w:spacing w:after="105" w:before="105" w:line="360" w:lineRule="auto"/>
        <w:ind/>
        <w:rPr/>
      </w:pPr>
      <w:r>
        <w:rPr>
          <w:rFonts w:ascii="inter" w:hAnsi="inter" w:eastAsia="inter" w:cs="inter"/>
          <w:b/>
          <w:color w:val="000000"/>
          <w:sz w:val="21"/>
        </w:rPr>
        <w:t xml:space="preserve">Qualitative Assessment</w:t>
      </w:r>
      <w:r>
        <w:rPr>
          <w:rFonts w:ascii="inter" w:hAnsi="inter" w:eastAsia="inter" w:cs="inter"/>
          <w:color w:val="000000"/>
          <w:sz w:val="21"/>
        </w:rPr>
        <w:t xml:space="preserve">: Participant surveys, community impact interviews</w:t>
      </w:r>
      <w:r/>
    </w:p>
    <w:p>
      <w:pPr>
        <w:numPr>
          <w:ilvl w:val="0"/>
          <w:numId w:val="17"/>
        </w:numPr>
        <w:pBdr/>
        <w:spacing w:after="105" w:before="105" w:line="360" w:lineRule="auto"/>
        <w:ind/>
        <w:rPr/>
      </w:pPr>
      <w:r>
        <w:rPr>
          <w:rFonts w:ascii="inter" w:hAnsi="inter" w:eastAsia="inter" w:cs="inter"/>
          <w:b/>
          <w:color w:val="000000"/>
          <w:sz w:val="21"/>
        </w:rPr>
        <w:t xml:space="preserve">Scientific Validation</w:t>
      </w:r>
      <w:r>
        <w:rPr>
          <w:rFonts w:ascii="inter" w:hAnsi="inter" w:eastAsia="inter" w:cs="inter"/>
          <w:color w:val="000000"/>
          <w:sz w:val="21"/>
        </w:rPr>
        <w:t xml:space="preserve">: Data quality assessment by independent researchers</w:t>
      </w:r>
      <w:r/>
    </w:p>
    <w:p>
      <w:pPr>
        <w:numPr>
          <w:ilvl w:val="0"/>
          <w:numId w:val="17"/>
        </w:numPr>
        <w:pBdr/>
        <w:spacing w:after="105" w:before="105" w:line="360" w:lineRule="auto"/>
        <w:ind/>
        <w:rPr/>
      </w:pPr>
      <w:r>
        <w:rPr>
          <w:rFonts w:ascii="inter" w:hAnsi="inter" w:eastAsia="inter" w:cs="inter"/>
          <w:b/>
          <w:color w:val="000000"/>
          <w:sz w:val="21"/>
        </w:rPr>
        <w:t xml:space="preserve">Sustainability Indicators</w:t>
      </w:r>
      <w:r>
        <w:rPr>
          <w:rFonts w:ascii="inter" w:hAnsi="inter" w:eastAsia="inter" w:cs="inter"/>
          <w:color w:val="000000"/>
          <w:sz w:val="21"/>
        </w:rPr>
        <w:t xml:space="preserve">: Continued device operation, community ownership measures</w:t>
      </w:r>
      <w:r/>
    </w:p>
    <w:p>
      <w:pPr>
        <w:pBdr/>
        <w:spacing w:after="105" w:before="315" w:line="360" w:lineRule="auto"/>
        <w:ind w:left="-30"/>
        <w:jc w:val="left"/>
        <w:rPr/>
      </w:pPr>
      <w:r>
        <w:rPr>
          <w:rFonts w:ascii="inter" w:hAnsi="inter" w:eastAsia="inter" w:cs="inter"/>
          <w:b/>
          <w:color w:val="000000"/>
          <w:sz w:val="24"/>
        </w:rPr>
        <w:t xml:space="preserve">Funding Pathway Recommendation</w:t>
      </w:r>
      <w:r/>
    </w:p>
    <w:p>
      <w:pPr>
        <w:pBdr/>
        <w:spacing w:after="210" w:line="360" w:lineRule="auto"/>
        <w:ind/>
        <w:rPr/>
      </w:pPr>
      <w:r>
        <w:rPr>
          <w:rFonts w:ascii="inter" w:hAnsi="inter" w:eastAsia="inter" w:cs="inter"/>
          <w:color w:val="000000"/>
        </w:rPr>
        <w:t xml:space="preserve">Based on alignment with program objectives, we recommend submitting this proposal to:</w:t>
      </w:r>
      <w:r/>
    </w:p>
    <w:p>
      <w:pPr>
        <w:numPr>
          <w:ilvl w:val="0"/>
          <w:numId w:val="18"/>
        </w:numPr>
        <w:pBdr/>
        <w:spacing w:after="210" w:line="360" w:lineRule="auto"/>
        <w:ind/>
        <w:rPr/>
      </w:pPr>
      <w:r>
        <w:rPr>
          <w:rFonts w:ascii="inter" w:hAnsi="inter" w:eastAsia="inter" w:cs="inter"/>
          <w:b/>
          <w:color w:val="000000"/>
          <w:sz w:val="21"/>
        </w:rPr>
        <w:t xml:space="preserve">Primary Option</w:t>
      </w:r>
      <w:r>
        <w:rPr>
          <w:rFonts w:ascii="inter" w:hAnsi="inter" w:eastAsia="inter" w:cs="inter"/>
          <w:color w:val="000000"/>
          <w:sz w:val="21"/>
        </w:rPr>
        <w:t xml:space="preserve">: Horizon Europe - specifically targeting the "Engaging citizens in science" or "Environmental observation" funding streams</w:t>
      </w:r>
      <w:bookmarkStart w:id="8" w:name="fnref3:2"/>
      <w:r/>
      <w:bookmarkEnd w:id="8"/>
      <w:r/>
      <w:hyperlink w:tooltip="#fn3" w:anchor="fn3" w:history="1">
        <w:r>
          <w:rPr>
            <w:rFonts w:ascii="inter" w:hAnsi="inter" w:eastAsia="inter" w:cs="inter"/>
            <w:color w:val="000000"/>
            <w:sz w:val="21"/>
            <w:u w:val="single"/>
            <w:vertAlign w:val="superscript"/>
          </w:rPr>
          <w:t xml:space="preserve">[3]</w:t>
        </w:r>
      </w:hyperlink>
      <w:r/>
      <w:bookmarkStart w:id="9" w:name="fnref6"/>
      <w:r/>
      <w:bookmarkEnd w:id="9"/>
      <w:r/>
      <w:hyperlink w:tooltip="#fn6" w:anchor="fn6" w:history="1">
        <w:r>
          <w:rPr>
            <w:rFonts w:ascii="inter" w:hAnsi="inter" w:eastAsia="inter" w:cs="inter"/>
            <w:color w:val="000000"/>
            <w:sz w:val="21"/>
            <w:u w:val="single"/>
            <w:vertAlign w:val="superscript"/>
          </w:rPr>
          <w:t xml:space="preserve">[6]</w:t>
        </w:r>
      </w:hyperlink>
      <w:r>
        <w:rPr>
          <w:rFonts w:ascii="inter" w:hAnsi="inter" w:eastAsia="inter" w:cs="inter"/>
          <w:color w:val="000000"/>
          <w:sz w:val="21"/>
        </w:rPr>
        <w:t xml:space="preserve">.</w:t>
      </w:r>
      <w:r/>
    </w:p>
    <w:p>
      <w:pPr>
        <w:numPr>
          <w:ilvl w:val="0"/>
          <w:numId w:val="18"/>
        </w:numPr>
        <w:pBdr/>
        <w:spacing w:after="210" w:line="360" w:lineRule="auto"/>
        <w:ind/>
        <w:rPr/>
      </w:pPr>
      <w:r>
        <w:rPr>
          <w:rFonts w:ascii="inter" w:hAnsi="inter" w:eastAsia="inter" w:cs="inter"/>
          <w:b/>
          <w:color w:val="000000"/>
          <w:sz w:val="21"/>
        </w:rPr>
        <w:t xml:space="preserve">Alternative Options</w:t>
      </w:r>
      <w:r>
        <w:rPr>
          <w:rFonts w:ascii="inter" w:hAnsi="inter" w:eastAsia="inter" w:cs="inter"/>
          <w:color w:val="000000"/>
          <w:sz w:val="21"/>
        </w:rPr>
        <w:t xml:space="preserve">:</w:t>
      </w:r>
      <w:r/>
    </w:p>
    <w:p>
      <w:pPr>
        <w:numPr>
          <w:ilvl w:val="1"/>
          <w:numId w:val="18"/>
        </w:numPr>
        <w:pBdr/>
        <w:spacing w:after="105" w:before="105" w:line="360" w:lineRule="auto"/>
        <w:ind/>
        <w:rPr/>
      </w:pPr>
      <w:r>
        <w:rPr>
          <w:rFonts w:ascii="inter" w:hAnsi="inter" w:eastAsia="inter" w:cs="inter"/>
          <w:color w:val="000000"/>
          <w:sz w:val="21"/>
        </w:rPr>
        <w:t xml:space="preserve">Digital Europe Program (digital skills component)</w:t>
      </w:r>
      <w:bookmarkStart w:id="10" w:name="fnref3:3"/>
      <w:r/>
      <w:bookmarkEnd w:id="10"/>
      <w:r/>
      <w:hyperlink w:tooltip="#fn3" w:anchor="fn3" w:history="1">
        <w:r>
          <w:rPr>
            <w:rFonts w:ascii="inter" w:hAnsi="inter" w:eastAsia="inter" w:cs="inter"/>
            <w:color w:val="000000"/>
            <w:sz w:val="21"/>
            <w:u w:val="single"/>
            <w:vertAlign w:val="superscript"/>
          </w:rPr>
          <w:t xml:space="preserve">[3]</w:t>
        </w:r>
      </w:hyperlink>
      <w:r/>
      <w:r/>
    </w:p>
    <w:p>
      <w:pPr>
        <w:numPr>
          <w:ilvl w:val="1"/>
          <w:numId w:val="18"/>
        </w:numPr>
        <w:pBdr/>
        <w:spacing w:after="105" w:before="105" w:line="360" w:lineRule="auto"/>
        <w:ind/>
        <w:rPr/>
      </w:pPr>
      <w:r>
        <w:rPr>
          <w:rFonts w:ascii="inter" w:hAnsi="inter" w:eastAsia="inter" w:cs="inter"/>
          <w:color w:val="000000"/>
          <w:sz w:val="21"/>
        </w:rPr>
        <w:t xml:space="preserve">Environment and Climate Action (LIFE) Program (environmental monitoring component)</w:t>
      </w:r>
      <w:bookmarkStart w:id="11" w:name="fnref3:4"/>
      <w:r/>
      <w:bookmarkEnd w:id="11"/>
      <w:r/>
      <w:hyperlink w:tooltip="#fn3" w:anchor="fn3" w:history="1">
        <w:r>
          <w:rPr>
            <w:rFonts w:ascii="inter" w:hAnsi="inter" w:eastAsia="inter" w:cs="inter"/>
            <w:color w:val="000000"/>
            <w:sz w:val="21"/>
            <w:u w:val="single"/>
            <w:vertAlign w:val="superscript"/>
          </w:rPr>
          <w:t xml:space="preserve">[3]</w:t>
        </w:r>
      </w:hyperlink>
      <w:r/>
      <w:r/>
    </w:p>
    <w:p>
      <w:pPr>
        <w:numPr>
          <w:ilvl w:val="1"/>
          <w:numId w:val="18"/>
        </w:numPr>
        <w:pBdr/>
        <w:spacing w:after="105" w:before="105" w:line="360" w:lineRule="auto"/>
        <w:ind/>
        <w:rPr/>
      </w:pPr>
      <w:r>
        <w:rPr>
          <w:rFonts w:ascii="inter" w:hAnsi="inter" w:eastAsia="inter" w:cs="inter"/>
          <w:color w:val="000000"/>
          <w:sz w:val="21"/>
        </w:rPr>
        <w:t xml:space="preserve">Citizens, Equality, Rights and Values (CERV) Program (community empowerment component)</w:t>
      </w:r>
      <w:bookmarkStart w:id="12" w:name="fnref3:5"/>
      <w:r/>
      <w:bookmarkEnd w:id="12"/>
      <w:r/>
      <w:hyperlink w:tooltip="#fn3" w:anchor="fn3" w:history="1">
        <w:r>
          <w:rPr>
            <w:rFonts w:ascii="inter" w:hAnsi="inter" w:eastAsia="inter" w:cs="inter"/>
            <w:color w:val="000000"/>
            <w:sz w:val="21"/>
            <w:u w:val="single"/>
            <w:vertAlign w:val="superscript"/>
          </w:rPr>
          <w:t xml:space="preserve">[3]</w:t>
        </w:r>
      </w:hyperlink>
      <w:r/>
      <w:bookmarkStart w:id="13" w:name="fnref6:1"/>
      <w:r/>
      <w:bookmarkEnd w:id="13"/>
      <w:r/>
      <w:hyperlink w:tooltip="#fn6" w:anchor="fn6" w:history="1">
        <w:r>
          <w:rPr>
            <w:rFonts w:ascii="inter" w:hAnsi="inter" w:eastAsia="inter" w:cs="inter"/>
            <w:color w:val="000000"/>
            <w:sz w:val="21"/>
            <w:u w:val="single"/>
            <w:vertAlign w:val="superscript"/>
          </w:rPr>
          <w:t xml:space="preserve">[6]</w:t>
        </w:r>
      </w:hyperlink>
      <w:r/>
      <w:r/>
    </w:p>
    <w:p>
      <w:pPr>
        <w:pBdr/>
        <w:spacing w:after="105" w:before="315" w:line="360" w:lineRule="auto"/>
        <w:ind w:left="-30"/>
        <w:jc w:val="left"/>
        <w:rPr/>
      </w:pPr>
      <w:r>
        <w:rPr>
          <w:rFonts w:ascii="inter" w:hAnsi="inter" w:eastAsia="inter" w:cs="inter"/>
          <w:b/>
          <w:color w:val="000000"/>
          <w:sz w:val="24"/>
        </w:rPr>
        <w:t xml:space="preserve">Conclusion</w:t>
      </w:r>
      <w:r/>
    </w:p>
    <w:p>
      <w:pPr>
        <w:pBdr/>
        <w:spacing w:after="210" w:line="360" w:lineRule="auto"/>
        <w:ind/>
        <w:rPr/>
      </w:pPr>
      <w:r>
        <w:rPr>
          <w:rFonts w:ascii="inter" w:hAnsi="inter" w:eastAsia="inter" w:cs="inter"/>
          <w:color w:val="000000"/>
        </w:rPr>
        <w:t xml:space="preserve">The "Open=Safe" project represents a strategic opportunity to leverage citizen science for enhanced enviro</w:t>
      </w:r>
      <w:r>
        <w:rPr>
          <w:rFonts w:ascii="inter" w:hAnsi="inter" w:eastAsia="inter" w:cs="inter"/>
          <w:color w:val="000000"/>
        </w:rPr>
        <w:t xml:space="preserve">nmental monitoring across Europe. By combining Safecast's proven methodology with EU funding support, this initiative will create lasting infrastructure for radiation monitoring while empowering communities through open technology and scientific education.</w:t>
      </w:r>
      <w:r/>
    </w:p>
    <w:p>
      <w:pPr>
        <w:pBdr/>
        <w:spacing w:after="210" w:line="360" w:lineRule="auto"/>
        <w:ind/>
        <w:rPr/>
      </w:pPr>
      <w:r>
        <w:rPr>
          <w:rFonts w:ascii="inter" w:hAnsi="inter" w:eastAsia="inter" w:cs="inter"/>
          <w:color w:val="000000"/>
        </w:rPr>
        <w:t xml:space="preserve">Through this project, the EU can demonstrate its commitment to innovative approaches to environmental safety, citizen empowerment, and scientific literacy—creating a more open and safer Europe for all citizens.</w:t>
      </w:r>
      <w:r/>
    </w:p>
    <w:p>
      <w:pPr>
        <w:pBdr/>
        <w:spacing w:line="360" w:lineRule="auto"/>
        <w:ind/>
        <w:rPr/>
      </w:pPr>
      <w:r>
        <w:rPr>
          <w:rFonts w:ascii="inter" w:hAnsi="inter" w:eastAsia="inter" w:cs="inter"/>
          <w:color w:val="000000"/>
        </w:rPr>
        <w:t xml:space="preserve">⁂</w:t>
      </w:r>
      <w:r/>
    </w:p>
    <w:p>
      <w:pPr>
        <w:pBdr/>
        <w:spacing w:after="0" w:before="210" w:line="360" w:lineRule="auto"/>
        <w:ind/>
        <w:rPr/>
      </w:pPr>
      <w:r>
        <mc:AlternateContent>
          <mc:Choice Requires="wpg">
            <w:drawing>
              <wp:inline xmlns:wp="http://schemas.openxmlformats.org/drawingml/2006/wordprocessingDrawing" distT="0" distB="0" distL="0" distR="0">
                <wp:extent cx="6038850" cy="635"/>
                <wp:effectExtent l="0" t="0" r="0" b="0"/>
                <wp:docPr id="1" name=""/>
                <wp:cNvGraphicFramePr/>
                <a:graphic xmlns:a="http://schemas.openxmlformats.org/drawingml/2006/main">
                  <a:graphicData uri="http://schemas.microsoft.com/office/word/2010/wordprocessingShape">
                    <wps:wsp>
                      <wps:cNvPr id="0" name=""/>
                      <wps:cNvSpPr/>
                      <wps:spPr bwMode="auto">
                        <a:xfrm>
                          <a:off x="0" y="0"/>
                          <a:ext cx="6038850" cy="635"/>
                        </a:xfrm>
                        <a:prstGeom prst="rect">
                          <a:avLst/>
                        </a:prstGeom>
                        <a:solidFill>
                          <a:srgbClr val="FFFFFF"/>
                        </a:solidFill>
                        <a:ln>
                          <a:solidFill>
                            <a:srgbClr val="000000"/>
                          </a:solidFill>
                        </a:ln>
                      </wps:spPr>
                      <wps:bodyPr rot="0">
                        <a:prstTxWarp prst="textNoShape">
                          <a:avLst/>
                        </a:prstTxWarp>
                        <a:noAutofit/>
                      </wps:bodyPr>
                    </wps:wsp>
                  </a:graphicData>
                </a:graphic>
              </wp:inline>
            </w:drawing>
          </mc:Choice>
          <mc:Fallback>
            <w:pict>
              <v:shape id="shape 0" o:spid="_x0000_s0" o:spt="1" type="#_x0000_t1" style="width:475.50pt;height:0.05pt;mso-wrap-distance-left:0.00pt;mso-wrap-distance-top:0.00pt;mso-wrap-distance-right:0.00pt;mso-wrap-distance-bottom:0.00pt;visibility:visible;" fillcolor="#FFFFFF" strokecolor="#000000"/>
            </w:pict>
          </mc:Fallback>
        </mc:AlternateContent>
      </w:r>
      <w:r/>
    </w:p>
    <w:p>
      <w:pPr>
        <w:numPr>
          <w:ilvl w:val="0"/>
          <w:numId w:val="20"/>
        </w:numPr>
        <w:pBdr/>
        <w:spacing w:after="210" w:line="360" w:lineRule="auto"/>
        <w:ind/>
        <w:rPr/>
      </w:pPr>
      <w:r/>
      <w:bookmarkStart w:id="14" w:name="fn1"/>
      <w:r/>
      <w:bookmarkEnd w:id="14"/>
      <w:r/>
      <w:hyperlink r:id="rId9" w:tooltip="https://www.semanticscholar.org/paper/192d075b422ef5d81edee6473fccfba22f33ccc1" w:history="1">
        <w:r>
          <w:rPr>
            <w:rFonts w:ascii="inter" w:hAnsi="inter" w:eastAsia="inter" w:cs="inter"/>
            <w:color w:val="000000"/>
            <w:sz w:val="18"/>
            <w:u w:val="single"/>
          </w:rPr>
          <w:t xml:space="preserve">https://www.semanticscholar.org/paper/192d075b422ef5d81edee6473fccfba22f33ccc1</w:t>
        </w:r>
      </w:hyperlink>
      <w:r>
        <w:rPr>
          <w:rFonts w:ascii="inter" w:hAnsi="inter" w:eastAsia="inter" w:cs="inter"/>
          <w:color w:val="000000"/>
          <w:sz w:val="18"/>
        </w:rPr>
        <w:t xml:space="preserve"> </w:t>
      </w:r>
      <w:r/>
    </w:p>
    <w:p>
      <w:pPr>
        <w:numPr>
          <w:ilvl w:val="0"/>
          <w:numId w:val="20"/>
        </w:numPr>
        <w:pBdr/>
        <w:spacing w:after="210" w:line="360" w:lineRule="auto"/>
        <w:ind/>
        <w:rPr/>
      </w:pPr>
      <w:r/>
      <w:bookmarkStart w:id="15" w:name="fn2"/>
      <w:r/>
      <w:bookmarkEnd w:id="15"/>
      <w:r/>
      <w:hyperlink r:id="rId10" w:tooltip="https://www.ncbi.nlm.nih.gov/pmc/articles/PMC10596815/" w:history="1">
        <w:r>
          <w:rPr>
            <w:rFonts w:ascii="inter" w:hAnsi="inter" w:eastAsia="inter" w:cs="inter"/>
            <w:color w:val="000000"/>
            <w:sz w:val="18"/>
            <w:u w:val="single"/>
          </w:rPr>
          <w:t xml:space="preserve">https://www.ncbi.nlm.nih.gov/pmc/articles/PMC10596815/</w:t>
        </w:r>
      </w:hyperlink>
      <w:r>
        <w:rPr>
          <w:rFonts w:ascii="inter" w:hAnsi="inter" w:eastAsia="inter" w:cs="inter"/>
          <w:color w:val="000000"/>
          <w:sz w:val="18"/>
        </w:rPr>
        <w:t xml:space="preserve"> </w:t>
      </w:r>
      <w:r>
        <w:rPr>
          <w:rFonts w:ascii="inter" w:hAnsi="inter" w:eastAsia="inter" w:cs="inter"/>
          <w:color w:val="000000"/>
          <w:sz w:val="18"/>
        </w:rPr>
        <w:t xml:space="preserve"> </w:t>
      </w:r>
      <w:r>
        <w:rPr>
          <w:rFonts w:ascii="inter" w:hAnsi="inter" w:eastAsia="inter" w:cs="inter"/>
          <w:color w:val="000000"/>
          <w:sz w:val="18"/>
        </w:rPr>
        <w:t xml:space="preserve"> </w:t>
      </w:r>
      <w:r/>
    </w:p>
    <w:p>
      <w:pPr>
        <w:numPr>
          <w:ilvl w:val="0"/>
          <w:numId w:val="20"/>
        </w:numPr>
        <w:pBdr/>
        <w:spacing w:after="210" w:line="360" w:lineRule="auto"/>
        <w:ind/>
        <w:rPr/>
      </w:pPr>
      <w:r/>
      <w:bookmarkStart w:id="16" w:name="fn3"/>
      <w:r/>
      <w:bookmarkEnd w:id="16"/>
      <w:r/>
      <w:hyperlink r:id="rId11" w:tooltip="https://webgate.ec.europa.eu/funding-tenders-opportunities/pages/viewpage.action?pageId=1867921" w:history="1">
        <w:r>
          <w:rPr>
            <w:rFonts w:ascii="inter" w:hAnsi="inter" w:eastAsia="inter" w:cs="inter"/>
            <w:color w:val="000000"/>
            <w:sz w:val="18"/>
            <w:u w:val="single"/>
          </w:rPr>
          <w:t xml:space="preserve">https://webgate.ec.europa.eu/funding-tenders-opportunities/pages/viewpage.action?pageId=1867921</w:t>
        </w:r>
      </w:hyperlink>
      <w:r>
        <w:rPr>
          <w:rFonts w:ascii="inter" w:hAnsi="inter" w:eastAsia="inter" w:cs="inter"/>
          <w:color w:val="000000"/>
          <w:sz w:val="18"/>
        </w:rPr>
        <w:t xml:space="preserve"> </w:t>
      </w:r>
      <w:r>
        <w:rPr>
          <w:rFonts w:ascii="inter" w:hAnsi="inter" w:eastAsia="inter" w:cs="inter"/>
          <w:color w:val="000000"/>
          <w:sz w:val="18"/>
        </w:rPr>
        <w:t xml:space="preserve"> </w:t>
      </w:r>
      <w:r>
        <w:rPr>
          <w:rFonts w:ascii="inter" w:hAnsi="inter" w:eastAsia="inter" w:cs="inter"/>
          <w:color w:val="000000"/>
          <w:sz w:val="18"/>
        </w:rPr>
        <w:t xml:space="preserve"> </w:t>
      </w:r>
      <w:r>
        <w:rPr>
          <w:rFonts w:ascii="inter" w:hAnsi="inter" w:eastAsia="inter" w:cs="inter"/>
          <w:color w:val="000000"/>
          <w:sz w:val="18"/>
        </w:rPr>
        <w:t xml:space="preserve"> </w:t>
      </w:r>
      <w:r>
        <w:rPr>
          <w:rFonts w:ascii="inter" w:hAnsi="inter" w:eastAsia="inter" w:cs="inter"/>
          <w:color w:val="000000"/>
          <w:sz w:val="18"/>
        </w:rPr>
        <w:t xml:space="preserve"> </w:t>
      </w:r>
      <w:r>
        <w:rPr>
          <w:rFonts w:ascii="inter" w:hAnsi="inter" w:eastAsia="inter" w:cs="inter"/>
          <w:color w:val="000000"/>
          <w:sz w:val="18"/>
        </w:rPr>
        <w:t xml:space="preserve"> </w:t>
      </w:r>
      <w:r/>
    </w:p>
    <w:p>
      <w:pPr>
        <w:numPr>
          <w:ilvl w:val="0"/>
          <w:numId w:val="20"/>
        </w:numPr>
        <w:pBdr/>
        <w:spacing w:after="210" w:line="360" w:lineRule="auto"/>
        <w:ind/>
        <w:rPr/>
      </w:pPr>
      <w:r/>
      <w:bookmarkStart w:id="17" w:name="fn4"/>
      <w:r/>
      <w:bookmarkEnd w:id="17"/>
      <w:r/>
      <w:hyperlink r:id="rId12" w:tooltip="https://www.semanticscholar.org/paper/6c149a64b08ad8a0029d3a9d6affa15d3ae27fad" w:history="1">
        <w:r>
          <w:rPr>
            <w:rFonts w:ascii="inter" w:hAnsi="inter" w:eastAsia="inter" w:cs="inter"/>
            <w:color w:val="000000"/>
            <w:sz w:val="18"/>
            <w:u w:val="single"/>
          </w:rPr>
          <w:t xml:space="preserve">https://www.semanticscholar.org/paper/6c149a64b08ad8a0029d3a9d6affa15d3ae27fad</w:t>
        </w:r>
      </w:hyperlink>
      <w:r>
        <w:rPr>
          <w:rFonts w:ascii="inter" w:hAnsi="inter" w:eastAsia="inter" w:cs="inter"/>
          <w:color w:val="000000"/>
          <w:sz w:val="18"/>
        </w:rPr>
        <w:t xml:space="preserve"> </w:t>
      </w:r>
      <w:r/>
    </w:p>
    <w:p>
      <w:pPr>
        <w:numPr>
          <w:ilvl w:val="0"/>
          <w:numId w:val="20"/>
        </w:numPr>
        <w:pBdr/>
        <w:spacing w:after="210" w:line="360" w:lineRule="auto"/>
        <w:ind/>
        <w:rPr/>
      </w:pPr>
      <w:r/>
      <w:bookmarkStart w:id="18" w:name="fn5"/>
      <w:r/>
      <w:bookmarkEnd w:id="18"/>
      <w:r/>
      <w:hyperlink r:id="rId13" w:tooltip="https://pubmed.ncbi.nlm.nih.gov/39194959/" w:history="1">
        <w:r>
          <w:rPr>
            <w:rFonts w:ascii="inter" w:hAnsi="inter" w:eastAsia="inter" w:cs="inter"/>
            <w:color w:val="000000"/>
            <w:sz w:val="18"/>
            <w:u w:val="single"/>
          </w:rPr>
          <w:t xml:space="preserve">https://pubmed.ncbi.nlm.nih.gov/39194959/</w:t>
        </w:r>
      </w:hyperlink>
      <w:r>
        <w:rPr>
          <w:rFonts w:ascii="inter" w:hAnsi="inter" w:eastAsia="inter" w:cs="inter"/>
          <w:color w:val="000000"/>
          <w:sz w:val="18"/>
        </w:rPr>
        <w:t xml:space="preserve"> </w:t>
      </w:r>
      <w:r/>
    </w:p>
    <w:p>
      <w:pPr>
        <w:numPr>
          <w:ilvl w:val="0"/>
          <w:numId w:val="20"/>
        </w:numPr>
        <w:pBdr/>
        <w:spacing w:after="210" w:line="360" w:lineRule="auto"/>
        <w:ind/>
        <w:rPr/>
      </w:pPr>
      <w:r/>
      <w:bookmarkStart w:id="19" w:name="fn6"/>
      <w:r/>
      <w:bookmarkEnd w:id="19"/>
      <w:r/>
      <w:hyperlink r:id="rId14" w:tooltip="https://euro-access.eu/en/calls" w:history="1">
        <w:r>
          <w:rPr>
            <w:rFonts w:ascii="inter" w:hAnsi="inter" w:eastAsia="inter" w:cs="inter"/>
            <w:color w:val="000000"/>
            <w:sz w:val="18"/>
            <w:u w:val="single"/>
          </w:rPr>
          <w:t xml:space="preserve">https://euro-access.eu/en/calls</w:t>
        </w:r>
      </w:hyperlink>
      <w:r>
        <w:rPr>
          <w:rFonts w:ascii="inter" w:hAnsi="inter" w:eastAsia="inter" w:cs="inter"/>
          <w:color w:val="000000"/>
          <w:sz w:val="18"/>
        </w:rPr>
        <w:t xml:space="preserve"> </w:t>
      </w:r>
      <w:r>
        <w:rPr>
          <w:rFonts w:ascii="inter" w:hAnsi="inter" w:eastAsia="inter" w:cs="inter"/>
          <w:color w:val="000000"/>
          <w:sz w:val="18"/>
        </w:rPr>
        <w:t xml:space="preserve"> </w:t>
      </w:r>
      <w:r/>
    </w:p>
    <w:sectPr>
      <w:footnotePr/>
      <w:endnotePr/>
      <w:type w:val="nextPage"/>
      <w:pgSz w:h="15840" w:orient="portrait" w:w="12240"/>
      <w:pgMar w:top="1365" w:right="1365" w:bottom="1365" w:left="1365" w:header="720" w:footer="720"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inter">
    <w:panose1 w:val="020B0606030504020204"/>
  </w:font>
  <w:font w:name="Courier New">
    <w:panose1 w:val="02070409020205020404"/>
  </w:font>
  <w:font w:name="Consolas">
    <w:panose1 w:val="020B0604020202020204"/>
  </w:font>
  <w:font w:name="Arial">
    <w:panose1 w:val="020B0604020202020204"/>
  </w:font>
  <w:font w:name="Georgia">
    <w:panose1 w:val="02020502060505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900"/>
        </w:tabs>
        <w:spacing/>
        <w:ind w:hanging="360" w:left="54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
    <w:lvl w:ilvl="0">
      <w:isLgl w:val="false"/>
      <w:lvlJc w:val="left"/>
      <w:lvlText w:val="%1."/>
      <w:numFmt w:val="decimal"/>
      <w:pPr>
        <w:pBdr/>
        <w:tabs>
          <w:tab w:val="num" w:leader="none" w:pos="900"/>
        </w:tabs>
        <w:spacing/>
        <w:ind w:hanging="360" w:left="54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
    <w:lvl w:ilvl="0">
      <w:isLgl w:val="false"/>
      <w:lvlJc w:val="left"/>
      <w:lvlText w:val="%1."/>
      <w:numFmt w:val="decimal"/>
      <w:pPr>
        <w:pBdr/>
        <w:tabs>
          <w:tab w:val="num" w:leader="none" w:pos="900"/>
        </w:tabs>
        <w:spacing/>
        <w:ind w:hanging="360" w:left="540"/>
      </w:pPr>
      <w:rPr/>
      <w:start w:val="1"/>
      <w:suff w:val="tab"/>
    </w:lvl>
    <w:lvl w:ilvl="1">
      <w:isLgl w:val="false"/>
      <w:lvlJc w:val="left"/>
      <w:lvlText w:val="o"/>
      <w:numFmt w:val="bullet"/>
      <w:pPr>
        <w:pBdr/>
        <w:tabs>
          <w:tab w:val="num" w:leader="none" w:pos="1440"/>
        </w:tabs>
        <w:spacing/>
        <w:ind w:hanging="360" w:left="1080"/>
      </w:pPr>
      <w:rPr>
        <w:rFonts w:hint="default" w:ascii="Courier New" w:hAnsi="Courier New" w:cs="Courier New"/>
      </w:rPr>
      <w:start w:val="1"/>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3">
    <w:lvl w:ilvl="0">
      <w:isLgl w:val="false"/>
      <w:lvlJc w:val="left"/>
      <w:lvlText w:val=""/>
      <w:numFmt w:val="bullet"/>
      <w:pPr>
        <w:pBdr/>
        <w:tabs>
          <w:tab w:val="num" w:leader="none" w:pos="900"/>
        </w:tabs>
        <w:spacing/>
        <w:ind w:hanging="360" w:left="540"/>
      </w:pPr>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4">
    <w:lvl w:ilvl="0">
      <w:isLgl w:val="false"/>
      <w:lvlJc w:val="left"/>
      <w:lvlText w:val=""/>
      <w:numFmt w:val="bullet"/>
      <w:pPr>
        <w:pBdr/>
        <w:tabs>
          <w:tab w:val="num" w:leader="none" w:pos="900"/>
        </w:tabs>
        <w:spacing/>
        <w:ind w:hanging="360" w:left="540"/>
      </w:pPr>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5">
    <w:lvl w:ilvl="0">
      <w:isLgl w:val="false"/>
      <w:lvlJc w:val="left"/>
      <w:lvlText w:val="%1."/>
      <w:numFmt w:val="decimal"/>
      <w:pPr>
        <w:pBdr/>
        <w:tabs>
          <w:tab w:val="num" w:leader="none" w:pos="900"/>
        </w:tabs>
        <w:spacing/>
        <w:ind w:hanging="360" w:left="54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6">
    <w:lvl w:ilvl="0">
      <w:isLgl w:val="false"/>
      <w:lvlJc w:val="left"/>
      <w:lvlText w:val="%1."/>
      <w:numFmt w:val="decimal"/>
      <w:pPr>
        <w:pBdr/>
        <w:tabs>
          <w:tab w:val="num" w:leader="none" w:pos="900"/>
        </w:tabs>
        <w:spacing/>
        <w:ind w:hanging="360" w:left="54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7">
    <w:lvl w:ilvl="0">
      <w:isLgl w:val="false"/>
      <w:lvlJc w:val="left"/>
      <w:lvlText w:val="%1."/>
      <w:numFmt w:val="decimal"/>
      <w:pPr>
        <w:pBdr/>
        <w:tabs>
          <w:tab w:val="num" w:leader="none" w:pos="900"/>
        </w:tabs>
        <w:spacing/>
        <w:ind w:hanging="360" w:left="54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8">
    <w:lvl w:ilvl="0">
      <w:isLgl w:val="false"/>
      <w:lvlJc w:val="left"/>
      <w:lvlText w:val=""/>
      <w:numFmt w:val="bullet"/>
      <w:pPr>
        <w:pBdr/>
        <w:tabs>
          <w:tab w:val="num" w:leader="none" w:pos="900"/>
        </w:tabs>
        <w:spacing/>
        <w:ind w:hanging="360" w:left="540"/>
      </w:pPr>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9">
    <w:lvl w:ilvl="0">
      <w:isLgl w:val="false"/>
      <w:lvlJc w:val="left"/>
      <w:lvlText w:val=""/>
      <w:numFmt w:val="bullet"/>
      <w:pPr>
        <w:pBdr/>
        <w:tabs>
          <w:tab w:val="num" w:leader="none" w:pos="900"/>
        </w:tabs>
        <w:spacing/>
        <w:ind w:hanging="360" w:left="540"/>
      </w:pPr>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0">
    <w:lvl w:ilvl="0">
      <w:isLgl w:val="false"/>
      <w:lvlJc w:val="left"/>
      <w:lvlText w:val=""/>
      <w:numFmt w:val="bullet"/>
      <w:pPr>
        <w:pBdr/>
        <w:tabs>
          <w:tab w:val="num" w:leader="none" w:pos="900"/>
        </w:tabs>
        <w:spacing/>
        <w:ind w:hanging="360" w:left="540"/>
      </w:pPr>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1">
    <w:lvl w:ilvl="0">
      <w:isLgl w:val="false"/>
      <w:lvlJc w:val="left"/>
      <w:lvlText w:val=""/>
      <w:numFmt w:val="bullet"/>
      <w:pPr>
        <w:pBdr/>
        <w:tabs>
          <w:tab w:val="num" w:leader="none" w:pos="900"/>
        </w:tabs>
        <w:spacing/>
        <w:ind w:hanging="360" w:left="540"/>
      </w:pPr>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2">
    <w:lvl w:ilvl="0">
      <w:isLgl w:val="false"/>
      <w:lvlJc w:val="left"/>
      <w:lvlText w:val=""/>
      <w:numFmt w:val="bullet"/>
      <w:pPr>
        <w:pBdr/>
        <w:tabs>
          <w:tab w:val="num" w:leader="none" w:pos="900"/>
        </w:tabs>
        <w:spacing/>
        <w:ind w:hanging="360" w:left="540"/>
      </w:pPr>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3">
    <w:lvl w:ilvl="0">
      <w:isLgl w:val="false"/>
      <w:lvlJc w:val="left"/>
      <w:lvlText w:val=""/>
      <w:numFmt w:val="bullet"/>
      <w:pPr>
        <w:pBdr/>
        <w:tabs>
          <w:tab w:val="num" w:leader="none" w:pos="900"/>
        </w:tabs>
        <w:spacing/>
        <w:ind w:hanging="360" w:left="540"/>
      </w:pPr>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4">
    <w:lvl w:ilvl="0">
      <w:isLgl w:val="false"/>
      <w:lvlJc w:val="left"/>
      <w:lvlText w:val=""/>
      <w:numFmt w:val="bullet"/>
      <w:pPr>
        <w:pBdr/>
        <w:tabs>
          <w:tab w:val="num" w:leader="none" w:pos="900"/>
        </w:tabs>
        <w:spacing/>
        <w:ind w:hanging="360" w:left="540"/>
      </w:pPr>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5">
    <w:lvl w:ilvl="0">
      <w:isLgl w:val="false"/>
      <w:lvlJc w:val="left"/>
      <w:lvlText w:val=""/>
      <w:numFmt w:val="bullet"/>
      <w:pPr>
        <w:pBdr/>
        <w:tabs>
          <w:tab w:val="num" w:leader="none" w:pos="900"/>
        </w:tabs>
        <w:spacing/>
        <w:ind w:hanging="360" w:left="540"/>
      </w:pPr>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6">
    <w:lvl w:ilvl="0">
      <w:isLgl w:val="false"/>
      <w:lvlJc w:val="left"/>
      <w:lvlText w:val="%1."/>
      <w:numFmt w:val="decimal"/>
      <w:pPr>
        <w:pBdr/>
        <w:tabs>
          <w:tab w:val="num" w:leader="none" w:pos="900"/>
        </w:tabs>
        <w:spacing/>
        <w:ind w:hanging="360" w:left="54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7">
    <w:lvl w:ilvl="0">
      <w:isLgl w:val="false"/>
      <w:lvlJc w:val="left"/>
      <w:lvlText w:val="%1."/>
      <w:numFmt w:val="decimal"/>
      <w:pPr>
        <w:pBdr/>
        <w:tabs>
          <w:tab w:val="num" w:leader="none" w:pos="900"/>
        </w:tabs>
        <w:spacing/>
        <w:ind w:hanging="360" w:left="540"/>
      </w:pPr>
      <w:rPr/>
      <w:start w:val="1"/>
      <w:suff w:val="tab"/>
    </w:lvl>
    <w:lvl w:ilvl="1">
      <w:isLgl w:val="false"/>
      <w:lvlJc w:val="left"/>
      <w:lvlText w:val="o"/>
      <w:numFmt w:val="bullet"/>
      <w:pPr>
        <w:pBdr/>
        <w:tabs>
          <w:tab w:val="num" w:leader="none" w:pos="1440"/>
        </w:tabs>
        <w:spacing/>
        <w:ind w:hanging="360" w:left="1080"/>
      </w:pPr>
      <w:rPr>
        <w:rFonts w:hint="default" w:ascii="Courier New" w:hAnsi="Courier New" w:cs="Courier New"/>
      </w:rPr>
      <w:start w:val="1"/>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8">
    <w:lvl w:ilvl="0">
      <w:isLgl w:val="false"/>
      <w:lvlJc w:val="left"/>
      <w:lvlText/>
      <w:numFmt w:val="bullet"/>
      <w:pPr>
        <w:pBdr/>
        <w:spacing/>
        <w:ind/>
      </w:pPr>
      <w:rPr/>
      <w:start w:val="0"/>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9">
    <w:lvl w:ilvl="0">
      <w:isLgl w:val="false"/>
      <w:lvlJc w:val="left"/>
      <w:lvlText w:val="%1."/>
      <w:numFmt w:val="decimal"/>
      <w:pPr>
        <w:pBdr/>
        <w:tabs>
          <w:tab w:val="num" w:leader="none" w:pos="900"/>
        </w:tabs>
        <w:spacing/>
        <w:ind w:hanging="360" w:left="54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Georgia" w:hAnsiTheme="minorHAnsi" w:eastAsiaTheme="minorHAnsi" w:cstheme="minorBidi"/>
        <w:sz w:val="21"/>
        <w:szCs w:val="22"/>
        <w:lang w:val="en-US" w:eastAsia="en-US" w:bidi="ar-SA"/>
      </w:rPr>
    </w:rPrDefault>
    <w:pPrDefault>
      <w:pPr>
        <w:pBdr/>
        <w:spacing w:after="120" w:afterAutospacing="0" w:before="0" w:beforeAutospacing="0" w:line="240" w:lineRule="atLeast"/>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
    <w:name w:val="Table Grid"/>
    <w:basedOn w:val="1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1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1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1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1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1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1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1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1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1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1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1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1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1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1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1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1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1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1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1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1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1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1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1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1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1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1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1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1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1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1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1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1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1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1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1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1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1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1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1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1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1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1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1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1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1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1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1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1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1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1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1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1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1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1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1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1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1">
    <w:name w:val="List Table 7 Colorful - Accent 2"/>
    <w:basedOn w:val="1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2">
    <w:name w:val="List Table 7 Colorful - Accent 3"/>
    <w:basedOn w:val="1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3">
    <w:name w:val="List Table 7 Colorful - Accent 4"/>
    <w:basedOn w:val="1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4">
    <w:name w:val="List Table 7 Colorful - Accent 5"/>
    <w:basedOn w:val="1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5">
    <w:name w:val="List Table 7 Colorful - Accent 6"/>
    <w:basedOn w:val="1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6">
    <w:name w:val="Lined - Accent"/>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1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1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1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1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1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1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1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1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99"/>
    <w:next w:val="699"/>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99"/>
    <w:next w:val="699"/>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99"/>
    <w:next w:val="699"/>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99"/>
    <w:next w:val="699"/>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99"/>
    <w:next w:val="699"/>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99"/>
    <w:next w:val="699"/>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99"/>
    <w:next w:val="699"/>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99"/>
    <w:next w:val="699"/>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99"/>
    <w:next w:val="699"/>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numbering" w:styleId="148" w:default="1">
    <w:name w:val="No List"/>
    <w:uiPriority w:val="99"/>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99"/>
    <w:next w:val="699"/>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99"/>
    <w:next w:val="699"/>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99"/>
    <w:next w:val="699"/>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paragraph" w:styleId="164">
    <w:name w:val="List Paragraph"/>
    <w:basedOn w:val="699"/>
    <w:uiPriority w:val="34"/>
    <w:qFormat/>
    <w:pPr>
      <w:pBdr/>
      <w:spacing/>
      <w:ind w:left="720"/>
      <w:contextualSpacing w:val="true"/>
    </w:p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99"/>
    <w:next w:val="699"/>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paragraph" w:styleId="169">
    <w:name w:val="No Spacing"/>
    <w:basedOn w:val="699"/>
    <w:uiPriority w:val="1"/>
    <w:qFormat/>
    <w:pPr>
      <w:pBdr/>
      <w:spacing w:after="0" w:line="240" w:lineRule="auto"/>
      <w:ind/>
    </w:p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99"/>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99"/>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99"/>
    <w:next w:val="699"/>
    <w:uiPriority w:val="35"/>
    <w:unhideWhenUsed/>
    <w:qFormat/>
    <w:pPr>
      <w:pBdr/>
      <w:spacing w:after="200" w:line="240" w:lineRule="auto"/>
      <w:ind/>
    </w:pPr>
    <w:rPr>
      <w:i/>
      <w:iCs/>
      <w:color w:val="0e2841" w:themeColor="text2"/>
      <w:sz w:val="18"/>
      <w:szCs w:val="18"/>
    </w:rPr>
  </w:style>
  <w:style w:type="paragraph" w:styleId="180">
    <w:name w:val="footnote text"/>
    <w:basedOn w:val="699"/>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99"/>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99"/>
    <w:next w:val="699"/>
    <w:uiPriority w:val="39"/>
    <w:unhideWhenUsed/>
    <w:pPr>
      <w:pBdr/>
      <w:spacing w:after="100"/>
      <w:ind/>
    </w:pPr>
  </w:style>
  <w:style w:type="paragraph" w:styleId="189">
    <w:name w:val="toc 2"/>
    <w:basedOn w:val="699"/>
    <w:next w:val="699"/>
    <w:uiPriority w:val="39"/>
    <w:unhideWhenUsed/>
    <w:pPr>
      <w:pBdr/>
      <w:spacing w:after="100"/>
      <w:ind w:left="220"/>
    </w:pPr>
  </w:style>
  <w:style w:type="paragraph" w:styleId="190">
    <w:name w:val="toc 3"/>
    <w:basedOn w:val="699"/>
    <w:next w:val="699"/>
    <w:uiPriority w:val="39"/>
    <w:unhideWhenUsed/>
    <w:pPr>
      <w:pBdr/>
      <w:spacing w:after="100"/>
      <w:ind w:left="440"/>
    </w:pPr>
  </w:style>
  <w:style w:type="paragraph" w:styleId="191">
    <w:name w:val="toc 4"/>
    <w:basedOn w:val="699"/>
    <w:next w:val="699"/>
    <w:uiPriority w:val="39"/>
    <w:unhideWhenUsed/>
    <w:pPr>
      <w:pBdr/>
      <w:spacing w:after="100"/>
      <w:ind w:left="660"/>
    </w:pPr>
  </w:style>
  <w:style w:type="paragraph" w:styleId="192">
    <w:name w:val="toc 5"/>
    <w:basedOn w:val="699"/>
    <w:next w:val="699"/>
    <w:uiPriority w:val="39"/>
    <w:unhideWhenUsed/>
    <w:pPr>
      <w:pBdr/>
      <w:spacing w:after="100"/>
      <w:ind w:left="880"/>
    </w:pPr>
  </w:style>
  <w:style w:type="paragraph" w:styleId="193">
    <w:name w:val="toc 6"/>
    <w:basedOn w:val="699"/>
    <w:next w:val="699"/>
    <w:uiPriority w:val="39"/>
    <w:unhideWhenUsed/>
    <w:pPr>
      <w:pBdr/>
      <w:spacing w:after="100"/>
      <w:ind w:left="1100"/>
    </w:pPr>
  </w:style>
  <w:style w:type="paragraph" w:styleId="194">
    <w:name w:val="toc 7"/>
    <w:basedOn w:val="699"/>
    <w:next w:val="699"/>
    <w:uiPriority w:val="39"/>
    <w:unhideWhenUsed/>
    <w:pPr>
      <w:pBdr/>
      <w:spacing w:after="100"/>
      <w:ind w:left="1320"/>
    </w:pPr>
  </w:style>
  <w:style w:type="paragraph" w:styleId="195">
    <w:name w:val="toc 8"/>
    <w:basedOn w:val="699"/>
    <w:next w:val="699"/>
    <w:uiPriority w:val="39"/>
    <w:unhideWhenUsed/>
    <w:pPr>
      <w:pBdr/>
      <w:spacing w:after="100"/>
      <w:ind w:left="1540"/>
    </w:pPr>
  </w:style>
  <w:style w:type="paragraph" w:styleId="196">
    <w:name w:val="toc 9"/>
    <w:basedOn w:val="699"/>
    <w:next w:val="699"/>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99"/>
    <w:next w:val="699"/>
    <w:uiPriority w:val="99"/>
    <w:unhideWhenUsed/>
    <w:pPr>
      <w:pBdr/>
      <w:spacing w:after="0" w:afterAutospacing="0"/>
      <w:ind/>
    </w:pPr>
  </w:style>
  <w:style w:type="paragraph" w:styleId="699" w:default="1">
    <w:name w:val="Normal"/>
    <w:next w:val="699"/>
    <w:pPr>
      <w:pBdr/>
      <w:spacing/>
      <w:ind/>
    </w:pPr>
    <w:rPr>
      <w:rFonts w:ascii="Georgia" w:hAnsiTheme="minorHAnsi" w:eastAsiaTheme="minorHAnsi" w:cstheme="minorBidi"/>
      <w:sz w:val="21"/>
      <w:szCs w:val="22"/>
      <w:lang w:val="en-US" w:eastAsia="en-US" w:bidi="ar-SA"/>
    </w:rPr>
  </w:style>
  <w:style w:type="character" w:styleId="700" w:customStyle="1">
    <w:name w:val="Verbatim Char"/>
    <w:pPr>
      <w:pBdr/>
      <w:spacing/>
      <w:ind/>
    </w:pPr>
    <w:rPr>
      <w:rFonts w:ascii="Consolas" w:hAnsi="Consolas"/>
      <w:sz w:val="22"/>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www.semanticscholar.org/paper/192d075b422ef5d81edee6473fccfba22f33ccc1" TargetMode="External"/><Relationship Id="rId10" Type="http://schemas.openxmlformats.org/officeDocument/2006/relationships/hyperlink" Target="https://www.ncbi.nlm.nih.gov/pmc/articles/PMC10596815/" TargetMode="External"/><Relationship Id="rId11" Type="http://schemas.openxmlformats.org/officeDocument/2006/relationships/hyperlink" Target="https://webgate.ec.europa.eu/funding-tenders-opportunities/pages/viewpage.action?pageId=1867921" TargetMode="External"/><Relationship Id="rId12" Type="http://schemas.openxmlformats.org/officeDocument/2006/relationships/hyperlink" Target="https://www.semanticscholar.org/paper/6c149a64b08ad8a0029d3a9d6affa15d3ae27fad" TargetMode="External"/><Relationship Id="rId13" Type="http://schemas.openxmlformats.org/officeDocument/2006/relationships/hyperlink" Target="https://pubmed.ncbi.nlm.nih.gov/39194959/" TargetMode="External"/><Relationship Id="rId14" Type="http://schemas.openxmlformats.org/officeDocument/2006/relationships/hyperlink" Target="https://euro-access.eu/en/calls"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ONLYOFFICE/8.3.1.25</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revision>2</cp:revision>
  <dcterms:created xsi:type="dcterms:W3CDTF">2025-04-08T19:02:02Z</dcterms:created>
  <dcterms:modified xsi:type="dcterms:W3CDTF">2025-04-09T00:31:00Z</dcterms:modified>
</cp:coreProperties>
</file>