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57" w:before="157" w:line="270" w:lineRule="auto"/>
        <w:ind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39"/>
        </w:rPr>
        <w:t xml:space="preserve">Proposal: Hosting an "Open=Safe" Workshop at [University/Organization Name]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</w:rPr>
        <w:t xml:space="preserve">Submitted by:</w:t>
      </w:r>
      <w:r>
        <w:rPr>
          <w:rFonts w:ascii="Noto Sans" w:hAnsi="Noto Sans" w:eastAsia="Noto Sans" w:cs="Noto Sans"/>
          <w:color w:val="000000"/>
        </w:rPr>
        <w:t xml:space="preserve"> Safecast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b/>
          <w:color w:val="000000"/>
        </w:rPr>
        <w:t xml:space="preserve">Date:</w:t>
      </w:r>
      <w:r>
        <w:rPr>
          <w:rFonts w:ascii="Noto Sans" w:hAnsi="Noto Sans" w:eastAsia="Noto Sans" w:cs="Noto Sans"/>
          <w:color w:val="000000"/>
        </w:rPr>
        <w:t xml:space="preserve"> [Insert Date]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b/>
          <w:color w:val="000000"/>
        </w:rPr>
        <w:t xml:space="preserve">Contact Person:</w:t>
      </w:r>
      <w:r>
        <w:rPr>
          <w:rFonts w:ascii="Noto Sans" w:hAnsi="Noto Sans" w:eastAsia="Noto Sans" w:cs="Noto Sans"/>
          <w:color w:val="000000"/>
        </w:rPr>
        <w:t xml:space="preserve"> [Your Name, Title]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b/>
          <w:color w:val="000000"/>
        </w:rPr>
        <w:t xml:space="preserve">Email:</w:t>
      </w:r>
      <w:r>
        <w:rPr>
          <w:rFonts w:ascii="Noto Sans" w:hAnsi="Noto Sans" w:eastAsia="Noto Sans" w:cs="Noto Sans"/>
          <w:color w:val="000000"/>
        </w:rPr>
        <w:t xml:space="preserve"> [Your Email Address]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b/>
          <w:color w:val="000000"/>
        </w:rPr>
        <w:t xml:space="preserve">Phone:</w:t>
      </w:r>
      <w:r>
        <w:rPr>
          <w:rFonts w:ascii="Noto Sans" w:hAnsi="Noto Sans" w:eastAsia="Noto Sans" w:cs="Noto Sans"/>
          <w:color w:val="000000"/>
        </w:rPr>
        <w:t xml:space="preserve"> [Your Phone Number]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Executive Summary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Safecast, a globally recognized leader in citizen science and environmenta</w:t>
      </w:r>
      <w:r>
        <w:rPr>
          <w:rFonts w:ascii="Noto Sans" w:hAnsi="Noto Sans" w:eastAsia="Noto Sans" w:cs="Noto Sans"/>
          <w:color w:val="000000"/>
        </w:rPr>
        <w:t xml:space="preserve">l monitoring, proposes a collaborative partnership with [University/Organization Name] to host an "Open=Safe" workshop. This hands-on workshop will empower participants to build open-source radiation monitoring devices (bGeigieZen kits) and learn about rad</w:t>
      </w:r>
      <w:r>
        <w:rPr>
          <w:rFonts w:ascii="Noto Sans" w:hAnsi="Noto Sans" w:eastAsia="Noto Sans" w:cs="Noto Sans"/>
          <w:color w:val="000000"/>
        </w:rPr>
        <w:t xml:space="preserve">iation science, data collection, and environmental safety. By hosting this workshop, [University/Organization Name] will contribute to fostering scientific literacy, community engagement, and environmental awareness while supporting an open and safe world.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This proposal outlines the structure, objectives, benefits, and financial requirements for conducting one workshop.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Workshop Overview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Title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</w:rPr>
        <w:t xml:space="preserve">Open=Safe: Building Open-Source Radiation Monitoring Devices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Duration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1-day or 2-day workshop (flexible based on host preference)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Participants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Maximum of 10 participants (to ensure personalized instruction)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Target audience: Students, researchers, community members, or professionals interested in environmental science, citizen science, or technology.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Instructors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Three experienced Safecast instructors will lead the workshop: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2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Technical Instructor:</w:t>
      </w:r>
      <w:r>
        <w:rPr>
          <w:rFonts w:ascii="Noto Sans" w:hAnsi="Noto Sans" w:eastAsia="Noto Sans" w:cs="Noto Sans"/>
          <w:color w:val="000000"/>
          <w:sz w:val="21"/>
        </w:rPr>
        <w:t xml:space="preserve"> Guides participants through device assembly.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2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Radiation Science Educator:</w:t>
      </w:r>
      <w:r>
        <w:rPr>
          <w:rFonts w:ascii="Noto Sans" w:hAnsi="Noto Sans" w:eastAsia="Noto Sans" w:cs="Noto Sans"/>
          <w:color w:val="000000"/>
          <w:sz w:val="21"/>
        </w:rPr>
        <w:t xml:space="preserve"> Provides foundational knowledge about radiation and its environmental impact.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2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Data Specialist:</w:t>
      </w:r>
      <w:r>
        <w:rPr>
          <w:rFonts w:ascii="Noto Sans" w:hAnsi="Noto Sans" w:eastAsia="Noto Sans" w:cs="Noto Sans"/>
          <w:color w:val="000000"/>
          <w:sz w:val="21"/>
        </w:rPr>
        <w:t xml:space="preserve"> Teaches participants how to integrate their devices into Safecast's global radiation data network.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Objectives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Teach participants how to assemble and use bGeigieZen kits for real-time radiation monitoring.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Provide foundational knowledge about radiation science and its role in environmental safety.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Empower participants to contribute to Safecast's open global radiation data network.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3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Foster a culture of open-source innovation and community-driven problem-solving.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Workshop Structure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Morning Session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Introduction to Radiation Science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Basics of radiation: What it is, how it’s measured, and why it matters.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Overview of global radiation monitoring networks and Safecast's role.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Introduction to bGeigieZen Kits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Demonstration of the device's components and functionality.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Hands-On Assembly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Step-by-step guidance on assembling bGeigieZen kits.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Use of soldering tools (provided locally) for hardware assembly.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Data Integration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Connecting devices to Safecast's global network.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Visualizing collected data on maps for public access.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Closing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6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Wrap-Up Discussion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6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Q&amp;A session with instructors.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6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Sharing ideas for using the devices in research or community projects.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Benefits of Hosting the Workshop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For [University/Organization Name]: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Educational Impact:</w:t>
      </w:r>
      <w:r>
        <w:rPr>
          <w:rFonts w:ascii="Noto Sans" w:hAnsi="Noto Sans" w:eastAsia="Noto Sans" w:cs="Noto Sans"/>
          <w:color w:val="000000"/>
          <w:sz w:val="21"/>
        </w:rPr>
        <w:t xml:space="preserve"> Enhance STEM education by providing hands-on experience with cutting-edge technology.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Community Engagement:</w:t>
      </w:r>
      <w:r>
        <w:rPr>
          <w:rFonts w:ascii="Noto Sans" w:hAnsi="Noto Sans" w:eastAsia="Noto Sans" w:cs="Noto Sans"/>
          <w:color w:val="000000"/>
          <w:sz w:val="21"/>
        </w:rPr>
        <w:t xml:space="preserve"> Demonstrate leadership in promoting environmental awareness and citizen science.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Research Opportunities:</w:t>
      </w:r>
      <w:r>
        <w:rPr>
          <w:rFonts w:ascii="Noto Sans" w:hAnsi="Noto Sans" w:eastAsia="Noto Sans" w:cs="Noto Sans"/>
          <w:color w:val="000000"/>
          <w:sz w:val="21"/>
        </w:rPr>
        <w:t xml:space="preserve"> Access real-time radiation data for academic research or institutional projects.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7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Visibility:</w:t>
      </w:r>
      <w:r>
        <w:rPr>
          <w:rFonts w:ascii="Noto Sans" w:hAnsi="Noto Sans" w:eastAsia="Noto Sans" w:cs="Noto Sans"/>
          <w:color w:val="000000"/>
          <w:sz w:val="21"/>
        </w:rPr>
        <w:t xml:space="preserve"> Gain recognition as a partner in an internationally acclaimed initiative that promotes open-source solutions for global challenges.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For Participants: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Learn practical skills in assembling and using open-source technology.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Gain insights into radiation science and its relevance to public health and safety.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Contribute directly to an open global database used by researchers worldwide.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8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Build connections with like-minded individuals passionate about science and sustainability.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Resources Required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To successfully host the workshop, we request support from [University/Organization Name] in the following areas: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1. Venue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A classroom or lab space with seating for 10 participants and tables for hands-on assembly work.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9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Access to power outlets for soldering tools and laptops.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2. Tools (Provided Locally)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0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Basic tools such as soldering irons, screwdrivers, pliers, etc., which are commonly available in university labs or maker spaces.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3. Funding Support (€5,750)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We request funding support of €5,750 to cover the following costs: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a. Workshop Materials (€4,250)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10 bGeigieZen kits (€400 per kit): €4,000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1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Printed guides (assembly instructions, radiation science basics): €25 per participant × 10 = €250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b. Instructor Costs (€1,250)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Instructor fees: €400 per instructor × 3 instructors = €1,200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2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Travel costs: €50 per instructor × 3 instructors = €150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c. Venue Costs (€500)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3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If a free venue is unavailable, rental costs for one day: €500</w: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d. Contingency Fund (€250)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4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To cover unforeseen expenses related to logistics or materials: €250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Detailed Budget Breakdown</w:t>
      </w:r>
      <w:r>
        <w:rPr>
          <w:rFonts w:ascii="Noto Sans" w:hAnsi="Noto Sans" w:eastAsia="Noto Sans" w:cs="Noto Sans"/>
        </w:rPr>
      </w:r>
    </w:p>
    <w:tbl>
      <w:tblPr>
        <w:tblStyle w:val="917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left w:w="160" w:type="dxa"/>
          <w:top w:w="80" w:type="dxa"/>
          <w:right w:w="160" w:type="dxa"/>
          <w:bottom w:w="80" w:type="dxa"/>
        </w:tblCellMar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Budget Category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Item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Unit Cost (€)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Quantity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Total (€)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Workshop Materials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bGeigieZen Kits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400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10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4,000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Printed Guides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25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10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250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Subtotal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4,250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Instructor Costs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Instructor Fees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400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3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1,200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Instructor Travel Costs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50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3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150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Subtotal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1,250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Venue Costs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Venue Rental (if applicable)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500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1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500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Subtotal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500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Contingency Fund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Unforeseen Expenses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color w:val="000000"/>
                <w:sz w:val="17"/>
              </w:rPr>
              <w:t xml:space="preserve">250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Subtotal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250</w:t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Grand Total</w:t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</w:rPr>
            </w:r>
            <w:r>
              <w:rPr>
                <w:rFonts w:ascii="Noto Sans" w:hAnsi="Noto Sans" w:eastAsia="Noto Sans" w:cs="Noto Sans"/>
              </w:rPr>
            </w:r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Noto Sans" w:hAnsi="Noto Sans" w:cs="Noto Sans"/>
              </w:rPr>
            </w:pPr>
            <w:r>
              <w:rPr>
                <w:rFonts w:ascii="Noto Sans" w:hAnsi="Noto Sans" w:eastAsia="Noto Sans" w:cs="Noto Sans"/>
                <w:b/>
                <w:color w:val="000000"/>
                <w:sz w:val="17"/>
              </w:rPr>
              <w:t xml:space="preserve">5,750</w:t>
            </w:r>
            <w:r>
              <w:rPr>
                <w:rFonts w:ascii="Noto Sans" w:hAnsi="Noto Sans" w:eastAsia="Noto Sans" w:cs="Noto Sans"/>
              </w:rPr>
            </w:r>
          </w:p>
        </w:tc>
      </w:tr>
    </w:tbl>
    <w:p>
      <w:pPr>
        <w:pBdr/>
        <w:spacing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Timeline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The proposed timeline for organizing the workshop is as follows: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5"/>
        </w:num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Month 1: Planning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Confirm partnership with [University/Organization Name].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Finalize date and venue details.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Procure materials (bGeigieZen kits).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5"/>
        </w:num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Month 2: Promotion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Promote the workshop through university channels or local networks.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Register participants (maximum 10).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5"/>
        </w:num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Month 3: Workshop Delivery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Conduct the workshop on the agreed-upon date.</w:t>
      </w:r>
      <w:r>
        <w:rPr>
          <w:rFonts w:ascii="Noto Sans" w:hAnsi="Noto Sans" w:eastAsia="Noto Sans" w:cs="Noto Sans"/>
        </w:rPr>
      </w:r>
    </w:p>
    <w:p>
      <w:pPr>
        <w:numPr>
          <w:ilvl w:val="0"/>
          <w:numId w:val="15"/>
        </w:num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1"/>
        </w:rPr>
        <w:t xml:space="preserve">Post-Workshop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Provide follow-up support to participants (e.g., troubleshooting devices).</w:t>
      </w:r>
      <w:r>
        <w:rPr>
          <w:rFonts w:ascii="Noto Sans" w:hAnsi="Noto Sans" w:eastAsia="Noto Sans" w:cs="Noto Sans"/>
        </w:rPr>
      </w:r>
    </w:p>
    <w:p>
      <w:pPr>
        <w:numPr>
          <w:ilvl w:val="1"/>
          <w:numId w:val="15"/>
        </w:numPr>
        <w:pBdr/>
        <w:spacing w:after="105" w:before="105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  <w:sz w:val="21"/>
        </w:rPr>
        <w:t xml:space="preserve">Share feedback report with [University/Organization Name].</w:t>
      </w:r>
      <w:r>
        <w:rPr>
          <w:rFonts w:ascii="Noto Sans" w:hAnsi="Noto Sans" w:eastAsia="Noto Sans" w:cs="Noto Sans"/>
        </w:rPr>
      </w:r>
    </w:p>
    <w:p>
      <w:pPr>
        <w:pBdr/>
        <w:spacing w:after="0" w:before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Noto Sans" w:hAnsi="Noto Sans" w:eastAsia="Noto Sans" w:cs="Noto Sans"/>
        </w:rPr>
      </w:r>
    </w:p>
    <w:p>
      <w:pPr>
        <w:pBdr/>
        <w:spacing w:after="105" w:before="315" w:line="360" w:lineRule="auto"/>
        <w:ind w:left="-30"/>
        <w:jc w:val="left"/>
        <w:rPr>
          <w:rFonts w:ascii="Noto Sans" w:hAnsi="Noto Sans" w:cs="Noto Sans"/>
        </w:rPr>
      </w:pPr>
      <w:r>
        <w:rPr>
          <w:rFonts w:ascii="Noto Sans" w:hAnsi="Noto Sans" w:eastAsia="Noto Sans" w:cs="Noto Sans"/>
          <w:b/>
          <w:color w:val="000000"/>
          <w:sz w:val="24"/>
        </w:rPr>
        <w:t xml:space="preserve">Conclusion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By hosting an "Open=Safe" wo</w:t>
      </w:r>
      <w:r>
        <w:rPr>
          <w:rFonts w:ascii="Noto Sans" w:hAnsi="Noto Sans" w:eastAsia="Noto Sans" w:cs="Noto Sans"/>
          <w:color w:val="000000"/>
        </w:rPr>
        <w:t xml:space="preserve">rkshop at [University/Organization Name], you will play a vital role in advancing environmental awareness and scientific literacy within your community while supporting an internationally recognized initiative that promotes transparency through technology.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We look forward to collaborating with you on this exciting opportunity! Please feel free to contact us with any questions or for further details about this proposal.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Thank you for your consideration!</w:t>
      </w:r>
      <w:r>
        <w:rPr>
          <w:rFonts w:ascii="Noto Sans" w:hAnsi="Noto Sans" w:eastAsia="Noto Sans" w:cs="Noto Sans"/>
        </w:rPr>
      </w:r>
    </w:p>
    <w:p>
      <w:pPr>
        <w:pBdr/>
        <w:spacing w:after="210" w:line="360" w:lineRule="auto"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color w:val="000000"/>
        </w:rPr>
        <w:t xml:space="preserve">Sincerely,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color w:val="000000"/>
        </w:rPr>
        <w:t xml:space="preserve">[Your Name]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color w:val="000000"/>
        </w:rPr>
        <w:t xml:space="preserve">[Your Title]</w:t>
      </w:r>
      <w:r>
        <w:rPr>
          <w:rFonts w:ascii="Noto Sans" w:hAnsi="Noto Sans" w:eastAsia="Noto Sans" w:cs="Noto Sans"/>
          <w:color w:val="000000"/>
        </w:rPr>
        <w:br/>
      </w:r>
      <w:r>
        <w:rPr>
          <w:rFonts w:ascii="Noto Sans" w:hAnsi="Noto Sans" w:eastAsia="Noto Sans" w:cs="Noto Sans"/>
          <w:color w:val="000000"/>
        </w:rPr>
        <w:t xml:space="preserve">Safecast</w:t>
      </w:r>
      <w:r>
        <w:rPr>
          <w:rFonts w:ascii="Noto Sans" w:hAnsi="Noto Sans" w:eastAsia="Noto Sans" w:cs="Noto Sans"/>
          <w:color w:val="000000"/>
        </w:rPr>
      </w:r>
      <w:r>
        <w:rPr>
          <w:rFonts w:ascii="Noto Sans" w:hAnsi="Noto Sans" w:eastAsia="Noto Sans" w:cs="Noto Sans"/>
        </w:rPr>
      </w:r>
    </w:p>
    <w:sectPr>
      <w:footnotePr/>
      <w:endnotePr/>
      <w:type w:val="nextPage"/>
      <w:pgSz w:h="15840" w:orient="portrait" w:w="12240"/>
      <w:pgMar w:top="1365" w:right="1365" w:bottom="1365" w:left="1365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Courier New">
    <w:panose1 w:val="02070409020205020404"/>
  </w:font>
  <w:font w:name="Symbol">
    <w:panose1 w:val="05010000000000000000"/>
  </w:font>
  <w:font w:name="Consolas">
    <w:panose1 w:val="020B0604020202020204"/>
  </w:font>
  <w:font w:name="Arial">
    <w:panose1 w:val="020B0604020202020204"/>
  </w:font>
  <w:font w:name="Georgia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5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eorgia" w:hAnsiTheme="minorHAnsi" w:eastAsiaTheme="minorHAnsi" w:cstheme="minorBidi"/>
        <w:sz w:val="21"/>
        <w:szCs w:val="22"/>
        <w:lang w:val="en-US" w:eastAsia="en-US" w:bidi="ar-SA"/>
      </w:rPr>
    </w:rPrDefault>
    <w:pPrDefault>
      <w:pPr>
        <w:pBdr/>
        <w:spacing w:after="120" w:afterAutospacing="0" w:before="0" w:beforeAutospacing="0" w:line="240" w:lineRule="atLeast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4"/>
    <w:next w:val="914"/>
    <w:link w:val="8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4"/>
    <w:next w:val="91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4"/>
    <w:next w:val="914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4"/>
    <w:next w:val="91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4"/>
    <w:next w:val="914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4"/>
    <w:next w:val="91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4"/>
    <w:next w:val="914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4"/>
    <w:next w:val="914"/>
    <w:link w:val="8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4"/>
    <w:next w:val="914"/>
    <w:link w:val="8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numbering" w:styleId="863" w:default="1">
    <w:name w:val="No List"/>
    <w:uiPriority w:val="99"/>
    <w:semiHidden/>
    <w:unhideWhenUsed/>
    <w:pPr>
      <w:pBdr/>
      <w:spacing/>
      <w:ind/>
    </w:pPr>
  </w:style>
  <w:style w:type="character" w:styleId="864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5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6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7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8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9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0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1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Title"/>
    <w:basedOn w:val="914"/>
    <w:next w:val="914"/>
    <w:link w:val="87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4">
    <w:name w:val="Title Char"/>
    <w:basedOn w:val="862"/>
    <w:link w:val="8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5">
    <w:name w:val="Subtitle"/>
    <w:basedOn w:val="914"/>
    <w:next w:val="914"/>
    <w:link w:val="87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6">
    <w:name w:val="Subtitle Char"/>
    <w:basedOn w:val="862"/>
    <w:link w:val="8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7">
    <w:name w:val="Quote"/>
    <w:basedOn w:val="914"/>
    <w:next w:val="914"/>
    <w:link w:val="8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8">
    <w:name w:val="Quote Char"/>
    <w:basedOn w:val="862"/>
    <w:link w:val="87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9">
    <w:name w:val="List Paragraph"/>
    <w:basedOn w:val="914"/>
    <w:uiPriority w:val="34"/>
    <w:qFormat/>
    <w:pPr>
      <w:pBdr/>
      <w:spacing/>
      <w:ind w:left="720"/>
      <w:contextualSpacing w:val="true"/>
    </w:pPr>
  </w:style>
  <w:style w:type="character" w:styleId="880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4"/>
    <w:next w:val="914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2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4">
    <w:name w:val="No Spacing"/>
    <w:basedOn w:val="914"/>
    <w:uiPriority w:val="1"/>
    <w:qFormat/>
    <w:pPr>
      <w:pBdr/>
      <w:spacing w:after="0" w:line="240" w:lineRule="auto"/>
      <w:ind/>
    </w:pPr>
  </w:style>
  <w:style w:type="character" w:styleId="885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14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862"/>
    <w:link w:val="890"/>
    <w:uiPriority w:val="99"/>
    <w:pPr>
      <w:pBdr/>
      <w:spacing/>
      <w:ind/>
    </w:pPr>
  </w:style>
  <w:style w:type="paragraph" w:styleId="892">
    <w:name w:val="Footer"/>
    <w:basedOn w:val="914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862"/>
    <w:link w:val="892"/>
    <w:uiPriority w:val="99"/>
    <w:pPr>
      <w:pBdr/>
      <w:spacing/>
      <w:ind/>
    </w:pPr>
  </w:style>
  <w:style w:type="paragraph" w:styleId="894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1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4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862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1"/>
    <w:basedOn w:val="914"/>
    <w:next w:val="914"/>
    <w:uiPriority w:val="39"/>
    <w:unhideWhenUsed/>
    <w:pPr>
      <w:pBdr/>
      <w:spacing w:after="100"/>
      <w:ind/>
    </w:pPr>
  </w:style>
  <w:style w:type="paragraph" w:styleId="904">
    <w:name w:val="toc 2"/>
    <w:basedOn w:val="914"/>
    <w:next w:val="914"/>
    <w:uiPriority w:val="39"/>
    <w:unhideWhenUsed/>
    <w:pPr>
      <w:pBdr/>
      <w:spacing w:after="100"/>
      <w:ind w:left="220"/>
    </w:pPr>
  </w:style>
  <w:style w:type="paragraph" w:styleId="905">
    <w:name w:val="toc 3"/>
    <w:basedOn w:val="914"/>
    <w:next w:val="914"/>
    <w:uiPriority w:val="39"/>
    <w:unhideWhenUsed/>
    <w:pPr>
      <w:pBdr/>
      <w:spacing w:after="100"/>
      <w:ind w:left="440"/>
    </w:pPr>
  </w:style>
  <w:style w:type="paragraph" w:styleId="906">
    <w:name w:val="toc 4"/>
    <w:basedOn w:val="914"/>
    <w:next w:val="914"/>
    <w:uiPriority w:val="39"/>
    <w:unhideWhenUsed/>
    <w:pPr>
      <w:pBdr/>
      <w:spacing w:after="100"/>
      <w:ind w:left="660"/>
    </w:pPr>
  </w:style>
  <w:style w:type="paragraph" w:styleId="907">
    <w:name w:val="toc 5"/>
    <w:basedOn w:val="914"/>
    <w:next w:val="914"/>
    <w:uiPriority w:val="39"/>
    <w:unhideWhenUsed/>
    <w:pPr>
      <w:pBdr/>
      <w:spacing w:after="100"/>
      <w:ind w:left="880"/>
    </w:pPr>
  </w:style>
  <w:style w:type="paragraph" w:styleId="908">
    <w:name w:val="toc 6"/>
    <w:basedOn w:val="914"/>
    <w:next w:val="914"/>
    <w:uiPriority w:val="39"/>
    <w:unhideWhenUsed/>
    <w:pPr>
      <w:pBdr/>
      <w:spacing w:after="100"/>
      <w:ind w:left="1100"/>
    </w:pPr>
  </w:style>
  <w:style w:type="paragraph" w:styleId="909">
    <w:name w:val="toc 7"/>
    <w:basedOn w:val="914"/>
    <w:next w:val="914"/>
    <w:uiPriority w:val="39"/>
    <w:unhideWhenUsed/>
    <w:pPr>
      <w:pBdr/>
      <w:spacing w:after="100"/>
      <w:ind w:left="1320"/>
    </w:pPr>
  </w:style>
  <w:style w:type="paragraph" w:styleId="910">
    <w:name w:val="toc 8"/>
    <w:basedOn w:val="914"/>
    <w:next w:val="914"/>
    <w:uiPriority w:val="39"/>
    <w:unhideWhenUsed/>
    <w:pPr>
      <w:pBdr/>
      <w:spacing w:after="100"/>
      <w:ind w:left="1540"/>
    </w:pPr>
  </w:style>
  <w:style w:type="paragraph" w:styleId="911">
    <w:name w:val="toc 9"/>
    <w:basedOn w:val="914"/>
    <w:next w:val="914"/>
    <w:uiPriority w:val="39"/>
    <w:unhideWhenUsed/>
    <w:pPr>
      <w:pBdr/>
      <w:spacing w:after="100"/>
      <w:ind w:left="1760"/>
    </w:p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next w:val="914"/>
    <w:pPr>
      <w:pBdr/>
      <w:spacing/>
      <w:ind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styleId="915" w:customStyle="1">
    <w:name w:val="Verbatim Char"/>
    <w:pPr>
      <w:pBdr/>
      <w:spacing/>
      <w:ind/>
    </w:pPr>
    <w:rPr>
      <w:rFonts w:ascii="Consolas" w:hAnsi="Consolas"/>
      <w:sz w:val="22"/>
    </w:r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Normal Grid"/>
    <w:basedOn w:val="916"/>
    <w:uiPriority w:val="39"/>
    <w:pPr>
      <w:pBdr/>
      <w:spacing w:after="0" w:line="240" w:lineRule="auto"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revision>4</cp:revision>
  <dcterms:created xsi:type="dcterms:W3CDTF">2025-04-08T18:56:57Z</dcterms:created>
  <dcterms:modified xsi:type="dcterms:W3CDTF">2025-04-15T16:30:14Z</dcterms:modified>
</cp:coreProperties>
</file>