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text-3"/>
      </w:pPr>
      <w:r>
        <w:rPr>
          <w:rStyle w:val="text-3-c"/>
        </w:rPr>
        <w:t xml:space="preserve">Mitsue Project — Implementation Plan</w:t>
      </w:r>
    </w:p>
    <w:p>
      <w:pPr>
        <w:pStyle w:val="text-5"/>
      </w:pPr>
      <w:r>
        <w:rPr>
          <w:rStyle w:val="text-5-c"/>
        </w:rPr>
        <w:t xml:space="preserve">From Concept to Reality</w:t>
      </w:r>
    </w:p>
    <w:p>
      <w:pPr>
        <w:pStyle w:val="text-8"/>
      </w:pPr>
      <w:r>
        <w:rPr>
          <w:rStyle w:val="text-8-c"/>
        </w:rPr>
        <w:t xml:space="preserve">April 2026</w:t>
      </w:r>
    </w:p>
    <w:p>
      <w:pPr>
        <w:jc w:val="center"/>
      </w:pPr>
      <w:r>
        <mc:AlternateContent>
          <mc:Choice Requires="wpg">
            <w:drawing>
              <wp:inline xmlns:wp="http://schemas.openxmlformats.org/drawingml/2006/wordprocessingDrawing" distT="0" distB="0" distL="0" distR="0">
                <wp:extent cx="5943600" cy="0"/>
                <wp:effectExtent l="0" t="0" r="0" b="0"/>
                <wp:docPr id="1" name="Line 1"/>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Overview</w:t>
      </w:r>
    </w:p>
    <w:p>
      <w:pPr>
        <w:pStyle w:val="text-12"/>
      </w:pPr>
      <w:r>
        <w:rPr>
          <w:rStyle w:val="text-12-c"/>
        </w:rPr>
        <w:t xml:space="preserve">This plan breaks the implementation of the Mitsue Sustainable Energy &amp; AI Data Center project into </w:t>
      </w:r>
      <w:r>
        <w:rPr>
          <w:rStyle w:val="text-8-c"/>
        </w:rPr>
        <w:t xml:space="preserve">five phases over the first three years</w:t>
      </w:r>
      <w:r>
        <w:rPr>
          <w:rStyle w:val="text-12-c"/>
        </w:rPr>
        <w:t xml:space="preserve">, with a clear path from concept to operational pilot. Each phase has defined deliverables, funding requirements, and risk checkpoints.</w:t>
      </w:r>
    </w:p>
    <w:p>
      <w:pPr>
        <w:pStyle w:val="text-12"/>
      </w:pPr>
      <w:r>
        <w:rPr>
          <w:rStyle w:val="text-12-c"/>
        </w:rPr>
        <w:t xml:space="preserve">The 25-year vision remains, but the first 3 years are the make-or-break period. Get the foundations right and the rest becomes possible.</w:t>
      </w:r>
    </w:p>
    <w:p>
      <w:pPr>
        <w:jc w:val="center"/>
      </w:pPr>
      <w:r>
        <mc:AlternateContent>
          <mc:Choice Requires="wpg">
            <w:drawing>
              <wp:inline xmlns:wp="http://schemas.openxmlformats.org/drawingml/2006/wordprocessingDrawing" distT="0" distB="0" distL="0" distR="0">
                <wp:extent cx="5943600" cy="0"/>
                <wp:effectExtent l="0" t="0" r="0" b="0"/>
                <wp:docPr id="2" name="Line 2"/>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Phase Overview</w:t>
      </w:r>
    </w:p>
    <w:tbl>
      <w:tblPr>
        <w:tblW w:w="5000" w:type="pct"/>
        <w:tblCellMar>
          <w:left w:w="15" w:type="dxa"/>
          <w:top w:w="15" w:type="dxa"/>
          <w:right w:w="15" w:type="dxa"/>
          <w:bottom w:w="15" w:type="dxa"/>
        </w:tblCellMar>
        <w:tblLook w:val="04A0" w:firstRow="1" w:lastRow="0" w:firstColumn="1" w:lastColumn="0" w:noHBand="0" w:noVBand="1"/>
      </w:tblPr>
      <w:tr>
        <w:tc>
          <w:tcPr>
            <w:tcW w:w="0" w:type="auto"/>
            <w:tcBorders>
              <w:bottom w:val="single" w:color="dddddd" w:sz="12" w:space="0"/>
            </w:tcBorders>
            <w:vAlign w:val="center"/>
            <w:hideMark/>
          </w:tcPr>
          <w:p>
            <w:pPr>
              <w:pStyle w:val="text-21"/>
            </w:pPr>
            <w:r>
              <w:rPr>
                <w:rStyle w:val="text-21-c"/>
              </w:rPr>
              <w:t xml:space="preserve">Phase</w:t>
            </w:r>
          </w:p>
        </w:tc>
        <w:tc>
          <w:tcPr>
            <w:tcW w:w="0" w:type="auto"/>
            <w:tcBorders>
              <w:bottom w:val="single" w:color="dddddd" w:sz="12" w:space="0"/>
            </w:tcBorders>
            <w:vAlign w:val="center"/>
            <w:hideMark/>
          </w:tcPr>
          <w:p>
            <w:pPr>
              <w:pStyle w:val="text-21"/>
            </w:pPr>
            <w:r>
              <w:rPr>
                <w:rStyle w:val="text-21-c"/>
              </w:rPr>
              <w:t xml:space="preserve">Timeframe</w:t>
            </w:r>
          </w:p>
        </w:tc>
        <w:tc>
          <w:tcPr>
            <w:tcW w:w="0" w:type="auto"/>
            <w:tcBorders>
              <w:bottom w:val="single" w:color="dddddd" w:sz="12" w:space="0"/>
            </w:tcBorders>
            <w:vAlign w:val="center"/>
            <w:hideMark/>
          </w:tcPr>
          <w:p>
            <w:pPr>
              <w:pStyle w:val="text-21"/>
            </w:pPr>
            <w:r>
              <w:rPr>
                <w:rStyle w:val="text-21-c"/>
              </w:rPr>
              <w:t xml:space="preserve">Focus</w:t>
            </w:r>
          </w:p>
        </w:tc>
        <w:tc>
          <w:tcPr>
            <w:tcW w:w="0" w:type="auto"/>
            <w:tcBorders>
              <w:bottom w:val="single" w:color="dddddd" w:sz="12" w:space="0"/>
            </w:tcBorders>
            <w:vAlign w:val="center"/>
            <w:hideMark/>
          </w:tcPr>
          <w:p>
            <w:pPr>
              <w:pStyle w:val="text-21"/>
            </w:pPr>
            <w:r>
              <w:rPr>
                <w:rStyle w:val="text-21-c"/>
              </w:rPr>
              <w:t xml:space="preserve">Estimated Budget</w:t>
            </w:r>
          </w:p>
        </w:tc>
      </w:tr>
      <w:tr>
        <w:tc>
          <w:tcPr>
            <w:tcW w:w="0" w:type="auto"/>
            <w:tcBorders>
              <w:top w:val="single" w:color="dddddd" w:sz="6" w:space="0"/>
            </w:tcBorders>
            <w:vAlign w:val="center"/>
            <w:hideMark/>
          </w:tcPr>
          <w:p>
            <w:pPr>
              <w:pStyle w:val="text-28"/>
            </w:pPr>
            <w:r>
              <w:rPr>
                <w:rStyle w:val="text-28-c"/>
              </w:rPr>
              <w:t xml:space="preserve">0. Pre-Foundation</w:t>
            </w:r>
          </w:p>
        </w:tc>
        <w:tc>
          <w:tcPr>
            <w:tcW w:w="0" w:type="auto"/>
            <w:tcBorders>
              <w:top w:val="single" w:color="dddddd" w:sz="6" w:space="0"/>
            </w:tcBorders>
            <w:vAlign w:val="center"/>
            <w:hideMark/>
          </w:tcPr>
          <w:p>
            <w:pPr>
              <w:pStyle w:val="text-28"/>
            </w:pPr>
            <w:r>
              <w:rPr>
                <w:rStyle w:val="text-28-c"/>
              </w:rPr>
              <w:t xml:space="preserve">Months 1–3</w:t>
            </w:r>
          </w:p>
        </w:tc>
        <w:tc>
          <w:tcPr>
            <w:tcW w:w="0" w:type="auto"/>
            <w:tcBorders>
              <w:top w:val="single" w:color="dddddd" w:sz="6" w:space="0"/>
            </w:tcBorders>
            <w:vAlign w:val="center"/>
            <w:hideMark/>
          </w:tcPr>
          <w:p>
            <w:pPr>
              <w:pStyle w:val="text-28"/>
            </w:pPr>
            <w:r>
              <w:rPr>
                <w:rStyle w:val="text-28-c"/>
              </w:rPr>
              <w:t xml:space="preserve">Local trust, founding team, basic structure</w:t>
            </w:r>
          </w:p>
        </w:tc>
        <w:tc>
          <w:tcPr>
            <w:tcW w:w="0" w:type="auto"/>
            <w:tcBorders>
              <w:top w:val="single" w:color="dddddd" w:sz="6" w:space="0"/>
            </w:tcBorders>
            <w:vAlign w:val="center"/>
            <w:hideMark/>
          </w:tcPr>
          <w:p>
            <w:pPr>
              <w:pStyle w:val="text-28"/>
            </w:pPr>
            <w:r>
              <w:rPr>
                <w:rStyle w:val="text-28-c"/>
              </w:rPr>
              <w:t xml:space="preserve">¥0–500,000 (self-funded)</w:t>
            </w:r>
          </w:p>
        </w:tc>
      </w:tr>
      <w:tr>
        <w:tc>
          <w:tcPr>
            <w:tcW w:w="0" w:type="auto"/>
            <w:tcBorders>
              <w:top w:val="single" w:color="dddddd" w:sz="6" w:space="0"/>
            </w:tcBorders>
            <w:vAlign w:val="center"/>
            <w:hideMark/>
          </w:tcPr>
          <w:p>
            <w:pPr>
              <w:pStyle w:val="text-28"/>
            </w:pPr>
            <w:r>
              <w:rPr>
                <w:rStyle w:val="text-28-c"/>
              </w:rPr>
              <w:t xml:space="preserve">1. Foundation</w:t>
            </w:r>
          </w:p>
        </w:tc>
        <w:tc>
          <w:tcPr>
            <w:tcW w:w="0" w:type="auto"/>
            <w:tcBorders>
              <w:top w:val="single" w:color="dddddd" w:sz="6" w:space="0"/>
            </w:tcBorders>
            <w:vAlign w:val="center"/>
            <w:hideMark/>
          </w:tcPr>
          <w:p>
            <w:pPr>
              <w:pStyle w:val="text-28"/>
            </w:pPr>
            <w:r>
              <w:rPr>
                <w:rStyle w:val="text-28-c"/>
              </w:rPr>
              <w:t xml:space="preserve">Months 4–9</w:t>
            </w:r>
          </w:p>
        </w:tc>
        <w:tc>
          <w:tcPr>
            <w:tcW w:w="0" w:type="auto"/>
            <w:tcBorders>
              <w:top w:val="single" w:color="dddddd" w:sz="6" w:space="0"/>
            </w:tcBorders>
            <w:vAlign w:val="center"/>
            <w:hideMark/>
          </w:tcPr>
          <w:p>
            <w:pPr>
              <w:pStyle w:val="text-28"/>
            </w:pPr>
            <w:r>
              <w:rPr>
                <w:rStyle w:val="text-28-c"/>
              </w:rPr>
              <w:t xml:space="preserve">NPO incorporation, feasibility studies</w:t>
            </w:r>
          </w:p>
        </w:tc>
        <w:tc>
          <w:tcPr>
            <w:tcW w:w="0" w:type="auto"/>
            <w:tcBorders>
              <w:top w:val="single" w:color="dddddd" w:sz="6" w:space="0"/>
            </w:tcBorders>
            <w:vAlign w:val="center"/>
            <w:hideMark/>
          </w:tcPr>
          <w:p>
            <w:pPr>
              <w:pStyle w:val="text-28"/>
            </w:pPr>
            <w:r>
              <w:rPr>
                <w:rStyle w:val="text-28-c"/>
              </w:rPr>
              <w:t xml:space="preserve">¥3–8 million</w:t>
            </w:r>
          </w:p>
        </w:tc>
      </w:tr>
      <w:tr>
        <w:tc>
          <w:tcPr>
            <w:tcW w:w="0" w:type="auto"/>
            <w:tcBorders>
              <w:top w:val="single" w:color="dddddd" w:sz="6" w:space="0"/>
            </w:tcBorders>
            <w:vAlign w:val="center"/>
            <w:hideMark/>
          </w:tcPr>
          <w:p>
            <w:pPr>
              <w:pStyle w:val="text-28"/>
            </w:pPr>
            <w:r>
              <w:rPr>
                <w:rStyle w:val="text-28-c"/>
              </w:rPr>
              <w:t xml:space="preserve">2. Pilot Design</w:t>
            </w:r>
          </w:p>
        </w:tc>
        <w:tc>
          <w:tcPr>
            <w:tcW w:w="0" w:type="auto"/>
            <w:tcBorders>
              <w:top w:val="single" w:color="dddddd" w:sz="6" w:space="0"/>
            </w:tcBorders>
            <w:vAlign w:val="center"/>
            <w:hideMark/>
          </w:tcPr>
          <w:p>
            <w:pPr>
              <w:pStyle w:val="text-28"/>
            </w:pPr>
            <w:r>
              <w:rPr>
                <w:rStyle w:val="text-28-c"/>
              </w:rPr>
              <w:t xml:space="preserve">Months 10–18</w:t>
            </w:r>
          </w:p>
        </w:tc>
        <w:tc>
          <w:tcPr>
            <w:tcW w:w="0" w:type="auto"/>
            <w:tcBorders>
              <w:top w:val="single" w:color="dddddd" w:sz="6" w:space="0"/>
            </w:tcBorders>
            <w:vAlign w:val="center"/>
            <w:hideMark/>
          </w:tcPr>
          <w:p>
            <w:pPr>
              <w:pStyle w:val="text-28"/>
            </w:pPr>
            <w:r>
              <w:rPr>
                <w:rStyle w:val="text-28-c"/>
              </w:rPr>
              <w:t xml:space="preserve">Detailed engineering, partnerships, permits</w:t>
            </w:r>
          </w:p>
        </w:tc>
        <w:tc>
          <w:tcPr>
            <w:tcW w:w="0" w:type="auto"/>
            <w:tcBorders>
              <w:top w:val="single" w:color="dddddd" w:sz="6" w:space="0"/>
            </w:tcBorders>
            <w:vAlign w:val="center"/>
            <w:hideMark/>
          </w:tcPr>
          <w:p>
            <w:pPr>
              <w:pStyle w:val="text-28"/>
            </w:pPr>
            <w:r>
              <w:rPr>
                <w:rStyle w:val="text-28-c"/>
              </w:rPr>
              <w:t xml:space="preserve">¥15–30 million</w:t>
            </w:r>
          </w:p>
        </w:tc>
      </w:tr>
      <w:tr>
        <w:tc>
          <w:tcPr>
            <w:tcW w:w="0" w:type="auto"/>
            <w:tcBorders>
              <w:top w:val="single" w:color="dddddd" w:sz="6" w:space="0"/>
            </w:tcBorders>
            <w:vAlign w:val="center"/>
            <w:hideMark/>
          </w:tcPr>
          <w:p>
            <w:pPr>
              <w:pStyle w:val="text-28"/>
            </w:pPr>
            <w:r>
              <w:rPr>
                <w:rStyle w:val="text-28-c"/>
              </w:rPr>
              <w:t xml:space="preserve">3. Pilot Build</w:t>
            </w:r>
          </w:p>
        </w:tc>
        <w:tc>
          <w:tcPr>
            <w:tcW w:w="0" w:type="auto"/>
            <w:tcBorders>
              <w:top w:val="single" w:color="dddddd" w:sz="6" w:space="0"/>
            </w:tcBorders>
            <w:vAlign w:val="center"/>
            <w:hideMark/>
          </w:tcPr>
          <w:p>
            <w:pPr>
              <w:pStyle w:val="text-28"/>
            </w:pPr>
            <w:r>
              <w:rPr>
                <w:rStyle w:val="text-28-c"/>
              </w:rPr>
              <w:t xml:space="preserve">Months 19–30</w:t>
            </w:r>
          </w:p>
        </w:tc>
        <w:tc>
          <w:tcPr>
            <w:tcW w:w="0" w:type="auto"/>
            <w:tcBorders>
              <w:top w:val="single" w:color="dddddd" w:sz="6" w:space="0"/>
            </w:tcBorders>
            <w:vAlign w:val="center"/>
            <w:hideMark/>
          </w:tcPr>
          <w:p>
            <w:pPr>
              <w:pStyle w:val="text-28"/>
            </w:pPr>
            <w:r>
              <w:rPr>
                <w:rStyle w:val="text-28-c"/>
              </w:rPr>
              <w:t xml:space="preserve">Construction of small first stage</w:t>
            </w:r>
          </w:p>
        </w:tc>
        <w:tc>
          <w:tcPr>
            <w:tcW w:w="0" w:type="auto"/>
            <w:tcBorders>
              <w:top w:val="single" w:color="dddddd" w:sz="6" w:space="0"/>
            </w:tcBorders>
            <w:vAlign w:val="center"/>
            <w:hideMark/>
          </w:tcPr>
          <w:p>
            <w:pPr>
              <w:pStyle w:val="text-28"/>
            </w:pPr>
            <w:r>
              <w:rPr>
                <w:rStyle w:val="text-28-c"/>
              </w:rPr>
              <w:t xml:space="preserve">¥80–200 million</w:t>
            </w:r>
          </w:p>
        </w:tc>
      </w:tr>
      <w:tr>
        <w:tc>
          <w:tcPr>
            <w:tcW w:w="0" w:type="auto"/>
            <w:tcBorders>
              <w:top w:val="single" w:color="dddddd" w:sz="6" w:space="0"/>
            </w:tcBorders>
            <w:vAlign w:val="center"/>
            <w:hideMark/>
          </w:tcPr>
          <w:p>
            <w:pPr>
              <w:pStyle w:val="text-28"/>
            </w:pPr>
            <w:r>
              <w:rPr>
                <w:rStyle w:val="text-28-c"/>
              </w:rPr>
              <w:t xml:space="preserve">4. Operation &amp; Scale</w:t>
            </w:r>
          </w:p>
        </w:tc>
        <w:tc>
          <w:tcPr>
            <w:tcW w:w="0" w:type="auto"/>
            <w:tcBorders>
              <w:top w:val="single" w:color="dddddd" w:sz="6" w:space="0"/>
            </w:tcBorders>
            <w:vAlign w:val="center"/>
            <w:hideMark/>
          </w:tcPr>
          <w:p>
            <w:pPr>
              <w:pStyle w:val="text-28"/>
            </w:pPr>
            <w:r>
              <w:rPr>
                <w:rStyle w:val="text-28-c"/>
              </w:rPr>
              <w:t xml:space="preserve">Months 31+</w:t>
            </w:r>
          </w:p>
        </w:tc>
        <w:tc>
          <w:tcPr>
            <w:tcW w:w="0" w:type="auto"/>
            <w:tcBorders>
              <w:top w:val="single" w:color="dddddd" w:sz="6" w:space="0"/>
            </w:tcBorders>
            <w:vAlign w:val="center"/>
            <w:hideMark/>
          </w:tcPr>
          <w:p>
            <w:pPr>
              <w:pStyle w:val="text-28"/>
            </w:pPr>
            <w:r>
              <w:rPr>
                <w:rStyle w:val="text-28-c"/>
              </w:rPr>
              <w:t xml:space="preserve">Operations, monitoring, expansion</w:t>
            </w:r>
          </w:p>
        </w:tc>
        <w:tc>
          <w:tcPr>
            <w:tcW w:w="0" w:type="auto"/>
            <w:tcBorders>
              <w:top w:val="single" w:color="dddddd" w:sz="6" w:space="0"/>
            </w:tcBorders>
            <w:vAlign w:val="center"/>
            <w:hideMark/>
          </w:tcPr>
          <w:p>
            <w:pPr>
              <w:pStyle w:val="text-28"/>
            </w:pPr>
            <w:r>
              <w:rPr>
                <w:rStyle w:val="text-28-c"/>
              </w:rPr>
              <w:t xml:space="preserve">Variable</w:t>
            </w:r>
          </w:p>
        </w:tc>
      </w:tr>
    </w:tbl>
    <w:p>
      <w:pPr>
        <w:rPr>
          <w:rFonts w:eastAsia="Times New Roman"/>
          <w:vanish/>
          <w:sz w:val="2"/>
          <w:szCs w:val="2"/>
        </w:rPr>
      </w:pPr>
    </w:p>
    <w:p>
      <w:pPr>
        <w:pStyle w:val="text-12"/>
      </w:pPr>
      <w:r>
        <w:rPr>
          <w:rStyle w:val="text-12-c"/>
        </w:rPr>
        <w:t xml:space="preserve">These ranges are realistic for rural Japan but conservative — actual costs vary widely depending on biomass equipment, fiber availability, and building condition.</w:t>
      </w:r>
    </w:p>
    <w:p>
      <w:pPr>
        <w:jc w:val="center"/>
      </w:pPr>
      <w:r>
        <mc:AlternateContent>
          <mc:Choice Requires="wpg">
            <w:drawing>
              <wp:inline xmlns:wp="http://schemas.openxmlformats.org/drawingml/2006/wordprocessingDrawing" distT="0" distB="0" distL="0" distR="0">
                <wp:extent cx="5943600" cy="0"/>
                <wp:effectExtent l="0" t="0" r="0" b="0"/>
                <wp:docPr id="3" name="Line 3"/>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Phase 0 — Pre-Foundation (Months 1–3)</w:t>
      </w:r>
    </w:p>
    <w:p>
      <w:pPr>
        <w:pStyle w:val="text-8"/>
      </w:pPr>
      <w:r>
        <w:rPr>
          <w:rStyle w:val="text-8-c"/>
        </w:rPr>
        <w:t xml:space="preserve">Goal:</w:t>
      </w:r>
      <w:r>
        <w:rPr>
          <w:rStyle w:val="text-12-c"/>
        </w:rPr>
        <w:t xml:space="preserve"> Establish local trust and a small founding team before any public announcements or formal structures.</w:t>
      </w:r>
    </w:p>
    <w:p>
      <w:pPr>
        <w:pStyle w:val="text-5"/>
      </w:pPr>
      <w:r>
        <w:rPr>
          <w:rStyle w:val="text-5-c"/>
        </w:rPr>
        <w:t xml:space="preserve">Critical Actions</w:t>
      </w:r>
    </w:p>
    <w:p>
      <w:pPr>
        <w:pStyle w:val="text-56"/>
        <w:numPr>
          <w:ilvl w:val="0"/>
          <w:numId w:val="2"/>
        </w:numPr>
      </w:pPr>
      <w:r>
        <w:rPr>
          <w:rStyle w:val="text-56-c"/>
        </w:rPr>
        <w:t xml:space="preserve">Private conversations with village leadership</w:t>
      </w:r>
      <w:r>
        <w:rPr>
          <w:rStyle w:val="text-57-c"/>
        </w:rPr>
        <w:t xml:space="preserve"> — village mayor, key council members. Listen first, present second.</w:t>
      </w:r>
    </w:p>
    <w:p>
      <w:pPr>
        <w:pStyle w:val="text-56"/>
        <w:numPr>
          <w:ilvl w:val="0"/>
          <w:numId w:val="2"/>
        </w:numPr>
      </w:pPr>
      <w:r>
        <w:rPr>
          <w:rStyle w:val="text-56-c"/>
        </w:rPr>
        <w:t xml:space="preserve">Conversations with 自治会 (community association)</w:t>
      </w:r>
      <w:r>
        <w:rPr>
          <w:rStyle w:val="text-57-c"/>
        </w:rPr>
        <w:t xml:space="preserve"> leaders in Sugano and surrounding hamlets.</w:t>
      </w:r>
    </w:p>
    <w:p>
      <w:pPr>
        <w:pStyle w:val="text-56"/>
        <w:numPr>
          <w:ilvl w:val="0"/>
          <w:numId w:val="2"/>
        </w:numPr>
      </w:pPr>
      <w:r>
        <w:rPr>
          <w:rStyle w:val="text-56-c"/>
        </w:rPr>
        <w:t xml:space="preserve">Identify 3–5 founding team members</w:t>
      </w:r>
      <w:r>
        <w:rPr>
          <w:rStyle w:val="text-57-c"/>
        </w:rPr>
        <w:t xml:space="preserve"> including at least one well-respected Japanese co-founder with rural credibility.</w:t>
      </w:r>
    </w:p>
    <w:p>
      <w:pPr>
        <w:pStyle w:val="text-56"/>
        <w:numPr>
          <w:ilvl w:val="0"/>
          <w:numId w:val="2"/>
        </w:numPr>
      </w:pPr>
      <w:r>
        <w:rPr>
          <w:rStyle w:val="text-56-c"/>
        </w:rPr>
        <w:t xml:space="preserve">Quiet conversations with 2–3 sympathetic landowners</w:t>
      </w:r>
      <w:r>
        <w:rPr>
          <w:rStyle w:val="text-57-c"/>
        </w:rPr>
        <w:t xml:space="preserve"> to gauge interest in cedar harvesting partnerships.</w:t>
      </w:r>
    </w:p>
    <w:p>
      <w:pPr>
        <w:pStyle w:val="text-56"/>
        <w:numPr>
          <w:ilvl w:val="0"/>
          <w:numId w:val="2"/>
        </w:numPr>
      </w:pPr>
      <w:r>
        <w:rPr>
          <w:rStyle w:val="text-56-c"/>
        </w:rPr>
        <w:t xml:space="preserve">Draft preliminary charter</w:t>
      </w:r>
      <w:r>
        <w:rPr>
          <w:rStyle w:val="text-57-c"/>
        </w:rPr>
        <w:t xml:space="preserve"> in Japanese and English (simple, 1–2 pages).</w:t>
      </w:r>
    </w:p>
    <w:p>
      <w:pPr>
        <w:pStyle w:val="text-5"/>
      </w:pPr>
      <w:r>
        <w:rPr>
          <w:rStyle w:val="text-5-c"/>
        </w:rPr>
        <w:t xml:space="preserve">What NOT to Do in Phase 0</w:t>
      </w:r>
    </w:p>
    <w:p>
      <w:pPr>
        <w:pStyle w:val="text-69"/>
        <w:numPr>
          <w:ilvl w:val="0"/>
          <w:numId w:val="1"/>
        </w:numPr>
      </w:pPr>
      <w:r>
        <w:rPr>
          <w:rStyle w:val="text-69-c"/>
        </w:rPr>
        <w:t xml:space="preserve">No public announcements</w:t>
      </w:r>
    </w:p>
    <w:p>
      <w:pPr>
        <w:pStyle w:val="text-69"/>
        <w:numPr>
          <w:ilvl w:val="0"/>
          <w:numId w:val="1"/>
        </w:numPr>
      </w:pPr>
      <w:r>
        <w:rPr>
          <w:rStyle w:val="text-69-c"/>
        </w:rPr>
        <w:t xml:space="preserve">No website or social media yet</w:t>
      </w:r>
    </w:p>
    <w:p>
      <w:pPr>
        <w:pStyle w:val="text-69"/>
        <w:numPr>
          <w:ilvl w:val="0"/>
          <w:numId w:val="1"/>
        </w:numPr>
      </w:pPr>
      <w:r>
        <w:rPr>
          <w:rStyle w:val="text-69-c"/>
        </w:rPr>
        <w:t xml:space="preserve">No press contact</w:t>
      </w:r>
    </w:p>
    <w:p>
      <w:pPr>
        <w:pStyle w:val="text-69"/>
        <w:numPr>
          <w:ilvl w:val="0"/>
          <w:numId w:val="1"/>
        </w:numPr>
      </w:pPr>
      <w:r>
        <w:rPr>
          <w:rStyle w:val="text-69-c"/>
        </w:rPr>
        <w:t xml:space="preserve">No detailed financial commitments</w:t>
      </w:r>
    </w:p>
    <w:p>
      <w:pPr>
        <w:pStyle w:val="text-5"/>
      </w:pPr>
      <w:r>
        <w:rPr>
          <w:rStyle w:val="text-5-c"/>
        </w:rPr>
        <w:t xml:space="preserve">Deliverables</w:t>
      </w:r>
    </w:p>
    <w:p>
      <w:pPr>
        <w:pStyle w:val="text-69"/>
        <w:numPr>
          <w:ilvl w:val="0"/>
          <w:numId w:val="1"/>
        </w:numPr>
      </w:pPr>
      <w:r>
        <w:rPr>
          <w:rStyle w:val="text-69-c"/>
        </w:rPr>
        <w:t xml:space="preserve">Founding team agreed (verbal commitments)</w:t>
      </w:r>
    </w:p>
    <w:p>
      <w:pPr>
        <w:pStyle w:val="text-69"/>
        <w:numPr>
          <w:ilvl w:val="0"/>
          <w:numId w:val="1"/>
        </w:numPr>
      </w:pPr>
      <w:r>
        <w:rPr>
          <w:rStyle w:val="text-69-c"/>
        </w:rPr>
        <w:t xml:space="preserve">Mitsue village leadership informed and supportive (or neutral)</w:t>
      </w:r>
    </w:p>
    <w:p>
      <w:pPr>
        <w:pStyle w:val="text-69"/>
        <w:numPr>
          <w:ilvl w:val="0"/>
          <w:numId w:val="1"/>
        </w:numPr>
      </w:pPr>
      <w:r>
        <w:rPr>
          <w:rStyle w:val="text-69-c"/>
        </w:rPr>
        <w:t xml:space="preserve">Draft charter document</w:t>
      </w:r>
    </w:p>
    <w:p>
      <w:pPr>
        <w:pStyle w:val="text-69"/>
        <w:numPr>
          <w:ilvl w:val="0"/>
          <w:numId w:val="1"/>
        </w:numPr>
      </w:pPr>
      <w:r>
        <w:rPr>
          <w:rStyle w:val="text-69-c"/>
        </w:rPr>
        <w:t xml:space="preserve">List of potential landowner partners</w:t>
      </w:r>
    </w:p>
    <w:p>
      <w:pPr>
        <w:jc w:val="center"/>
      </w:pPr>
      <w:r>
        <mc:AlternateContent>
          <mc:Choice Requires="wpg">
            <w:drawing>
              <wp:inline xmlns:wp="http://schemas.openxmlformats.org/drawingml/2006/wordprocessingDrawing" distT="0" distB="0" distL="0" distR="0">
                <wp:extent cx="5943600" cy="0"/>
                <wp:effectExtent l="0" t="0" r="0" b="0"/>
                <wp:docPr id="4" name="Line 4"/>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3" o:spid="_x0000_s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Phase 1 — Foundation (Months 4–9)</w:t>
      </w:r>
    </w:p>
    <w:p>
      <w:pPr>
        <w:pStyle w:val="text-8"/>
      </w:pPr>
      <w:r>
        <w:rPr>
          <w:rStyle w:val="text-8-c"/>
        </w:rPr>
        <w:t xml:space="preserve">Goal:</w:t>
      </w:r>
      <w:r>
        <w:rPr>
          <w:rStyle w:val="text-12-c"/>
        </w:rPr>
        <w:t xml:space="preserve"> Establish the legal entity and complete feasibility studies that will enable serious funding applications.</w:t>
      </w:r>
    </w:p>
    <w:p>
      <w:pPr>
        <w:pStyle w:val="text-5"/>
      </w:pPr>
      <w:r>
        <w:rPr>
          <w:rStyle w:val="text-5-c"/>
        </w:rPr>
        <w:t xml:space="preserve">1A. NGO Setup — Choosing the Right Structure</w:t>
      </w:r>
    </w:p>
    <w:p>
      <w:pPr>
        <w:pStyle w:val="text-12"/>
      </w:pPr>
      <w:r>
        <w:rPr>
          <w:rStyle w:val="text-12-c"/>
        </w:rPr>
        <w:t xml:space="preserve">There are </w:t>
      </w:r>
      <w:r>
        <w:rPr>
          <w:rStyle w:val="text-8-c"/>
        </w:rPr>
        <w:t xml:space="preserve">three relevant non-profit structures</w:t>
      </w:r>
      <w:r>
        <w:rPr>
          <w:rStyle w:val="text-12-c"/>
        </w:rPr>
        <w:t xml:space="preserve"> in Japan, with different tradeoffs:</w:t>
      </w:r>
    </w:p>
    <w:p>
      <w:pPr>
        <w:pStyle w:val="text-86"/>
      </w:pPr>
      <w:r>
        <w:rPr>
          <w:rStyle w:val="text-86-c"/>
        </w:rPr>
        <w:t xml:space="preserve">Option A: 一般社団法人 (Ippan Shadan Hojin) — General Incorporated Association</w:t>
      </w:r>
    </w:p>
    <w:p>
      <w:pPr>
        <w:pStyle w:val="text-88"/>
        <w:numPr>
          <w:ilvl w:val="0"/>
          <w:numId w:val="1"/>
        </w:numPr>
      </w:pPr>
      <w:r>
        <w:rPr>
          <w:rStyle w:val="text-88-c"/>
        </w:rPr>
        <w:t xml:space="preserve">Easier to set up</w:t>
      </w:r>
      <w:r>
        <w:rPr>
          <w:rStyle w:val="text-69-c"/>
        </w:rPr>
        <w:t xml:space="preserve"> — registration only, no government approval needed</w:t>
      </w:r>
    </w:p>
    <w:p>
      <w:pPr>
        <w:pStyle w:val="text-88"/>
        <w:numPr>
          <w:ilvl w:val="0"/>
          <w:numId w:val="1"/>
        </w:numPr>
      </w:pPr>
      <w:r>
        <w:rPr>
          <w:rStyle w:val="text-88-c"/>
        </w:rPr>
        <w:t xml:space="preserve">Faster</w:t>
      </w:r>
      <w:r>
        <w:rPr>
          <w:rStyle w:val="text-69-c"/>
        </w:rPr>
        <w:t xml:space="preserve"> — typically 1–2 months to incorporate</w:t>
      </w:r>
    </w:p>
    <w:p>
      <w:pPr>
        <w:pStyle w:val="text-88"/>
        <w:numPr>
          <w:ilvl w:val="0"/>
          <w:numId w:val="1"/>
        </w:numPr>
      </w:pPr>
      <w:r>
        <w:rPr>
          <w:rStyle w:val="text-88-c"/>
        </w:rPr>
        <w:t xml:space="preserve">More flexible</w:t>
      </w:r>
      <w:r>
        <w:rPr>
          <w:rStyle w:val="text-69-c"/>
        </w:rPr>
        <w:t xml:space="preserve"> governance</w:t>
      </w:r>
    </w:p>
    <w:p>
      <w:pPr>
        <w:pStyle w:val="text-88"/>
        <w:numPr>
          <w:ilvl w:val="0"/>
          <w:numId w:val="1"/>
        </w:numPr>
      </w:pPr>
      <w:r>
        <w:rPr>
          <w:rStyle w:val="text-88-c"/>
        </w:rPr>
        <w:t xml:space="preserve">Recommended for the project's first 1–2 years</w:t>
      </w:r>
    </w:p>
    <w:p>
      <w:pPr>
        <w:pStyle w:val="text-86"/>
      </w:pPr>
      <w:r>
        <w:rPr>
          <w:rStyle w:val="text-86-c"/>
        </w:rPr>
        <w:t xml:space="preserve">Option B: NPO法人 (NPO Hojin / 特定非営利活動法人) — Specified Nonprofit Corporation</w:t>
      </w:r>
    </w:p>
    <w:p>
      <w:pPr>
        <w:pStyle w:val="text-88"/>
        <w:numPr>
          <w:ilvl w:val="0"/>
          <w:numId w:val="1"/>
        </w:numPr>
      </w:pPr>
      <w:r>
        <w:rPr>
          <w:rStyle w:val="text-88-c"/>
        </w:rPr>
        <w:t xml:space="preserve">Requires prefectural government authorization (認証)</w:t>
      </w:r>
      <w:r>
        <w:rPr>
          <w:rStyle w:val="text-69-c"/>
        </w:rPr>
        <w:t xml:space="preserve"> — 4-month review period</w:t>
      </w:r>
    </w:p>
    <w:p>
      <w:pPr>
        <w:pStyle w:val="text-88"/>
        <w:numPr>
          <w:ilvl w:val="0"/>
          <w:numId w:val="1"/>
        </w:numPr>
      </w:pPr>
      <w:r>
        <w:rPr>
          <w:rStyle w:val="text-88-c"/>
        </w:rPr>
        <w:t xml:space="preserve">More public credibility</w:t>
      </w:r>
      <w:r>
        <w:rPr>
          <w:rStyle w:val="text-69-c"/>
        </w:rPr>
        <w:t xml:space="preserve"> for grants and donations</w:t>
      </w:r>
    </w:p>
    <w:p>
      <w:pPr>
        <w:pStyle w:val="text-88"/>
        <w:numPr>
          <w:ilvl w:val="0"/>
          <w:numId w:val="1"/>
        </w:numPr>
      </w:pPr>
      <w:r>
        <w:rPr>
          <w:rStyle w:val="text-88-c"/>
        </w:rPr>
        <w:t xml:space="preserve">Stricter regulations</w:t>
      </w:r>
      <w:r>
        <w:rPr>
          <w:rStyle w:val="text-69-c"/>
        </w:rPr>
        <w:t xml:space="preserve"> — minimum 10 members, 3 directors, 1 auditor; mandatory public disclosures</w:t>
      </w:r>
    </w:p>
    <w:p>
      <w:pPr>
        <w:pStyle w:val="text-88"/>
        <w:numPr>
          <w:ilvl w:val="0"/>
          <w:numId w:val="1"/>
        </w:numPr>
      </w:pPr>
      <w:r>
        <w:rPr>
          <w:rStyle w:val="text-88-c"/>
        </w:rPr>
        <w:t xml:space="preserve">Best path for long-term legitimacy and government grants</w:t>
      </w:r>
    </w:p>
    <w:p>
      <w:pPr>
        <w:pStyle w:val="text-88"/>
        <w:numPr>
          <w:ilvl w:val="0"/>
          <w:numId w:val="1"/>
        </w:numPr>
      </w:pPr>
      <w:r>
        <w:rPr>
          <w:rStyle w:val="text-88-c"/>
        </w:rPr>
        <w:t xml:space="preserve">Recommendation:</w:t>
      </w:r>
      <w:r>
        <w:rPr>
          <w:rStyle w:val="text-69-c"/>
        </w:rPr>
        <w:t xml:space="preserve"> Convert to this in year 2–3 when ready</w:t>
      </w:r>
    </w:p>
    <w:p>
      <w:pPr>
        <w:pStyle w:val="text-86"/>
      </w:pPr>
      <w:r>
        <w:rPr>
          <w:rStyle w:val="text-86-c"/>
        </w:rPr>
        <w:t xml:space="preserve">Option C: 認定NPO法人 (Nintei NPO Hojin) — Certified NPO</w:t>
      </w:r>
    </w:p>
    <w:p>
      <w:pPr>
        <w:pStyle w:val="text-88"/>
        <w:numPr>
          <w:ilvl w:val="0"/>
          <w:numId w:val="1"/>
        </w:numPr>
      </w:pPr>
      <w:r>
        <w:rPr>
          <w:rStyle w:val="text-88-c"/>
        </w:rPr>
        <w:t xml:space="preserve">Highest credibility tier</w:t>
      </w:r>
      <w:r>
        <w:rPr>
          <w:rStyle w:val="text-69-c"/>
        </w:rPr>
        <w:t xml:space="preserve"> — donors get tax deductions</w:t>
      </w:r>
    </w:p>
    <w:p>
      <w:pPr>
        <w:pStyle w:val="text-88"/>
        <w:numPr>
          <w:ilvl w:val="0"/>
          <w:numId w:val="1"/>
        </w:numPr>
      </w:pPr>
      <w:r>
        <w:rPr>
          <w:rStyle w:val="text-88-c"/>
        </w:rPr>
        <w:t xml:space="preserve">Available 5+ years after NPO法人 incorporation</w:t>
      </w:r>
      <w:r>
        <w:rPr>
          <w:rStyle w:val="text-69-c"/>
        </w:rPr>
        <w:t xml:space="preserve"> (or special early certification one-time)</w:t>
      </w:r>
    </w:p>
    <w:p>
      <w:pPr>
        <w:pStyle w:val="text-88"/>
        <w:numPr>
          <w:ilvl w:val="0"/>
          <w:numId w:val="1"/>
        </w:numPr>
      </w:pPr>
      <w:r>
        <w:rPr>
          <w:rStyle w:val="text-88-c"/>
        </w:rPr>
        <w:t xml:space="preserve">Strict requirements</w:t>
      </w:r>
      <w:r>
        <w:rPr>
          <w:rStyle w:val="text-69-c"/>
        </w:rPr>
        <w:t xml:space="preserve"> — public donation thresholds, financial transparency</w:t>
      </w:r>
    </w:p>
    <w:p>
      <w:pPr>
        <w:pStyle w:val="text-88"/>
        <w:numPr>
          <w:ilvl w:val="0"/>
          <w:numId w:val="1"/>
        </w:numPr>
      </w:pPr>
      <w:r>
        <w:rPr>
          <w:rStyle w:val="text-88-c"/>
        </w:rPr>
        <w:t xml:space="preserve">Long-term goal</w:t>
      </w:r>
      <w:r>
        <w:rPr>
          <w:rStyle w:val="text-69-c"/>
        </w:rPr>
        <w:t xml:space="preserve"> — apply once track record is established</w:t>
      </w:r>
    </w:p>
    <w:p>
      <w:pPr>
        <w:pStyle w:val="text-5"/>
      </w:pPr>
      <w:r>
        <w:rPr>
          <w:rStyle w:val="text-5-c"/>
        </w:rPr>
        <w:t xml:space="preserve">1B. Recommended Path for the Mitsue Project</w:t>
      </w:r>
    </w:p>
    <w:p>
      <w:pPr>
        <w:pStyle w:val="text-8"/>
      </w:pPr>
      <w:r>
        <w:rPr>
          <w:rStyle w:val="text-8-c"/>
        </w:rPr>
        <w:t xml:space="preserve">Start as 一般社団法人</w:t>
      </w:r>
      <w:r>
        <w:rPr>
          <w:rStyle w:val="text-12-c"/>
        </w:rPr>
        <w:t xml:space="preserve">, plan transition to </w:t>
      </w:r>
      <w:r>
        <w:rPr>
          <w:rStyle w:val="text-8-c"/>
        </w:rPr>
        <w:t xml:space="preserve">NPO法人</w:t>
      </w:r>
      <w:r>
        <w:rPr>
          <w:rStyle w:val="text-12-c"/>
        </w:rPr>
        <w:t xml:space="preserve"> after 18–24 months.</w:t>
      </w:r>
    </w:p>
    <w:p>
      <w:pPr>
        <w:pStyle w:val="text-5"/>
      </w:pPr>
      <w:r>
        <w:rPr>
          <w:rStyle w:val="text-5-c"/>
        </w:rPr>
        <w:t xml:space="preserve">1C. Setup Requirements (一般社団法人)</w:t>
      </w:r>
    </w:p>
    <w:p>
      <w:pPr>
        <w:pStyle w:val="text-88"/>
        <w:numPr>
          <w:ilvl w:val="0"/>
          <w:numId w:val="1"/>
        </w:numPr>
      </w:pPr>
      <w:r>
        <w:rPr>
          <w:rStyle w:val="text-88-c"/>
        </w:rPr>
        <w:t xml:space="preserve">Minimum 2 founding members</w:t>
      </w:r>
      <w:r>
        <w:rPr>
          <w:rStyle w:val="text-69-c"/>
        </w:rPr>
        <w:t xml:space="preserve"> (社員)</w:t>
      </w:r>
    </w:p>
    <w:p>
      <w:pPr>
        <w:pStyle w:val="text-88"/>
        <w:numPr>
          <w:ilvl w:val="0"/>
          <w:numId w:val="1"/>
        </w:numPr>
      </w:pPr>
      <w:r>
        <w:rPr>
          <w:rStyle w:val="text-88-c"/>
        </w:rPr>
        <w:t xml:space="preserve">Minimum 1 director</w:t>
      </w:r>
      <w:r>
        <w:rPr>
          <w:rStyle w:val="text-69-c"/>
        </w:rPr>
        <w:t xml:space="preserve"> (理事), but 3+ is strongly recommended</w:t>
      </w:r>
    </w:p>
    <w:p>
      <w:pPr>
        <w:pStyle w:val="text-88"/>
        <w:numPr>
          <w:ilvl w:val="0"/>
          <w:numId w:val="1"/>
        </w:numPr>
      </w:pPr>
      <w:r>
        <w:rPr>
          <w:rStyle w:val="text-88-c"/>
        </w:rPr>
        <w:t xml:space="preserve">Articles of incorporation</w:t>
      </w:r>
      <w:r>
        <w:rPr>
          <w:rStyle w:val="text-69-c"/>
        </w:rPr>
        <w:t xml:space="preserve"> (定款) — drafted in Japanese, notarized</w:t>
      </w:r>
    </w:p>
    <w:p>
      <w:pPr>
        <w:pStyle w:val="text-88"/>
        <w:numPr>
          <w:ilvl w:val="0"/>
          <w:numId w:val="1"/>
        </w:numPr>
      </w:pPr>
      <w:r>
        <w:rPr>
          <w:rStyle w:val="text-88-c"/>
        </w:rPr>
        <w:t xml:space="preserve">Registered office address</w:t>
      </w:r>
      <w:r>
        <w:rPr>
          <w:rStyle w:val="text-69-c"/>
        </w:rPr>
        <w:t xml:space="preserve"> — can be in Mitsue</w:t>
      </w:r>
    </w:p>
    <w:p>
      <w:pPr>
        <w:pStyle w:val="text-88"/>
        <w:numPr>
          <w:ilvl w:val="0"/>
          <w:numId w:val="1"/>
        </w:numPr>
      </w:pPr>
      <w:r>
        <w:rPr>
          <w:rStyle w:val="text-88-c"/>
        </w:rPr>
        <w:t xml:space="preserve">Registration with Legal Affairs Bureau</w:t>
      </w:r>
      <w:r>
        <w:rPr>
          <w:rStyle w:val="text-69-c"/>
        </w:rPr>
        <w:t xml:space="preserve"> (法務局)</w:t>
      </w:r>
    </w:p>
    <w:p>
      <w:pPr>
        <w:pStyle w:val="text-88"/>
        <w:numPr>
          <w:ilvl w:val="0"/>
          <w:numId w:val="1"/>
        </w:numPr>
      </w:pPr>
      <w:r>
        <w:rPr>
          <w:rStyle w:val="text-88-c"/>
        </w:rPr>
        <w:t xml:space="preserve">Estimated cost:</w:t>
      </w:r>
      <w:r>
        <w:rPr>
          <w:rStyle w:val="text-69-c"/>
        </w:rPr>
        <w:t xml:space="preserve"> ¥110,000 registration tax + ¥50,000 notary + ¥100,000–300,000 if using a 行政書士 (administrative scrivener)</w:t>
      </w:r>
    </w:p>
    <w:p>
      <w:pPr>
        <w:pStyle w:val="text-88"/>
        <w:numPr>
          <w:ilvl w:val="0"/>
          <w:numId w:val="1"/>
        </w:numPr>
      </w:pPr>
      <w:r>
        <w:rPr>
          <w:rStyle w:val="text-88-c"/>
        </w:rPr>
        <w:t xml:space="preserve">Setup time:</w:t>
      </w:r>
      <w:r>
        <w:rPr>
          <w:rStyle w:val="text-69-c"/>
        </w:rPr>
        <w:t xml:space="preserve"> 4–8 weeks</w:t>
      </w:r>
    </w:p>
    <w:p>
      <w:pPr>
        <w:pStyle w:val="text-5"/>
      </w:pPr>
      <w:r>
        <w:rPr>
          <w:rStyle w:val="text-5-c"/>
        </w:rPr>
        <w:t xml:space="preserve">1D. Recommended Founding Board Composition</w:t>
      </w:r>
    </w:p>
    <w:p>
      <w:pPr>
        <w:pStyle w:val="text-88"/>
        <w:numPr>
          <w:ilvl w:val="0"/>
          <w:numId w:val="1"/>
        </w:numPr>
      </w:pPr>
      <w:r>
        <w:rPr>
          <w:rStyle w:val="text-88-c"/>
        </w:rPr>
        <w:t xml:space="preserve">Representative Director</w:t>
      </w:r>
      <w:r>
        <w:rPr>
          <w:rStyle w:val="text-69-c"/>
        </w:rPr>
        <w:t xml:space="preserve"> (代表理事): ideally a respected Japanese co-founder</w:t>
      </w:r>
    </w:p>
    <w:p>
      <w:pPr>
        <w:pStyle w:val="text-88"/>
        <w:numPr>
          <w:ilvl w:val="0"/>
          <w:numId w:val="1"/>
        </w:numPr>
      </w:pPr>
      <w:r>
        <w:rPr>
          <w:rStyle w:val="text-88-c"/>
        </w:rPr>
        <w:t xml:space="preserve">Director — Technology</w:t>
      </w:r>
      <w:r>
        <w:rPr>
          <w:rStyle w:val="text-69-c"/>
        </w:rPr>
        <w:t xml:space="preserve">: Rob (or rotating role)</w:t>
      </w:r>
    </w:p>
    <w:p>
      <w:pPr>
        <w:pStyle w:val="text-88"/>
        <w:numPr>
          <w:ilvl w:val="0"/>
          <w:numId w:val="1"/>
        </w:numPr>
      </w:pPr>
      <w:r>
        <w:rPr>
          <w:rStyle w:val="text-88-c"/>
        </w:rPr>
        <w:t xml:space="preserve">Director — Forestry/Local</w:t>
      </w:r>
      <w:r>
        <w:rPr>
          <w:rStyle w:val="text-69-c"/>
        </w:rPr>
        <w:t xml:space="preserve">: a local forestry expert or village elder</w:t>
      </w:r>
    </w:p>
    <w:p>
      <w:pPr>
        <w:pStyle w:val="text-88"/>
        <w:numPr>
          <w:ilvl w:val="0"/>
          <w:numId w:val="1"/>
        </w:numPr>
      </w:pPr>
      <w:r>
        <w:rPr>
          <w:rStyle w:val="text-88-c"/>
        </w:rPr>
        <w:t xml:space="preserve">Director — Finance/Operations</w:t>
      </w:r>
      <w:r>
        <w:rPr>
          <w:rStyle w:val="text-69-c"/>
        </w:rPr>
        <w:t xml:space="preserve">: someone with NPO management experience</w:t>
      </w:r>
    </w:p>
    <w:p>
      <w:pPr>
        <w:pStyle w:val="text-88"/>
        <w:numPr>
          <w:ilvl w:val="0"/>
          <w:numId w:val="1"/>
        </w:numPr>
      </w:pPr>
      <w:r>
        <w:rPr>
          <w:rStyle w:val="text-88-c"/>
        </w:rPr>
        <w:t xml:space="preserve">Auditor</w:t>
      </w:r>
      <w:r>
        <w:rPr>
          <w:rStyle w:val="text-69-c"/>
        </w:rPr>
        <w:t xml:space="preserve"> (監事): an independent person, ideally with accounting knowledge</w:t>
      </w:r>
    </w:p>
    <w:p>
      <w:pPr>
        <w:pStyle w:val="text-5"/>
      </w:pPr>
      <w:r>
        <w:rPr>
          <w:rStyle w:val="text-5-c"/>
        </w:rPr>
        <w:t xml:space="preserve">1E. Feasibility Studies to Commission</w:t>
      </w:r>
    </w:p>
    <w:p>
      <w:pPr>
        <w:pStyle w:val="text-12"/>
      </w:pPr>
      <w:r>
        <w:rPr>
          <w:rStyle w:val="text-12-c"/>
        </w:rPr>
        <w:t xml:space="preserve">These are the </w:t>
      </w:r>
      <w:r>
        <w:rPr>
          <w:rStyle w:val="text-8-c"/>
        </w:rPr>
        <w:t xml:space="preserve">single most important documents</w:t>
      </w:r>
      <w:r>
        <w:rPr>
          <w:rStyle w:val="text-12-c"/>
        </w:rPr>
        <w:t xml:space="preserve"> for unlocking serious funding. Get these right.</w:t>
      </w:r>
    </w:p>
    <w:p>
      <w:pPr>
        <w:pStyle w:val="text-8"/>
        <w:numPr>
          <w:ilvl w:val="0"/>
          <w:numId w:val="3"/>
        </w:numPr>
      </w:pPr>
      <w:r>
        <w:rPr>
          <w:rStyle w:val="text-8-c"/>
        </w:rPr>
        <w:t xml:space="preserve">Forestry Feasibility Study</w:t>
      </w:r>
      <w:r>
        <w:rPr>
          <w:rStyle w:val="text-12-c"/>
        </w:rPr>
        <w:t xml:space="preserve"> (~¥1.5–3M)</w:t>
      </w:r>
    </w:p>
    <w:p>
      <w:pPr>
        <w:pStyle w:val="text-69"/>
        <w:numPr>
          <w:ilvl w:val="1"/>
          <w:numId w:val="1"/>
        </w:numPr>
      </w:pPr>
      <w:r>
        <w:rPr>
          <w:rStyle w:val="text-69-c"/>
        </w:rPr>
        <w:t xml:space="preserve">Biomass yield from candidate sugi plots</w:t>
      </w:r>
    </w:p>
    <w:p>
      <w:pPr>
        <w:pStyle w:val="text-69"/>
        <w:numPr>
          <w:ilvl w:val="1"/>
          <w:numId w:val="1"/>
        </w:numPr>
      </w:pPr>
      <w:r>
        <w:rPr>
          <w:rStyle w:val="text-69-c"/>
        </w:rPr>
        <w:t xml:space="preserve">Transportation costs from steep terrain</w:t>
      </w:r>
    </w:p>
    <w:p>
      <w:pPr>
        <w:pStyle w:val="text-69"/>
        <w:numPr>
          <w:ilvl w:val="1"/>
          <w:numId w:val="1"/>
        </w:numPr>
      </w:pPr>
      <w:r>
        <w:rPr>
          <w:rStyle w:val="text-69-c"/>
        </w:rPr>
        <w:t xml:space="preserve">Native forest restoration plan and timeline</w:t>
      </w:r>
    </w:p>
    <w:p>
      <w:pPr>
        <w:pStyle w:val="text-69"/>
        <w:numPr>
          <w:ilvl w:val="1"/>
          <w:numId w:val="1"/>
        </w:numPr>
      </w:pPr>
      <w:r>
        <w:rPr>
          <w:rStyle w:val="text-69-c"/>
        </w:rPr>
        <w:t xml:space="preserve">Carbon sequestration estimate</w:t>
      </w:r>
    </w:p>
    <w:p>
      <w:pPr>
        <w:pStyle w:val="text-69"/>
        <w:numPr>
          <w:ilvl w:val="1"/>
          <w:numId w:val="1"/>
        </w:numPr>
      </w:pPr>
      <w:r>
        <w:rPr>
          <w:rStyle w:val="text-69-c"/>
        </w:rPr>
        <w:t xml:space="preserve">Recommended providers: forestry consultants connected to 日本林業協会 or 林野庁</w:t>
      </w:r>
    </w:p>
    <w:p>
      <w:pPr>
        <w:pStyle w:val="text-8"/>
        <w:numPr>
          <w:ilvl w:val="0"/>
          <w:numId w:val="3"/>
        </w:numPr>
      </w:pPr>
      <w:r>
        <w:rPr>
          <w:rStyle w:val="text-8-c"/>
        </w:rPr>
        <w:t xml:space="preserve">Energy Systems Feasibility Study</w:t>
      </w:r>
      <w:r>
        <w:rPr>
          <w:rStyle w:val="text-12-c"/>
        </w:rPr>
        <w:t xml:space="preserve"> (~¥2–4M)</w:t>
      </w:r>
    </w:p>
    <w:p>
      <w:pPr>
        <w:pStyle w:val="text-69"/>
        <w:numPr>
          <w:ilvl w:val="1"/>
          <w:numId w:val="1"/>
        </w:numPr>
      </w:pPr>
      <w:r>
        <w:rPr>
          <w:rStyle w:val="text-69-c"/>
        </w:rPr>
        <w:t xml:space="preserve">Biomass plant sizing options</w:t>
      </w:r>
    </w:p>
    <w:p>
      <w:pPr>
        <w:pStyle w:val="text-69"/>
        <w:numPr>
          <w:ilvl w:val="1"/>
          <w:numId w:val="1"/>
        </w:numPr>
      </w:pPr>
      <w:r>
        <w:rPr>
          <w:rStyle w:val="text-69-c"/>
        </w:rPr>
        <w:t xml:space="preserve">Biogas potential</w:t>
      </w:r>
    </w:p>
    <w:p>
      <w:pPr>
        <w:pStyle w:val="text-69"/>
        <w:numPr>
          <w:ilvl w:val="1"/>
          <w:numId w:val="1"/>
        </w:numPr>
      </w:pPr>
      <w:r>
        <w:rPr>
          <w:rStyle w:val="text-69-c"/>
        </w:rPr>
        <w:t xml:space="preserve">Grid connection and FIT/FIP eligibility</w:t>
      </w:r>
    </w:p>
    <w:p>
      <w:pPr>
        <w:pStyle w:val="text-69"/>
        <w:numPr>
          <w:ilvl w:val="1"/>
          <w:numId w:val="1"/>
        </w:numPr>
      </w:pPr>
      <w:r>
        <w:rPr>
          <w:rStyle w:val="text-69-c"/>
        </w:rPr>
        <w:t xml:space="preserve">Battery storage requirements</w:t>
      </w:r>
    </w:p>
    <w:p>
      <w:pPr>
        <w:pStyle w:val="text-69"/>
        <w:numPr>
          <w:ilvl w:val="1"/>
          <w:numId w:val="1"/>
        </w:numPr>
      </w:pPr>
      <w:r>
        <w:rPr>
          <w:rStyle w:val="text-69-c"/>
        </w:rPr>
        <w:t xml:space="preserve">Heat recovery opportunities</w:t>
      </w:r>
    </w:p>
    <w:p>
      <w:pPr>
        <w:pStyle w:val="text-8"/>
        <w:numPr>
          <w:ilvl w:val="0"/>
          <w:numId w:val="3"/>
        </w:numPr>
      </w:pPr>
      <w:r>
        <w:rPr>
          <w:rStyle w:val="text-8-c"/>
        </w:rPr>
        <w:t xml:space="preserve">Building &amp; Site Assessment</w:t>
      </w:r>
      <w:r>
        <w:rPr>
          <w:rStyle w:val="text-12-c"/>
        </w:rPr>
        <w:t xml:space="preserve"> (~¥1–2M)</w:t>
      </w:r>
    </w:p>
    <w:p>
      <w:pPr>
        <w:pStyle w:val="text-69"/>
        <w:numPr>
          <w:ilvl w:val="1"/>
          <w:numId w:val="1"/>
        </w:numPr>
      </w:pPr>
      <w:r>
        <w:rPr>
          <w:rStyle w:val="text-69-c"/>
        </w:rPr>
        <w:t xml:space="preserve">Structural condition of school building</w:t>
      </w:r>
    </w:p>
    <w:p>
      <w:pPr>
        <w:pStyle w:val="text-69"/>
        <w:numPr>
          <w:ilvl w:val="1"/>
          <w:numId w:val="1"/>
        </w:numPr>
      </w:pPr>
      <w:r>
        <w:rPr>
          <w:rStyle w:val="text-69-c"/>
        </w:rPr>
        <w:t xml:space="preserve">Seismic compliance requirements</w:t>
      </w:r>
    </w:p>
    <w:p>
      <w:pPr>
        <w:pStyle w:val="text-69"/>
        <w:numPr>
          <w:ilvl w:val="1"/>
          <w:numId w:val="1"/>
        </w:numPr>
      </w:pPr>
      <w:r>
        <w:rPr>
          <w:rStyle w:val="text-69-c"/>
        </w:rPr>
        <w:t xml:space="preserve">Required renovations for data center use</w:t>
      </w:r>
    </w:p>
    <w:p>
      <w:pPr>
        <w:pStyle w:val="text-69"/>
        <w:numPr>
          <w:ilvl w:val="1"/>
          <w:numId w:val="1"/>
        </w:numPr>
      </w:pPr>
      <w:r>
        <w:rPr>
          <w:rStyle w:val="text-69-c"/>
        </w:rPr>
        <w:t xml:space="preserve">Zoning and permit considerations</w:t>
      </w:r>
    </w:p>
    <w:p>
      <w:pPr>
        <w:pStyle w:val="text-8"/>
        <w:numPr>
          <w:ilvl w:val="0"/>
          <w:numId w:val="3"/>
        </w:numPr>
      </w:pPr>
      <w:r>
        <w:rPr>
          <w:rStyle w:val="text-8-c"/>
        </w:rPr>
        <w:t xml:space="preserve">Connectivity Assessment</w:t>
      </w:r>
      <w:r>
        <w:rPr>
          <w:rStyle w:val="text-12-c"/>
        </w:rPr>
        <w:t xml:space="preserve"> (~¥0.3–0.5M)</w:t>
      </w:r>
    </w:p>
    <w:p>
      <w:pPr>
        <w:pStyle w:val="text-69"/>
        <w:numPr>
          <w:ilvl w:val="1"/>
          <w:numId w:val="1"/>
        </w:numPr>
      </w:pPr>
      <w:r>
        <w:rPr>
          <w:rStyle w:val="text-69-c"/>
        </w:rPr>
        <w:t xml:space="preserve">Current fiber capacity to Mitsue</w:t>
      </w:r>
    </w:p>
    <w:p>
      <w:pPr>
        <w:pStyle w:val="text-69"/>
        <w:numPr>
          <w:ilvl w:val="1"/>
          <w:numId w:val="1"/>
        </w:numPr>
      </w:pPr>
      <w:r>
        <w:rPr>
          <w:rStyle w:val="text-69-c"/>
        </w:rPr>
        <w:t xml:space="preserve">Upgrade requirements and costs</w:t>
      </w:r>
    </w:p>
    <w:p>
      <w:pPr>
        <w:pStyle w:val="text-69"/>
        <w:numPr>
          <w:ilvl w:val="1"/>
          <w:numId w:val="1"/>
        </w:numPr>
      </w:pPr>
      <w:r>
        <w:rPr>
          <w:rStyle w:val="text-69-c"/>
        </w:rPr>
        <w:t xml:space="preserve">Coordination with NTT / regional providers</w:t>
      </w:r>
    </w:p>
    <w:p>
      <w:pPr>
        <w:pStyle w:val="text-5"/>
      </w:pPr>
      <w:r>
        <w:rPr>
          <w:rStyle w:val="text-5-c"/>
        </w:rPr>
        <w:t xml:space="preserve">Phase 1 Deliverables</w:t>
      </w:r>
    </w:p>
    <w:p>
      <w:pPr>
        <w:pStyle w:val="text-69"/>
        <w:numPr>
          <w:ilvl w:val="0"/>
          <w:numId w:val="1"/>
        </w:numPr>
      </w:pPr>
      <w:r>
        <w:rPr>
          <w:rStyle w:val="text-69-c"/>
        </w:rPr>
        <w:t xml:space="preserve">Legal entity registered</w:t>
      </w:r>
    </w:p>
    <w:p>
      <w:pPr>
        <w:pStyle w:val="text-69"/>
        <w:numPr>
          <w:ilvl w:val="0"/>
          <w:numId w:val="1"/>
        </w:numPr>
      </w:pPr>
      <w:r>
        <w:rPr>
          <w:rStyle w:val="text-69-c"/>
        </w:rPr>
        <w:t xml:space="preserve">Feasibility studies completed</w:t>
      </w:r>
    </w:p>
    <w:p>
      <w:pPr>
        <w:pStyle w:val="text-69"/>
        <w:numPr>
          <w:ilvl w:val="0"/>
          <w:numId w:val="1"/>
        </w:numPr>
      </w:pPr>
      <w:r>
        <w:rPr>
          <w:rStyle w:val="text-69-c"/>
        </w:rPr>
        <w:t xml:space="preserve">Letter of interest from Mitsue village government</w:t>
      </w:r>
    </w:p>
    <w:p>
      <w:pPr>
        <w:pStyle w:val="text-69"/>
        <w:numPr>
          <w:ilvl w:val="0"/>
          <w:numId w:val="1"/>
        </w:numPr>
      </w:pPr>
      <w:r>
        <w:rPr>
          <w:rStyle w:val="text-69-c"/>
        </w:rPr>
        <w:t xml:space="preserve">Bilingual project website (basic, professional)</w:t>
      </w:r>
    </w:p>
    <w:p>
      <w:pPr>
        <w:pStyle w:val="text-69"/>
        <w:numPr>
          <w:ilvl w:val="0"/>
          <w:numId w:val="1"/>
        </w:numPr>
      </w:pPr>
      <w:r>
        <w:rPr>
          <w:rStyle w:val="text-69-c"/>
        </w:rPr>
        <w:t xml:space="preserve">Initial advisory board formalized</w:t>
      </w:r>
    </w:p>
    <w:p>
      <w:pPr>
        <w:pStyle w:val="text-69"/>
        <w:numPr>
          <w:ilvl w:val="0"/>
          <w:numId w:val="1"/>
        </w:numPr>
      </w:pPr>
      <w:r>
        <w:rPr>
          <w:rStyle w:val="text-69-c"/>
        </w:rPr>
        <w:t xml:space="preserve">Bank account, accounting system in place</w:t>
      </w:r>
    </w:p>
    <w:p>
      <w:pPr>
        <w:jc w:val="center"/>
      </w:pPr>
      <w:r>
        <mc:AlternateContent>
          <mc:Choice Requires="wpg">
            <w:drawing>
              <wp:inline xmlns:wp="http://schemas.openxmlformats.org/drawingml/2006/wordprocessingDrawing" distT="0" distB="0" distL="0" distR="0">
                <wp:extent cx="5943600" cy="0"/>
                <wp:effectExtent l="0" t="0" r="0" b="0"/>
                <wp:docPr id="5" name="Line 5"/>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4" o:spid="_x0000_s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Phase 2 — Pilot Design (Months 10–18)</w:t>
      </w:r>
    </w:p>
    <w:p>
      <w:pPr>
        <w:pStyle w:val="text-8"/>
      </w:pPr>
      <w:r>
        <w:rPr>
          <w:rStyle w:val="text-8-c"/>
        </w:rPr>
        <w:t xml:space="preserve">Goal:</w:t>
      </w:r>
      <w:r>
        <w:rPr>
          <w:rStyle w:val="text-12-c"/>
        </w:rPr>
        <w:t xml:space="preserve"> Convert feasibility studies into detailed engineering plans, secure pilot funding, and finalize partnerships.</w:t>
      </w:r>
    </w:p>
    <w:p>
      <w:pPr>
        <w:pStyle w:val="text-5"/>
      </w:pPr>
      <w:r>
        <w:rPr>
          <w:rStyle w:val="text-5-c"/>
        </w:rPr>
        <w:t xml:space="preserve">Key Activities</w:t>
      </w:r>
    </w:p>
    <w:p>
      <w:pPr>
        <w:pStyle w:val="text-69"/>
        <w:numPr>
          <w:ilvl w:val="0"/>
          <w:numId w:val="1"/>
        </w:numPr>
      </w:pPr>
      <w:r>
        <w:rPr>
          <w:rStyle w:val="text-69-c"/>
        </w:rPr>
        <w:t xml:space="preserve">Detailed engineering and architectural plans</w:t>
      </w:r>
    </w:p>
    <w:p>
      <w:pPr>
        <w:pStyle w:val="text-69"/>
        <w:numPr>
          <w:ilvl w:val="0"/>
          <w:numId w:val="1"/>
        </w:numPr>
      </w:pPr>
      <w:r>
        <w:rPr>
          <w:rStyle w:val="text-69-c"/>
        </w:rPr>
        <w:t xml:space="preserve">Permitting (forestry, building, METI biomass licensing, FIT registration)</w:t>
      </w:r>
    </w:p>
    <w:p>
      <w:pPr>
        <w:pStyle w:val="text-69"/>
        <w:numPr>
          <w:ilvl w:val="0"/>
          <w:numId w:val="1"/>
        </w:numPr>
      </w:pPr>
      <w:r>
        <w:rPr>
          <w:rStyle w:val="text-69-c"/>
        </w:rPr>
        <w:t xml:space="preserve">Partnership agreements with landowners (template contract)</w:t>
      </w:r>
    </w:p>
    <w:p>
      <w:pPr>
        <w:pStyle w:val="text-69"/>
        <w:numPr>
          <w:ilvl w:val="0"/>
          <w:numId w:val="1"/>
        </w:numPr>
      </w:pPr>
      <w:r>
        <w:rPr>
          <w:rStyle w:val="text-69-c"/>
        </w:rPr>
        <w:t xml:space="preserve">Vendor selection for biomass equipment, data center hardware, IT</w:t>
      </w:r>
    </w:p>
    <w:p>
      <w:pPr>
        <w:pStyle w:val="text-69"/>
        <w:numPr>
          <w:ilvl w:val="0"/>
          <w:numId w:val="1"/>
        </w:numPr>
      </w:pPr>
      <w:r>
        <w:rPr>
          <w:rStyle w:val="text-69-c"/>
        </w:rPr>
        <w:t xml:space="preserve">Major funding applications submitted</w:t>
      </w:r>
    </w:p>
    <w:p>
      <w:pPr>
        <w:pStyle w:val="text-69"/>
        <w:numPr>
          <w:ilvl w:val="0"/>
          <w:numId w:val="1"/>
        </w:numPr>
      </w:pPr>
      <w:r>
        <w:rPr>
          <w:rStyle w:val="text-69-c"/>
        </w:rPr>
        <w:t xml:space="preserve">Hiring of first 2–3 part-time staff</w:t>
      </w:r>
    </w:p>
    <w:p>
      <w:pPr>
        <w:pStyle w:val="text-5"/>
      </w:pPr>
      <w:r>
        <w:rPr>
          <w:rStyle w:val="text-5-c"/>
        </w:rPr>
        <w:t xml:space="preserve">Funding Targets — Phase 2</w:t>
      </w:r>
    </w:p>
    <w:p>
      <w:pPr>
        <w:pStyle w:val="text-69"/>
        <w:numPr>
          <w:ilvl w:val="0"/>
          <w:numId w:val="1"/>
        </w:numPr>
      </w:pPr>
      <w:r>
        <w:rPr>
          <w:rStyle w:val="text-69-c"/>
        </w:rPr>
        <w:t xml:space="preserve">Aiming for </w:t>
      </w:r>
      <w:r>
        <w:rPr>
          <w:rStyle w:val="text-88-c"/>
        </w:rPr>
        <w:t xml:space="preserve">¥30–50M secured by end of Phase 2</w:t>
      </w:r>
      <w:r>
        <w:rPr>
          <w:rStyle w:val="text-69-c"/>
        </w:rPr>
        <w:t xml:space="preserve"> to cover Phase 2 costs and Phase 3 startup</w:t>
      </w:r>
    </w:p>
    <w:p>
      <w:pPr>
        <w:jc w:val="center"/>
      </w:pPr>
      <w:r>
        <mc:AlternateContent>
          <mc:Choice Requires="wpg">
            <w:drawing>
              <wp:inline xmlns:wp="http://schemas.openxmlformats.org/drawingml/2006/wordprocessingDrawing" distT="0" distB="0" distL="0" distR="0">
                <wp:extent cx="5943600" cy="0"/>
                <wp:effectExtent l="0" t="0" r="0" b="0"/>
                <wp:docPr id="6" name="Line 6"/>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5" o:spid="_x0000_s5"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Phase 3 — Pilot Build (Months 19–30)</w:t>
      </w:r>
    </w:p>
    <w:p>
      <w:pPr>
        <w:pStyle w:val="text-8"/>
      </w:pPr>
      <w:r>
        <w:rPr>
          <w:rStyle w:val="text-8-c"/>
        </w:rPr>
        <w:t xml:space="preserve">Goal:</w:t>
      </w:r>
      <w:r>
        <w:rPr>
          <w:rStyle w:val="text-12-c"/>
        </w:rPr>
        <w:t xml:space="preserve"> Build a small but real version of the project — a functioning proof of concept.</w:t>
      </w:r>
    </w:p>
    <w:p>
      <w:pPr>
        <w:pStyle w:val="text-5"/>
      </w:pPr>
      <w:r>
        <w:rPr>
          <w:rStyle w:val="text-5-c"/>
        </w:rPr>
        <w:t xml:space="preserve">Suggested Pilot Scope</w:t>
      </w:r>
    </w:p>
    <w:p>
      <w:pPr>
        <w:pStyle w:val="text-88"/>
        <w:numPr>
          <w:ilvl w:val="0"/>
          <w:numId w:val="1"/>
        </w:numPr>
      </w:pPr>
      <w:r>
        <w:rPr>
          <w:rStyle w:val="text-88-c"/>
        </w:rPr>
        <w:t xml:space="preserve">Forestry</w:t>
      </w:r>
      <w:r>
        <w:rPr>
          <w:rStyle w:val="text-69-c"/>
        </w:rPr>
        <w:t xml:space="preserve">: First 5–10 hectares of sugi harvested and replanted</w:t>
      </w:r>
    </w:p>
    <w:p>
      <w:pPr>
        <w:pStyle w:val="text-88"/>
        <w:numPr>
          <w:ilvl w:val="0"/>
          <w:numId w:val="1"/>
        </w:numPr>
      </w:pPr>
      <w:r>
        <w:rPr>
          <w:rStyle w:val="text-88-c"/>
        </w:rPr>
        <w:t xml:space="preserve">Energy</w:t>
      </w:r>
      <w:r>
        <w:rPr>
          <w:rStyle w:val="text-69-c"/>
        </w:rPr>
        <w:t xml:space="preserve">: Small biomass boiler + heat recovery (start with thermal, not electrical generation; cheaper and more efficient)</w:t>
      </w:r>
    </w:p>
    <w:p>
      <w:pPr>
        <w:pStyle w:val="text-88"/>
        <w:numPr>
          <w:ilvl w:val="0"/>
          <w:numId w:val="1"/>
        </w:numPr>
      </w:pPr>
      <w:r>
        <w:rPr>
          <w:rStyle w:val="text-88-c"/>
        </w:rPr>
        <w:t xml:space="preserve">Building</w:t>
      </w:r>
      <w:r>
        <w:rPr>
          <w:rStyle w:val="text-69-c"/>
        </w:rPr>
        <w:t xml:space="preserve">: Renovate one wing of the school for office and small server room</w:t>
      </w:r>
    </w:p>
    <w:p>
      <w:pPr>
        <w:pStyle w:val="text-88"/>
        <w:numPr>
          <w:ilvl w:val="0"/>
          <w:numId w:val="1"/>
        </w:numPr>
      </w:pPr>
      <w:r>
        <w:rPr>
          <w:rStyle w:val="text-88-c"/>
        </w:rPr>
        <w:t xml:space="preserve">Data center</w:t>
      </w:r>
      <w:r>
        <w:rPr>
          <w:rStyle w:val="text-69-c"/>
        </w:rPr>
        <w:t xml:space="preserve">: ~10–20 servers, edge computing focus</w:t>
      </w:r>
    </w:p>
    <w:p>
      <w:pPr>
        <w:pStyle w:val="text-88"/>
        <w:numPr>
          <w:ilvl w:val="0"/>
          <w:numId w:val="1"/>
        </w:numPr>
      </w:pPr>
      <w:r>
        <w:rPr>
          <w:rStyle w:val="text-88-c"/>
        </w:rPr>
        <w:t xml:space="preserve">EV charging</w:t>
      </w:r>
      <w:r>
        <w:rPr>
          <w:rStyle w:val="text-69-c"/>
        </w:rPr>
        <w:t xml:space="preserve">: 2–4 charging stations as visible village benefit</w:t>
      </w:r>
    </w:p>
    <w:p>
      <w:pPr>
        <w:pStyle w:val="text-5"/>
      </w:pPr>
      <w:r>
        <w:rPr>
          <w:rStyle w:val="text-5-c"/>
        </w:rPr>
        <w:t xml:space="preserve">Why Start Small</w:t>
      </w:r>
    </w:p>
    <w:p>
      <w:pPr>
        <w:pStyle w:val="text-69"/>
        <w:numPr>
          <w:ilvl w:val="0"/>
          <w:numId w:val="1"/>
        </w:numPr>
      </w:pPr>
      <w:r>
        <w:rPr>
          <w:rStyle w:val="text-69-c"/>
        </w:rPr>
        <w:t xml:space="preserve">Demonstrates feasibility before larger spending</w:t>
      </w:r>
    </w:p>
    <w:p>
      <w:pPr>
        <w:pStyle w:val="text-69"/>
        <w:numPr>
          <w:ilvl w:val="0"/>
          <w:numId w:val="1"/>
        </w:numPr>
      </w:pPr>
      <w:r>
        <w:rPr>
          <w:rStyle w:val="text-69-c"/>
        </w:rPr>
        <w:t xml:space="preserve">Builds operational know-how</w:t>
      </w:r>
    </w:p>
    <w:p>
      <w:pPr>
        <w:pStyle w:val="text-69"/>
        <w:numPr>
          <w:ilvl w:val="0"/>
          <w:numId w:val="1"/>
        </w:numPr>
      </w:pPr>
      <w:r>
        <w:rPr>
          <w:rStyle w:val="text-69-c"/>
        </w:rPr>
        <w:t xml:space="preserve">Creates fundable success story for Phase 4 expansion</w:t>
      </w:r>
    </w:p>
    <w:p>
      <w:pPr>
        <w:pStyle w:val="text-69"/>
        <w:numPr>
          <w:ilvl w:val="0"/>
          <w:numId w:val="1"/>
        </w:numPr>
      </w:pPr>
      <w:r>
        <w:rPr>
          <w:rStyle w:val="text-69-c"/>
        </w:rPr>
        <w:t xml:space="preserve">Lowers risk if a major component proves harder than expected</w:t>
      </w:r>
    </w:p>
    <w:p>
      <w:pPr>
        <w:jc w:val="center"/>
      </w:pPr>
      <w:r>
        <mc:AlternateContent>
          <mc:Choice Requires="wpg">
            <w:drawing>
              <wp:inline xmlns:wp="http://schemas.openxmlformats.org/drawingml/2006/wordprocessingDrawing" distT="0" distB="0" distL="0" distR="0">
                <wp:extent cx="5943600" cy="0"/>
                <wp:effectExtent l="0" t="0" r="0" b="0"/>
                <wp:docPr id="7" name="Line 7"/>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6" o:spid="_x0000_s6"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Phase 4 — Operation &amp; Scale (Months 31+)</w:t>
      </w:r>
    </w:p>
    <w:p>
      <w:pPr>
        <w:pStyle w:val="text-12"/>
      </w:pPr>
      <w:r>
        <w:rPr>
          <w:rStyle w:val="text-12-c"/>
        </w:rPr>
        <w:t xml:space="preserve">This is when the project transitions from "construction" to "ongoing institution." Topics for this phase include scaling forestry operations, expanding the data center, replicating in other villages, and refining the financial model. Detailed planning for this phase happens in Year 2 once Phase 1 results are in.</w:t>
      </w:r>
    </w:p>
    <w:p>
      <w:pPr>
        <w:jc w:val="center"/>
      </w:pPr>
      <w:r>
        <mc:AlternateContent>
          <mc:Choice Requires="wpg">
            <w:drawing>
              <wp:inline xmlns:wp="http://schemas.openxmlformats.org/drawingml/2006/wordprocessingDrawing" distT="0" distB="0" distL="0" distR="0">
                <wp:extent cx="5943600" cy="0"/>
                <wp:effectExtent l="0" t="0" r="0" b="0"/>
                <wp:docPr id="8" name="Line 8"/>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7" o:spid="_x0000_s7"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Funding Strategy</w:t>
      </w:r>
    </w:p>
    <w:p>
      <w:pPr>
        <w:pStyle w:val="text-5"/>
      </w:pPr>
      <w:r>
        <w:rPr>
          <w:rStyle w:val="text-5-c"/>
        </w:rPr>
        <w:t xml:space="preserve">Layered Funding Approach</w:t>
      </w:r>
    </w:p>
    <w:p>
      <w:pPr>
        <w:pStyle w:val="text-12"/>
      </w:pPr>
      <w:r>
        <w:rPr>
          <w:rStyle w:val="text-12-c"/>
        </w:rPr>
        <w:t xml:space="preserve">The project should pursue </w:t>
      </w:r>
      <w:r>
        <w:rPr>
          <w:rStyle w:val="text-8-c"/>
        </w:rPr>
        <w:t xml:space="preserve">multiple funding streams in parallel</w:t>
      </w:r>
      <w:r>
        <w:rPr>
          <w:rStyle w:val="text-12-c"/>
        </w:rPr>
        <w:t xml:space="preserve">, never depending on a single source.</w:t>
      </w:r>
    </w:p>
    <w:p>
      <w:pPr>
        <w:pStyle w:val="text-86"/>
      </w:pPr>
      <w:r>
        <w:rPr>
          <w:rStyle w:val="text-86-c"/>
        </w:rPr>
        <w:t xml:space="preserve">Layer 1 — Founding Capital (Phase 0–1)</w:t>
      </w:r>
    </w:p>
    <w:p>
      <w:pPr>
        <w:pStyle w:val="text-88"/>
        <w:numPr>
          <w:ilvl w:val="0"/>
          <w:numId w:val="1"/>
        </w:numPr>
      </w:pPr>
      <w:r>
        <w:rPr>
          <w:rStyle w:val="text-88-c"/>
        </w:rPr>
        <w:t xml:space="preserve">Self-funded / founder contributions</w:t>
      </w:r>
      <w:r>
        <w:rPr>
          <w:rStyle w:val="text-69-c"/>
        </w:rPr>
        <w:t xml:space="preserve">: ¥0.5–2M</w:t>
      </w:r>
    </w:p>
    <w:p>
      <w:pPr>
        <w:pStyle w:val="text-88"/>
        <w:numPr>
          <w:ilvl w:val="0"/>
          <w:numId w:val="1"/>
        </w:numPr>
      </w:pPr>
      <w:r>
        <w:rPr>
          <w:rStyle w:val="text-88-c"/>
        </w:rPr>
        <w:t xml:space="preserve">Friends-and-family / advisor support</w:t>
      </w:r>
      <w:r>
        <w:rPr>
          <w:rStyle w:val="text-69-c"/>
        </w:rPr>
        <w:t xml:space="preserve">: ¥1–3M</w:t>
      </w:r>
    </w:p>
    <w:p>
      <w:pPr>
        <w:pStyle w:val="text-88"/>
        <w:numPr>
          <w:ilvl w:val="0"/>
          <w:numId w:val="1"/>
        </w:numPr>
      </w:pPr>
      <w:r>
        <w:rPr>
          <w:rStyle w:val="text-88-c"/>
        </w:rPr>
        <w:t xml:space="preserve">Small private donations</w:t>
      </w:r>
      <w:r>
        <w:rPr>
          <w:rStyle w:val="text-69-c"/>
        </w:rPr>
        <w:t xml:space="preserve">: ¥1–3M</w:t>
      </w:r>
    </w:p>
    <w:p>
      <w:pPr>
        <w:pStyle w:val="text-86"/>
      </w:pPr>
      <w:r>
        <w:rPr>
          <w:rStyle w:val="text-86-c"/>
        </w:rPr>
        <w:t xml:space="preserve">Layer 2 — Government Grants (Phase 1–2)</w:t>
      </w:r>
    </w:p>
    <w:p>
      <w:pPr>
        <w:pStyle w:val="text-8"/>
      </w:pPr>
      <w:r>
        <w:rPr>
          <w:rStyle w:val="text-8-c"/>
        </w:rPr>
        <w:t xml:space="preserve">Most relevant programs:</w:t>
      </w:r>
    </w:p>
    <w:p>
      <w:pPr>
        <w:pStyle w:val="text-88"/>
        <w:numPr>
          <w:ilvl w:val="0"/>
          <w:numId w:val="1"/>
        </w:numPr>
      </w:pPr>
      <w:r>
        <w:rPr>
          <w:rStyle w:val="text-88-c"/>
        </w:rPr>
        <w:t xml:space="preserve">地方創生関係交付金 (Regional Revitalization Grants)</w:t>
      </w:r>
      <w:r>
        <w:rPr>
          <w:rStyle w:val="text-69-c"/>
        </w:rPr>
        <w:t xml:space="preserve"> — Cabinet Office; for projects creating jobs and stemming rural depopulation. Typically ¥5–50M per project.</w:t>
      </w:r>
    </w:p>
    <w:p>
      <w:pPr>
        <w:pStyle w:val="text-88"/>
        <w:numPr>
          <w:ilvl w:val="0"/>
          <w:numId w:val="1"/>
        </w:numPr>
      </w:pPr>
      <w:r>
        <w:rPr>
          <w:rStyle w:val="text-88-c"/>
        </w:rPr>
        <w:t xml:space="preserve">林野庁 / Forestry Agency subsidies</w:t>
      </w:r>
      <w:r>
        <w:rPr>
          <w:rStyle w:val="text-69-c"/>
        </w:rPr>
        <w:t xml:space="preserve"> — for native forest restoration, sugi conversion, forest road infrastructure</w:t>
      </w:r>
    </w:p>
    <w:p>
      <w:pPr>
        <w:pStyle w:val="text-88"/>
        <w:numPr>
          <w:ilvl w:val="0"/>
          <w:numId w:val="1"/>
        </w:numPr>
      </w:pPr>
      <w:r>
        <w:rPr>
          <w:rStyle w:val="text-88-c"/>
        </w:rPr>
        <w:t xml:space="preserve">NEDO grants</w:t>
      </w:r>
      <w:r>
        <w:rPr>
          <w:rStyle w:val="text-69-c"/>
        </w:rPr>
        <w:t xml:space="preserve"> — New Energy and Industrial Technology Development Organization; renewable energy R&amp;D</w:t>
      </w:r>
    </w:p>
    <w:p>
      <w:pPr>
        <w:pStyle w:val="text-88"/>
        <w:numPr>
          <w:ilvl w:val="0"/>
          <w:numId w:val="1"/>
        </w:numPr>
      </w:pPr>
      <w:r>
        <w:rPr>
          <w:rStyle w:val="text-88-c"/>
        </w:rPr>
        <w:t xml:space="preserve">METI green technology subsidies</w:t>
      </w:r>
      <w:r>
        <w:rPr>
          <w:rStyle w:val="text-69-c"/>
        </w:rPr>
        <w:t xml:space="preserve"> — for biomass and innovative energy projects</w:t>
      </w:r>
    </w:p>
    <w:p>
      <w:pPr>
        <w:pStyle w:val="text-88"/>
        <w:numPr>
          <w:ilvl w:val="0"/>
          <w:numId w:val="1"/>
        </w:numPr>
      </w:pPr>
      <w:r>
        <w:rPr>
          <w:rStyle w:val="text-88-c"/>
        </w:rPr>
        <w:t xml:space="preserve">Nara Prefecture rural development grants</w:t>
      </w:r>
      <w:r>
        <w:rPr>
          <w:rStyle w:val="text-69-c"/>
        </w:rPr>
        <w:t xml:space="preserve"> — varies by year; check 奈良県地域創造課</w:t>
      </w:r>
    </w:p>
    <w:p>
      <w:pPr>
        <w:pStyle w:val="text-88"/>
        <w:numPr>
          <w:ilvl w:val="0"/>
          <w:numId w:val="1"/>
        </w:numPr>
      </w:pPr>
      <w:r>
        <w:rPr>
          <w:rStyle w:val="text-88-c"/>
        </w:rPr>
        <w:t xml:space="preserve">Mitsue village local subsidies</w:t>
      </w:r>
      <w:r>
        <w:rPr>
          <w:rStyle w:val="text-69-c"/>
        </w:rPr>
        <w:t xml:space="preserve"> — small but politically meaningful</w:t>
      </w:r>
    </w:p>
    <w:p>
      <w:pPr>
        <w:pStyle w:val="text-8"/>
      </w:pPr>
      <w:r>
        <w:rPr>
          <w:rStyle w:val="text-8-c"/>
        </w:rPr>
        <w:t xml:space="preserve">Recommendation:</w:t>
      </w:r>
      <w:r>
        <w:rPr>
          <w:rStyle w:val="text-12-c"/>
        </w:rPr>
        <w:t xml:space="preserve"> Hire a </w:t>
      </w:r>
      <w:r>
        <w:rPr>
          <w:rStyle w:val="text-8-c"/>
        </w:rPr>
        <w:t xml:space="preserve">行政書士 (administrative scrivener)</w:t>
      </w:r>
      <w:r>
        <w:rPr>
          <w:rStyle w:val="text-12-c"/>
        </w:rPr>
        <w:t xml:space="preserve"> experienced in grant applications. Cost: ¥200,000–500,000 per application. Worth every yen — Japanese government grant applications are notoriously demanding.</w:t>
      </w:r>
    </w:p>
    <w:p>
      <w:pPr>
        <w:pStyle w:val="text-86"/>
      </w:pPr>
      <w:r>
        <w:rPr>
          <w:rStyle w:val="text-86-c"/>
        </w:rPr>
        <w:t xml:space="preserve">Layer 3 — Foundation &amp; Philanthropy</w:t>
      </w:r>
    </w:p>
    <w:p>
      <w:pPr>
        <w:pStyle w:val="text-88"/>
        <w:numPr>
          <w:ilvl w:val="0"/>
          <w:numId w:val="1"/>
        </w:numPr>
      </w:pPr>
      <w:r>
        <w:rPr>
          <w:rStyle w:val="text-88-c"/>
        </w:rPr>
        <w:t xml:space="preserve">The Nippon Foundation (日本財団)</w:t>
      </w:r>
      <w:r>
        <w:rPr>
          <w:rStyle w:val="text-69-c"/>
        </w:rPr>
        <w:t xml:space="preserve"> — Asia's leading grantmaker for social challenges</w:t>
      </w:r>
    </w:p>
    <w:p>
      <w:pPr>
        <w:pStyle w:val="text-88"/>
        <w:numPr>
          <w:ilvl w:val="0"/>
          <w:numId w:val="1"/>
        </w:numPr>
      </w:pPr>
      <w:r>
        <w:rPr>
          <w:rStyle w:val="text-88-c"/>
        </w:rPr>
        <w:t xml:space="preserve">Japan Fund for Global Environment (地球環境基金)</w:t>
      </w:r>
      <w:r>
        <w:rPr>
          <w:rStyle w:val="text-69-c"/>
        </w:rPr>
        <w:t xml:space="preserve"> — environmental conservation grants</w:t>
      </w:r>
    </w:p>
    <w:p>
      <w:pPr>
        <w:pStyle w:val="text-88"/>
        <w:numPr>
          <w:ilvl w:val="0"/>
          <w:numId w:val="1"/>
        </w:numPr>
      </w:pPr>
      <w:r>
        <w:rPr>
          <w:rStyle w:val="text-88-c"/>
        </w:rPr>
        <w:t xml:space="preserve">Japan Foundation Global Partnerships grants</w:t>
      </w:r>
      <w:r>
        <w:rPr>
          <w:rStyle w:val="text-69-c"/>
        </w:rPr>
        <w:t xml:space="preserve"> — rural revitalization, AI, green tech</w:t>
      </w:r>
    </w:p>
    <w:p>
      <w:pPr>
        <w:pStyle w:val="text-88"/>
        <w:numPr>
          <w:ilvl w:val="0"/>
          <w:numId w:val="1"/>
        </w:numPr>
      </w:pPr>
      <w:r>
        <w:rPr>
          <w:rStyle w:val="text-88-c"/>
        </w:rPr>
        <w:t xml:space="preserve">Toyota Foundation</w:t>
      </w:r>
      <w:r>
        <w:rPr>
          <w:rStyle w:val="text-69-c"/>
        </w:rPr>
        <w:t xml:space="preserve"> — community and rural projects</w:t>
      </w:r>
    </w:p>
    <w:p>
      <w:pPr>
        <w:pStyle w:val="text-88"/>
        <w:numPr>
          <w:ilvl w:val="0"/>
          <w:numId w:val="1"/>
        </w:numPr>
      </w:pPr>
      <w:r>
        <w:rPr>
          <w:rStyle w:val="text-88-c"/>
        </w:rPr>
        <w:t xml:space="preserve">International foundations</w:t>
      </w:r>
      <w:r>
        <w:rPr>
          <w:rStyle w:val="text-69-c"/>
        </w:rPr>
        <w:t xml:space="preserve">: MacArthur, Rockefeller (less likely but possible given Joi Ito network)</w:t>
      </w:r>
    </w:p>
    <w:p>
      <w:pPr>
        <w:pStyle w:val="text-86"/>
      </w:pPr>
      <w:r>
        <w:rPr>
          <w:rStyle w:val="text-86-c"/>
        </w:rPr>
        <w:t xml:space="preserve">Layer 4 — Corporate Partnerships</w:t>
      </w:r>
    </w:p>
    <w:p>
      <w:pPr>
        <w:pStyle w:val="text-88"/>
        <w:numPr>
          <w:ilvl w:val="0"/>
          <w:numId w:val="1"/>
        </w:numPr>
      </w:pPr>
      <w:r>
        <w:rPr>
          <w:rStyle w:val="text-88-c"/>
        </w:rPr>
        <w:t xml:space="preserve">Dutch corporates in Japan</w:t>
      </w:r>
      <w:r>
        <w:rPr>
          <w:rStyle w:val="text-69-c"/>
        </w:rPr>
        <w:t xml:space="preserve">: Philips, ASML, Heineken, Royal HaskoningDHV (water expertise), Arcadis</w:t>
      </w:r>
    </w:p>
    <w:p>
      <w:pPr>
        <w:pStyle w:val="text-88"/>
        <w:numPr>
          <w:ilvl w:val="0"/>
          <w:numId w:val="1"/>
        </w:numPr>
      </w:pPr>
      <w:r>
        <w:rPr>
          <w:rStyle w:val="text-88-c"/>
        </w:rPr>
        <w:t xml:space="preserve">Japanese tech corporates</w:t>
      </w:r>
      <w:r>
        <w:rPr>
          <w:rStyle w:val="text-69-c"/>
        </w:rPr>
        <w:t xml:space="preserve">: SoftBank, NTT (data center / connectivity), Hitachi</w:t>
      </w:r>
    </w:p>
    <w:p>
      <w:pPr>
        <w:pStyle w:val="text-88"/>
        <w:numPr>
          <w:ilvl w:val="0"/>
          <w:numId w:val="1"/>
        </w:numPr>
      </w:pPr>
      <w:r>
        <w:rPr>
          <w:rStyle w:val="text-88-c"/>
        </w:rPr>
        <w:t xml:space="preserve">Forestry-related</w:t>
      </w:r>
      <w:r>
        <w:rPr>
          <w:rStyle w:val="text-69-c"/>
        </w:rPr>
        <w:t xml:space="preserve">: Sumitomo Forestry, Mitsui Bussan</w:t>
      </w:r>
    </w:p>
    <w:p>
      <w:pPr>
        <w:pStyle w:val="text-88"/>
        <w:numPr>
          <w:ilvl w:val="0"/>
          <w:numId w:val="1"/>
        </w:numPr>
      </w:pPr>
      <w:r>
        <w:rPr>
          <w:rStyle w:val="text-88-c"/>
        </w:rPr>
        <w:t xml:space="preserve">Approach</w:t>
      </w:r>
      <w:r>
        <w:rPr>
          <w:rStyle w:val="text-69-c"/>
        </w:rPr>
        <w:t xml:space="preserve">: Position as CSR / sustainability investment, not pure donation</w:t>
      </w:r>
    </w:p>
    <w:p>
      <w:pPr>
        <w:pStyle w:val="text-86"/>
      </w:pPr>
      <w:r>
        <w:rPr>
          <w:rStyle w:val="text-86-c"/>
        </w:rPr>
        <w:t xml:space="preserve">Layer 5 — Revenue (Phase 3+)</w:t>
      </w:r>
    </w:p>
    <w:p>
      <w:pPr>
        <w:pStyle w:val="text-69"/>
        <w:numPr>
          <w:ilvl w:val="0"/>
          <w:numId w:val="1"/>
        </w:numPr>
      </w:pPr>
      <w:r>
        <w:rPr>
          <w:rStyle w:val="text-69-c"/>
        </w:rPr>
        <w:t xml:space="preserve">Data center hosting fees</w:t>
      </w:r>
    </w:p>
    <w:p>
      <w:pPr>
        <w:pStyle w:val="text-69"/>
        <w:numPr>
          <w:ilvl w:val="0"/>
          <w:numId w:val="1"/>
        </w:numPr>
      </w:pPr>
      <w:r>
        <w:rPr>
          <w:rStyle w:val="text-69-c"/>
        </w:rPr>
        <w:t xml:space="preserve">Electricity sales (if FIT-registered)</w:t>
      </w:r>
    </w:p>
    <w:p>
      <w:pPr>
        <w:pStyle w:val="text-69"/>
        <w:numPr>
          <w:ilvl w:val="0"/>
          <w:numId w:val="1"/>
        </w:numPr>
      </w:pPr>
      <w:r>
        <w:rPr>
          <w:rStyle w:val="text-69-c"/>
        </w:rPr>
        <w:t xml:space="preserve">Heat sales to greenhouses or community</w:t>
      </w:r>
    </w:p>
    <w:p>
      <w:pPr>
        <w:pStyle w:val="text-69"/>
        <w:numPr>
          <w:ilvl w:val="0"/>
          <w:numId w:val="1"/>
        </w:numPr>
      </w:pPr>
      <w:r>
        <w:rPr>
          <w:rStyle w:val="text-69-c"/>
        </w:rPr>
        <w:t xml:space="preserve">EV charging fees</w:t>
      </w:r>
    </w:p>
    <w:p>
      <w:pPr>
        <w:pStyle w:val="text-69"/>
        <w:numPr>
          <w:ilvl w:val="0"/>
          <w:numId w:val="1"/>
        </w:numPr>
      </w:pPr>
      <w:r>
        <w:rPr>
          <w:rStyle w:val="text-69-c"/>
        </w:rPr>
        <w:t xml:space="preserve">Carbon credits (J-Credit certification)</w:t>
      </w:r>
    </w:p>
    <w:p>
      <w:pPr>
        <w:pStyle w:val="text-69"/>
        <w:numPr>
          <w:ilvl w:val="0"/>
          <w:numId w:val="1"/>
        </w:numPr>
      </w:pPr>
      <w:r>
        <w:rPr>
          <w:rStyle w:val="text-69-c"/>
        </w:rPr>
        <w:t xml:space="preserve">Forestry products beyond biomass (timber, lumber)</w:t>
      </w:r>
    </w:p>
    <w:p>
      <w:pPr>
        <w:pStyle w:val="text-69"/>
        <w:numPr>
          <w:ilvl w:val="0"/>
          <w:numId w:val="1"/>
        </w:numPr>
      </w:pPr>
      <w:r>
        <w:rPr>
          <w:rStyle w:val="text-69-c"/>
        </w:rPr>
        <w:t xml:space="preserve">Educational tourism / consulting (sharing the playbook)</w:t>
      </w:r>
    </w:p>
    <w:p>
      <w:pPr>
        <w:pStyle w:val="text-5"/>
      </w:pPr>
      <w:r>
        <w:rPr>
          <w:rStyle w:val="text-5-c"/>
        </w:rPr>
        <w:t xml:space="preserve">Realistic Funding Scenario for First 3 Years</w:t>
      </w:r>
    </w:p>
    <w:tbl>
      <w:tblPr>
        <w:tblW w:w="5000" w:type="pct"/>
        <w:tblCellMar>
          <w:left w:w="15" w:type="dxa"/>
          <w:top w:w="15" w:type="dxa"/>
          <w:right w:w="15" w:type="dxa"/>
          <w:bottom w:w="15" w:type="dxa"/>
        </w:tblCellMar>
        <w:tblLook w:val="04A0" w:firstRow="1" w:lastRow="0" w:firstColumn="1" w:lastColumn="0" w:noHBand="0" w:noVBand="1"/>
      </w:tblPr>
      <w:tr>
        <w:tc>
          <w:tcPr>
            <w:tcW w:w="0" w:type="auto"/>
            <w:tcBorders>
              <w:bottom w:val="single" w:color="dddddd" w:sz="12" w:space="0"/>
            </w:tcBorders>
            <w:vAlign w:val="center"/>
            <w:hideMark/>
          </w:tcPr>
          <w:p>
            <w:pPr>
              <w:pStyle w:val="text-21"/>
            </w:pPr>
            <w:r>
              <w:rPr>
                <w:rStyle w:val="text-21-c"/>
              </w:rPr>
              <w:t xml:space="preserve">Source</w:t>
            </w:r>
          </w:p>
        </w:tc>
        <w:tc>
          <w:tcPr>
            <w:tcW w:w="0" w:type="auto"/>
            <w:tcBorders>
              <w:bottom w:val="single" w:color="dddddd" w:sz="12" w:space="0"/>
            </w:tcBorders>
            <w:vAlign w:val="center"/>
            <w:hideMark/>
          </w:tcPr>
          <w:p>
            <w:pPr>
              <w:pStyle w:val="text-21"/>
            </w:pPr>
            <w:r>
              <w:rPr>
                <w:rStyle w:val="text-21-c"/>
              </w:rPr>
              <w:t xml:space="preserve">Year 1</w:t>
            </w:r>
          </w:p>
        </w:tc>
        <w:tc>
          <w:tcPr>
            <w:tcW w:w="0" w:type="auto"/>
            <w:tcBorders>
              <w:bottom w:val="single" w:color="dddddd" w:sz="12" w:space="0"/>
            </w:tcBorders>
            <w:vAlign w:val="center"/>
            <w:hideMark/>
          </w:tcPr>
          <w:p>
            <w:pPr>
              <w:pStyle w:val="text-21"/>
            </w:pPr>
            <w:r>
              <w:rPr>
                <w:rStyle w:val="text-21-c"/>
              </w:rPr>
              <w:t xml:space="preserve">Year 2</w:t>
            </w:r>
          </w:p>
        </w:tc>
        <w:tc>
          <w:tcPr>
            <w:tcW w:w="0" w:type="auto"/>
            <w:tcBorders>
              <w:bottom w:val="single" w:color="dddddd" w:sz="12" w:space="0"/>
            </w:tcBorders>
            <w:vAlign w:val="center"/>
            <w:hideMark/>
          </w:tcPr>
          <w:p>
            <w:pPr>
              <w:pStyle w:val="text-21"/>
            </w:pPr>
            <w:r>
              <w:rPr>
                <w:rStyle w:val="text-21-c"/>
              </w:rPr>
              <w:t xml:space="preserve">Year 3</w:t>
            </w:r>
          </w:p>
        </w:tc>
      </w:tr>
      <w:tr>
        <w:tc>
          <w:tcPr>
            <w:tcW w:w="0" w:type="auto"/>
            <w:tcBorders>
              <w:top w:val="single" w:color="dddddd" w:sz="6" w:space="0"/>
            </w:tcBorders>
            <w:vAlign w:val="center"/>
            <w:hideMark/>
          </w:tcPr>
          <w:p>
            <w:pPr>
              <w:pStyle w:val="text-28"/>
            </w:pPr>
            <w:r>
              <w:rPr>
                <w:rStyle w:val="text-28-c"/>
              </w:rPr>
              <w:t xml:space="preserve">Founder/private</w:t>
            </w:r>
          </w:p>
        </w:tc>
        <w:tc>
          <w:tcPr>
            <w:tcW w:w="0" w:type="auto"/>
            <w:tcBorders>
              <w:top w:val="single" w:color="dddddd" w:sz="6" w:space="0"/>
            </w:tcBorders>
            <w:vAlign w:val="center"/>
            <w:hideMark/>
          </w:tcPr>
          <w:p>
            <w:pPr>
              <w:pStyle w:val="text-28"/>
            </w:pPr>
            <w:r>
              <w:rPr>
                <w:rStyle w:val="text-28-c"/>
              </w:rPr>
              <w:t xml:space="preserve">¥3M</w:t>
            </w:r>
          </w:p>
        </w:tc>
        <w:tc>
          <w:tcPr>
            <w:tcW w:w="0" w:type="auto"/>
            <w:tcBorders>
              <w:top w:val="single" w:color="dddddd" w:sz="6" w:space="0"/>
            </w:tcBorders>
            <w:vAlign w:val="center"/>
            <w:hideMark/>
          </w:tcPr>
          <w:p>
            <w:pPr>
              <w:pStyle w:val="text-28"/>
            </w:pPr>
            <w:r>
              <w:rPr>
                <w:rStyle w:val="text-28-c"/>
              </w:rPr>
              <w:t xml:space="preserve">¥2M</w:t>
            </w:r>
          </w:p>
        </w:tc>
        <w:tc>
          <w:tcPr>
            <w:tcW w:w="0" w:type="auto"/>
            <w:tcBorders>
              <w:top w:val="single" w:color="dddddd" w:sz="6" w:space="0"/>
            </w:tcBorders>
            <w:vAlign w:val="center"/>
            <w:hideMark/>
          </w:tcPr>
          <w:p>
            <w:pPr>
              <w:pStyle w:val="text-28"/>
            </w:pPr>
            <w:r>
              <w:rPr>
                <w:rStyle w:val="text-28-c"/>
              </w:rPr>
              <w:t xml:space="preserve">¥1M</w:t>
            </w:r>
          </w:p>
        </w:tc>
      </w:tr>
      <w:tr>
        <w:tc>
          <w:tcPr>
            <w:tcW w:w="0" w:type="auto"/>
            <w:tcBorders>
              <w:top w:val="single" w:color="dddddd" w:sz="6" w:space="0"/>
            </w:tcBorders>
            <w:vAlign w:val="center"/>
            <w:hideMark/>
          </w:tcPr>
          <w:p>
            <w:pPr>
              <w:pStyle w:val="text-28"/>
            </w:pPr>
            <w:r>
              <w:rPr>
                <w:rStyle w:val="text-28-c"/>
              </w:rPr>
              <w:t xml:space="preserve">Government grants</w:t>
            </w:r>
          </w:p>
        </w:tc>
        <w:tc>
          <w:tcPr>
            <w:tcW w:w="0" w:type="auto"/>
            <w:tcBorders>
              <w:top w:val="single" w:color="dddddd" w:sz="6" w:space="0"/>
            </w:tcBorders>
            <w:vAlign w:val="center"/>
            <w:hideMark/>
          </w:tcPr>
          <w:p>
            <w:pPr>
              <w:pStyle w:val="text-28"/>
            </w:pPr>
            <w:r>
              <w:rPr>
                <w:rStyle w:val="text-28-c"/>
              </w:rPr>
              <w:t xml:space="preserve">¥5M</w:t>
            </w:r>
          </w:p>
        </w:tc>
        <w:tc>
          <w:tcPr>
            <w:tcW w:w="0" w:type="auto"/>
            <w:tcBorders>
              <w:top w:val="single" w:color="dddddd" w:sz="6" w:space="0"/>
            </w:tcBorders>
            <w:vAlign w:val="center"/>
            <w:hideMark/>
          </w:tcPr>
          <w:p>
            <w:pPr>
              <w:pStyle w:val="text-28"/>
            </w:pPr>
            <w:r>
              <w:rPr>
                <w:rStyle w:val="text-28-c"/>
              </w:rPr>
              <w:t xml:space="preserve">¥30M</w:t>
            </w:r>
          </w:p>
        </w:tc>
        <w:tc>
          <w:tcPr>
            <w:tcW w:w="0" w:type="auto"/>
            <w:tcBorders>
              <w:top w:val="single" w:color="dddddd" w:sz="6" w:space="0"/>
            </w:tcBorders>
            <w:vAlign w:val="center"/>
            <w:hideMark/>
          </w:tcPr>
          <w:p>
            <w:pPr>
              <w:pStyle w:val="text-28"/>
            </w:pPr>
            <w:r>
              <w:rPr>
                <w:rStyle w:val="text-28-c"/>
              </w:rPr>
              <w:t xml:space="preserve">¥80M</w:t>
            </w:r>
          </w:p>
        </w:tc>
      </w:tr>
      <w:tr>
        <w:tc>
          <w:tcPr>
            <w:tcW w:w="0" w:type="auto"/>
            <w:tcBorders>
              <w:top w:val="single" w:color="dddddd" w:sz="6" w:space="0"/>
            </w:tcBorders>
            <w:vAlign w:val="center"/>
            <w:hideMark/>
          </w:tcPr>
          <w:p>
            <w:pPr>
              <w:pStyle w:val="text-28"/>
            </w:pPr>
            <w:r>
              <w:rPr>
                <w:rStyle w:val="text-28-c"/>
              </w:rPr>
              <w:t xml:space="preserve">Foundations</w:t>
            </w:r>
          </w:p>
        </w:tc>
        <w:tc>
          <w:tcPr>
            <w:tcW w:w="0" w:type="auto"/>
            <w:tcBorders>
              <w:top w:val="single" w:color="dddddd" w:sz="6" w:space="0"/>
            </w:tcBorders>
            <w:vAlign w:val="center"/>
            <w:hideMark/>
          </w:tcPr>
          <w:p>
            <w:pPr>
              <w:pStyle w:val="text-28"/>
            </w:pPr>
            <w:r>
              <w:rPr>
                <w:rStyle w:val="text-28-c"/>
              </w:rPr>
              <w:t xml:space="preserve">¥3M</w:t>
            </w:r>
          </w:p>
        </w:tc>
        <w:tc>
          <w:tcPr>
            <w:tcW w:w="0" w:type="auto"/>
            <w:tcBorders>
              <w:top w:val="single" w:color="dddddd" w:sz="6" w:space="0"/>
            </w:tcBorders>
            <w:vAlign w:val="center"/>
            <w:hideMark/>
          </w:tcPr>
          <w:p>
            <w:pPr>
              <w:pStyle w:val="text-28"/>
            </w:pPr>
            <w:r>
              <w:rPr>
                <w:rStyle w:val="text-28-c"/>
              </w:rPr>
              <w:t xml:space="preserve">¥10M</w:t>
            </w:r>
          </w:p>
        </w:tc>
        <w:tc>
          <w:tcPr>
            <w:tcW w:w="0" w:type="auto"/>
            <w:tcBorders>
              <w:top w:val="single" w:color="dddddd" w:sz="6" w:space="0"/>
            </w:tcBorders>
            <w:vAlign w:val="center"/>
            <w:hideMark/>
          </w:tcPr>
          <w:p>
            <w:pPr>
              <w:pStyle w:val="text-28"/>
            </w:pPr>
            <w:r>
              <w:rPr>
                <w:rStyle w:val="text-28-c"/>
              </w:rPr>
              <w:t xml:space="preserve">¥20M</w:t>
            </w:r>
          </w:p>
        </w:tc>
      </w:tr>
      <w:tr>
        <w:tc>
          <w:tcPr>
            <w:tcW w:w="0" w:type="auto"/>
            <w:tcBorders>
              <w:top w:val="single" w:color="dddddd" w:sz="6" w:space="0"/>
            </w:tcBorders>
            <w:vAlign w:val="center"/>
            <w:hideMark/>
          </w:tcPr>
          <w:p>
            <w:pPr>
              <w:pStyle w:val="text-28"/>
            </w:pPr>
            <w:r>
              <w:rPr>
                <w:rStyle w:val="text-28-c"/>
              </w:rPr>
              <w:t xml:space="preserve">Corporate partnerships</w:t>
            </w:r>
          </w:p>
        </w:tc>
        <w:tc>
          <w:tcPr>
            <w:tcW w:w="0" w:type="auto"/>
            <w:tcBorders>
              <w:top w:val="single" w:color="dddddd" w:sz="6" w:space="0"/>
            </w:tcBorders>
            <w:vAlign w:val="center"/>
            <w:hideMark/>
          </w:tcPr>
          <w:p>
            <w:pPr>
              <w:pStyle w:val="text-28"/>
            </w:pPr>
            <w:r>
              <w:rPr>
                <w:rStyle w:val="text-28-c"/>
              </w:rPr>
              <w:t xml:space="preserve">¥0</w:t>
            </w:r>
          </w:p>
        </w:tc>
        <w:tc>
          <w:tcPr>
            <w:tcW w:w="0" w:type="auto"/>
            <w:tcBorders>
              <w:top w:val="single" w:color="dddddd" w:sz="6" w:space="0"/>
            </w:tcBorders>
            <w:vAlign w:val="center"/>
            <w:hideMark/>
          </w:tcPr>
          <w:p>
            <w:pPr>
              <w:pStyle w:val="text-28"/>
            </w:pPr>
            <w:r>
              <w:rPr>
                <w:rStyle w:val="text-28-c"/>
              </w:rPr>
              <w:t xml:space="preserve">¥5M</w:t>
            </w:r>
          </w:p>
        </w:tc>
        <w:tc>
          <w:tcPr>
            <w:tcW w:w="0" w:type="auto"/>
            <w:tcBorders>
              <w:top w:val="single" w:color="dddddd" w:sz="6" w:space="0"/>
            </w:tcBorders>
            <w:vAlign w:val="center"/>
            <w:hideMark/>
          </w:tcPr>
          <w:p>
            <w:pPr>
              <w:pStyle w:val="text-28"/>
            </w:pPr>
            <w:r>
              <w:rPr>
                <w:rStyle w:val="text-28-c"/>
              </w:rPr>
              <w:t xml:space="preserve">¥30M</w:t>
            </w:r>
          </w:p>
        </w:tc>
      </w:tr>
      <w:tr>
        <w:tc>
          <w:tcPr>
            <w:tcW w:w="0" w:type="auto"/>
            <w:tcBorders>
              <w:top w:val="single" w:color="dddddd" w:sz="6" w:space="0"/>
            </w:tcBorders>
            <w:vAlign w:val="center"/>
            <w:hideMark/>
          </w:tcPr>
          <w:p>
            <w:pPr>
              <w:pStyle w:val="text-28"/>
            </w:pPr>
            <w:r>
              <w:rPr>
                <w:rStyle w:val="text-28-c"/>
              </w:rPr>
              <w:t xml:space="preserve">Revenue</w:t>
            </w:r>
          </w:p>
        </w:tc>
        <w:tc>
          <w:tcPr>
            <w:tcW w:w="0" w:type="auto"/>
            <w:tcBorders>
              <w:top w:val="single" w:color="dddddd" w:sz="6" w:space="0"/>
            </w:tcBorders>
            <w:vAlign w:val="center"/>
            <w:hideMark/>
          </w:tcPr>
          <w:p>
            <w:pPr>
              <w:pStyle w:val="text-28"/>
            </w:pPr>
            <w:r>
              <w:rPr>
                <w:rStyle w:val="text-28-c"/>
              </w:rPr>
              <w:t xml:space="preserve">¥0</w:t>
            </w:r>
          </w:p>
        </w:tc>
        <w:tc>
          <w:tcPr>
            <w:tcW w:w="0" w:type="auto"/>
            <w:tcBorders>
              <w:top w:val="single" w:color="dddddd" w:sz="6" w:space="0"/>
            </w:tcBorders>
            <w:vAlign w:val="center"/>
            <w:hideMark/>
          </w:tcPr>
          <w:p>
            <w:pPr>
              <w:pStyle w:val="text-28"/>
            </w:pPr>
            <w:r>
              <w:rPr>
                <w:rStyle w:val="text-28-c"/>
              </w:rPr>
              <w:t xml:space="preserve">¥0</w:t>
            </w:r>
          </w:p>
        </w:tc>
        <w:tc>
          <w:tcPr>
            <w:tcW w:w="0" w:type="auto"/>
            <w:tcBorders>
              <w:top w:val="single" w:color="dddddd" w:sz="6" w:space="0"/>
            </w:tcBorders>
            <w:vAlign w:val="center"/>
            <w:hideMark/>
          </w:tcPr>
          <w:p>
            <w:pPr>
              <w:pStyle w:val="text-28"/>
            </w:pPr>
            <w:r>
              <w:rPr>
                <w:rStyle w:val="text-28-c"/>
              </w:rPr>
              <w:t xml:space="preserve">¥3M</w:t>
            </w:r>
          </w:p>
        </w:tc>
      </w:tr>
      <w:tr>
        <w:tc>
          <w:tcPr>
            <w:tcW w:w="0" w:type="auto"/>
            <w:tcBorders>
              <w:top w:val="single" w:color="dddddd" w:sz="6" w:space="0"/>
            </w:tcBorders>
            <w:vAlign w:val="center"/>
            <w:hideMark/>
          </w:tcPr>
          <w:p>
            <w:pPr>
              <w:pStyle w:val="text-304"/>
            </w:pPr>
            <w:r>
              <w:rPr>
                <w:rStyle w:val="text-304-c"/>
              </w:rPr>
              <w:t xml:space="preserve">Total</w:t>
            </w:r>
          </w:p>
        </w:tc>
        <w:tc>
          <w:tcPr>
            <w:tcW w:w="0" w:type="auto"/>
            <w:tcBorders>
              <w:top w:val="single" w:color="dddddd" w:sz="6" w:space="0"/>
            </w:tcBorders>
            <w:vAlign w:val="center"/>
            <w:hideMark/>
          </w:tcPr>
          <w:p>
            <w:pPr>
              <w:pStyle w:val="text-304"/>
            </w:pPr>
            <w:r>
              <w:rPr>
                <w:rStyle w:val="text-304-c"/>
              </w:rPr>
              <w:t xml:space="preserve">¥11M</w:t>
            </w:r>
          </w:p>
        </w:tc>
        <w:tc>
          <w:tcPr>
            <w:tcW w:w="0" w:type="auto"/>
            <w:tcBorders>
              <w:top w:val="single" w:color="dddddd" w:sz="6" w:space="0"/>
            </w:tcBorders>
            <w:vAlign w:val="center"/>
            <w:hideMark/>
          </w:tcPr>
          <w:p>
            <w:pPr>
              <w:pStyle w:val="text-304"/>
            </w:pPr>
            <w:r>
              <w:rPr>
                <w:rStyle w:val="text-304-c"/>
              </w:rPr>
              <w:t xml:space="preserve">¥47M</w:t>
            </w:r>
          </w:p>
        </w:tc>
        <w:tc>
          <w:tcPr>
            <w:tcW w:w="0" w:type="auto"/>
            <w:tcBorders>
              <w:top w:val="single" w:color="dddddd" w:sz="6" w:space="0"/>
            </w:tcBorders>
            <w:vAlign w:val="center"/>
            <w:hideMark/>
          </w:tcPr>
          <w:p>
            <w:pPr>
              <w:pStyle w:val="text-304"/>
            </w:pPr>
            <w:r>
              <w:rPr>
                <w:rStyle w:val="text-304-c"/>
              </w:rPr>
              <w:t xml:space="preserve">¥134M</w:t>
            </w:r>
          </w:p>
        </w:tc>
      </w:tr>
    </w:tbl>
    <w:p>
      <w:pPr>
        <w:rPr>
          <w:rFonts w:eastAsia="Times New Roman"/>
          <w:vanish/>
          <w:sz w:val="2"/>
          <w:szCs w:val="2"/>
        </w:rPr>
      </w:pPr>
    </w:p>
    <w:p>
      <w:pPr>
        <w:pStyle w:val="text-12"/>
      </w:pPr>
      <w:r>
        <w:rPr>
          <w:rStyle w:val="text-12-c"/>
        </w:rPr>
        <w:t xml:space="preserve">These are illustrative targets, not commitments. Real numbers will depend heavily on which grants are won.</w:t>
      </w:r>
    </w:p>
    <w:p>
      <w:pPr>
        <w:jc w:val="center"/>
      </w:pPr>
      <w:r>
        <mc:AlternateContent>
          <mc:Choice Requires="wpg">
            <w:drawing>
              <wp:inline xmlns:wp="http://schemas.openxmlformats.org/drawingml/2006/wordprocessingDrawing" distT="0" distB="0" distL="0" distR="0">
                <wp:extent cx="5943600" cy="0"/>
                <wp:effectExtent l="0" t="0" r="0" b="0"/>
                <wp:docPr id="9" name="Line 9"/>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8" o:spid="_x0000_s8"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Legal &amp; Regulatory Checklist</w:t>
      </w:r>
    </w:p>
    <w:p>
      <w:pPr>
        <w:pStyle w:val="text-5"/>
      </w:pPr>
      <w:r>
        <w:rPr>
          <w:rStyle w:val="text-5-c"/>
        </w:rPr>
        <w:t xml:space="preserve">Entity &amp; Tax</w:t>
      </w:r>
    </w:p>
    <w:p>
      <w:pPr>
        <w:pStyle w:val="text-69"/>
        <w:numPr>
          <w:ilvl w:val="0"/>
          <w:numId w:val="1"/>
        </w:numPr>
      </w:pPr>
      <w:r>
        <w:rPr>
          <w:rStyle w:val="text-69-c"/>
        </w:rPr>
        <w:t xml:space="preserve">一般社団法人 incorporation</w:t>
      </w:r>
    </w:p>
    <w:p>
      <w:pPr>
        <w:pStyle w:val="text-69"/>
        <w:numPr>
          <w:ilvl w:val="0"/>
          <w:numId w:val="1"/>
        </w:numPr>
      </w:pPr>
      <w:r>
        <w:rPr>
          <w:rStyle w:val="text-69-c"/>
        </w:rPr>
        <w:t xml:space="preserve">Tax registration (法人税, 消費税)</w:t>
      </w:r>
    </w:p>
    <w:p>
      <w:pPr>
        <w:pStyle w:val="text-69"/>
        <w:numPr>
          <w:ilvl w:val="0"/>
          <w:numId w:val="1"/>
        </w:numPr>
      </w:pPr>
      <w:r>
        <w:rPr>
          <w:rStyle w:val="text-69-c"/>
        </w:rPr>
        <w:t xml:space="preserve">Bank account opening</w:t>
      </w:r>
    </w:p>
    <w:p>
      <w:pPr>
        <w:pStyle w:val="text-69"/>
        <w:numPr>
          <w:ilvl w:val="0"/>
          <w:numId w:val="1"/>
        </w:numPr>
      </w:pPr>
      <w:r>
        <w:rPr>
          <w:rStyle w:val="text-69-c"/>
        </w:rPr>
        <w:t xml:space="preserve">Accounting system (consider 弥生会計 or equivalent)</w:t>
      </w:r>
    </w:p>
    <w:p>
      <w:pPr>
        <w:pStyle w:val="text-69"/>
        <w:numPr>
          <w:ilvl w:val="0"/>
          <w:numId w:val="1"/>
        </w:numPr>
      </w:pPr>
      <w:r>
        <w:rPr>
          <w:rStyle w:val="text-69-c"/>
        </w:rPr>
        <w:t xml:space="preserve">Annual financial reporting</w:t>
      </w:r>
    </w:p>
    <w:p>
      <w:pPr>
        <w:pStyle w:val="text-5"/>
      </w:pPr>
      <w:r>
        <w:rPr>
          <w:rStyle w:val="text-5-c"/>
        </w:rPr>
        <w:t xml:space="preserve">Project-Specific Permits</w:t>
      </w:r>
    </w:p>
    <w:p>
      <w:pPr>
        <w:pStyle w:val="text-88"/>
        <w:numPr>
          <w:ilvl w:val="0"/>
          <w:numId w:val="1"/>
        </w:numPr>
      </w:pPr>
      <w:r>
        <w:rPr>
          <w:rStyle w:val="text-88-c"/>
        </w:rPr>
        <w:t xml:space="preserve">Forestry permits</w:t>
      </w:r>
      <w:r>
        <w:rPr>
          <w:rStyle w:val="text-69-c"/>
        </w:rPr>
        <w:t xml:space="preserve"> — 伐採届出 (cutting notification) under Forest Act</w:t>
      </w:r>
    </w:p>
    <w:p>
      <w:pPr>
        <w:pStyle w:val="text-88"/>
        <w:numPr>
          <w:ilvl w:val="0"/>
          <w:numId w:val="1"/>
        </w:numPr>
      </w:pPr>
      <w:r>
        <w:rPr>
          <w:rStyle w:val="text-88-c"/>
        </w:rPr>
        <w:t xml:space="preserve">Land use changes</w:t>
      </w:r>
      <w:r>
        <w:rPr>
          <w:rStyle w:val="text-69-c"/>
        </w:rPr>
        <w:t xml:space="preserve"> — coordination with 農業委員会 if any agricultural land involved</w:t>
      </w:r>
    </w:p>
    <w:p>
      <w:pPr>
        <w:pStyle w:val="text-88"/>
        <w:numPr>
          <w:ilvl w:val="0"/>
          <w:numId w:val="1"/>
        </w:numPr>
      </w:pPr>
      <w:r>
        <w:rPr>
          <w:rStyle w:val="text-88-c"/>
        </w:rPr>
        <w:t xml:space="preserve">Building conversion permits</w:t>
      </w:r>
      <w:r>
        <w:rPr>
          <w:rStyle w:val="text-69-c"/>
        </w:rPr>
        <w:t xml:space="preserve"> — Building Standards Act (建築基準法)</w:t>
      </w:r>
    </w:p>
    <w:p>
      <w:pPr>
        <w:pStyle w:val="text-88"/>
        <w:numPr>
          <w:ilvl w:val="0"/>
          <w:numId w:val="1"/>
        </w:numPr>
      </w:pPr>
      <w:r>
        <w:rPr>
          <w:rStyle w:val="text-88-c"/>
        </w:rPr>
        <w:t xml:space="preserve">Fire and safety</w:t>
      </w:r>
      <w:r>
        <w:rPr>
          <w:rStyle w:val="text-69-c"/>
        </w:rPr>
        <w:t xml:space="preserve"> — biomass plant requires 消防 approvals</w:t>
      </w:r>
    </w:p>
    <w:p>
      <w:pPr>
        <w:pStyle w:val="text-88"/>
        <w:numPr>
          <w:ilvl w:val="0"/>
          <w:numId w:val="1"/>
        </w:numPr>
      </w:pPr>
      <w:r>
        <w:rPr>
          <w:rStyle w:val="text-88-c"/>
        </w:rPr>
        <w:t xml:space="preserve">Electrical equipment</w:t>
      </w:r>
      <w:r>
        <w:rPr>
          <w:rStyle w:val="text-69-c"/>
        </w:rPr>
        <w:t xml:space="preserve"> — 電気事業法 compliance for power generation</w:t>
      </w:r>
    </w:p>
    <w:p>
      <w:pPr>
        <w:pStyle w:val="text-88"/>
        <w:numPr>
          <w:ilvl w:val="0"/>
          <w:numId w:val="1"/>
        </w:numPr>
      </w:pPr>
      <w:r>
        <w:rPr>
          <w:rStyle w:val="text-88-c"/>
        </w:rPr>
        <w:t xml:space="preserve">FIT/FIP registration</w:t>
      </w:r>
      <w:r>
        <w:rPr>
          <w:rStyle w:val="text-69-c"/>
        </w:rPr>
        <w:t xml:space="preserve"> — METI process for grid feed-in</w:t>
      </w:r>
    </w:p>
    <w:p>
      <w:pPr>
        <w:pStyle w:val="text-88"/>
        <w:numPr>
          <w:ilvl w:val="0"/>
          <w:numId w:val="1"/>
        </w:numPr>
      </w:pPr>
      <w:r>
        <w:rPr>
          <w:rStyle w:val="text-88-c"/>
        </w:rPr>
        <w:t xml:space="preserve">Environmental impact</w:t>
      </w:r>
      <w:r>
        <w:rPr>
          <w:rStyle w:val="text-69-c"/>
        </w:rPr>
        <w:t xml:space="preserve"> — depending on scale, may require 環境アセスメント</w:t>
      </w:r>
    </w:p>
    <w:p>
      <w:pPr>
        <w:pStyle w:val="text-88"/>
        <w:numPr>
          <w:ilvl w:val="0"/>
          <w:numId w:val="1"/>
        </w:numPr>
      </w:pPr>
      <w:r>
        <w:rPr>
          <w:rStyle w:val="text-88-c"/>
        </w:rPr>
        <w:t xml:space="preserve">Data center compliance</w:t>
      </w:r>
      <w:r>
        <w:rPr>
          <w:rStyle w:val="text-69-c"/>
        </w:rPr>
        <w:t xml:space="preserve"> — APPI (privacy), cybersecurity standards</w:t>
      </w:r>
    </w:p>
    <w:p>
      <w:pPr>
        <w:pStyle w:val="text-5"/>
      </w:pPr>
      <w:r>
        <w:rPr>
          <w:rStyle w:val="text-5-c"/>
        </w:rPr>
        <w:t xml:space="preserve">Recommended Professional Support</w:t>
      </w:r>
    </w:p>
    <w:p>
      <w:pPr>
        <w:pStyle w:val="text-88"/>
        <w:numPr>
          <w:ilvl w:val="0"/>
          <w:numId w:val="1"/>
        </w:numPr>
      </w:pPr>
      <w:r>
        <w:rPr>
          <w:rStyle w:val="text-88-c"/>
        </w:rPr>
        <w:t xml:space="preserve">行政書士 (administrative scrivener)</w:t>
      </w:r>
      <w:r>
        <w:rPr>
          <w:rStyle w:val="text-69-c"/>
        </w:rPr>
        <w:t xml:space="preserve"> — for permits, NPO setup, grant applications. Local Nara-based ideal.</w:t>
      </w:r>
    </w:p>
    <w:p>
      <w:pPr>
        <w:pStyle w:val="text-88"/>
        <w:numPr>
          <w:ilvl w:val="0"/>
          <w:numId w:val="1"/>
        </w:numPr>
      </w:pPr>
      <w:r>
        <w:rPr>
          <w:rStyle w:val="text-88-c"/>
        </w:rPr>
        <w:t xml:space="preserve">公認会計士 / 税理士 (accountant / tax advisor)</w:t>
      </w:r>
      <w:r>
        <w:rPr>
          <w:rStyle w:val="text-69-c"/>
        </w:rPr>
        <w:t xml:space="preserve"> — for financial setup and reporting</w:t>
      </w:r>
    </w:p>
    <w:p>
      <w:pPr>
        <w:pStyle w:val="text-88"/>
        <w:numPr>
          <w:ilvl w:val="0"/>
          <w:numId w:val="1"/>
        </w:numPr>
      </w:pPr>
      <w:r>
        <w:rPr>
          <w:rStyle w:val="text-88-c"/>
        </w:rPr>
        <w:t xml:space="preserve">弁護士 (lawyer)</w:t>
      </w:r>
      <w:r>
        <w:rPr>
          <w:rStyle w:val="text-69-c"/>
        </w:rPr>
        <w:t xml:space="preserve"> — for landowner contracts, partnership agreements (consult, don't retain full-time yet)</w:t>
      </w:r>
    </w:p>
    <w:p>
      <w:pPr>
        <w:pStyle w:val="text-88"/>
        <w:numPr>
          <w:ilvl w:val="0"/>
          <w:numId w:val="1"/>
        </w:numPr>
      </w:pPr>
      <w:r>
        <w:rPr>
          <w:rStyle w:val="text-88-c"/>
        </w:rPr>
        <w:t xml:space="preserve">Patent attorney</w:t>
      </w:r>
      <w:r>
        <w:rPr>
          <w:rStyle w:val="text-69-c"/>
        </w:rPr>
        <w:t xml:space="preserve"> — only if novel technology IP needs protection</w:t>
      </w:r>
    </w:p>
    <w:p>
      <w:pPr>
        <w:jc w:val="center"/>
      </w:pPr>
      <w:r>
        <mc:AlternateContent>
          <mc:Choice Requires="wpg">
            <w:drawing>
              <wp:inline xmlns:wp="http://schemas.openxmlformats.org/drawingml/2006/wordprocessingDrawing" distT="0" distB="0" distL="0" distR="0">
                <wp:extent cx="5943600" cy="0"/>
                <wp:effectExtent l="0" t="0" r="0" b="0"/>
                <wp:docPr id="10" name="Line 10"/>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9" o:spid="_x0000_s9"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Risk Management</w:t>
      </w:r>
    </w:p>
    <w:p>
      <w:pPr>
        <w:pStyle w:val="text-5"/>
      </w:pPr>
      <w:r>
        <w:rPr>
          <w:rStyle w:val="text-5-c"/>
        </w:rPr>
        <w:t xml:space="preserve">Top Risks and Mitigations</w:t>
      </w:r>
    </w:p>
    <w:tbl>
      <w:tblPr>
        <w:tblW w:w="5000" w:type="pct"/>
        <w:tblCellMar>
          <w:left w:w="15" w:type="dxa"/>
          <w:top w:w="15" w:type="dxa"/>
          <w:right w:w="15" w:type="dxa"/>
          <w:bottom w:w="15" w:type="dxa"/>
        </w:tblCellMar>
        <w:tblLook w:val="04A0" w:firstRow="1" w:lastRow="0" w:firstColumn="1" w:lastColumn="0" w:noHBand="0" w:noVBand="1"/>
      </w:tblPr>
      <w:tr>
        <w:tc>
          <w:tcPr>
            <w:tcW w:w="0" w:type="auto"/>
            <w:tcBorders>
              <w:bottom w:val="single" w:color="dddddd" w:sz="12" w:space="0"/>
            </w:tcBorders>
            <w:vAlign w:val="center"/>
            <w:hideMark/>
          </w:tcPr>
          <w:p>
            <w:pPr>
              <w:pStyle w:val="text-21"/>
            </w:pPr>
            <w:r>
              <w:rPr>
                <w:rStyle w:val="text-21-c"/>
              </w:rPr>
              <w:t xml:space="preserve">Risk</w:t>
            </w:r>
          </w:p>
        </w:tc>
        <w:tc>
          <w:tcPr>
            <w:tcW w:w="0" w:type="auto"/>
            <w:tcBorders>
              <w:bottom w:val="single" w:color="dddddd" w:sz="12" w:space="0"/>
            </w:tcBorders>
            <w:vAlign w:val="center"/>
            <w:hideMark/>
          </w:tcPr>
          <w:p>
            <w:pPr>
              <w:pStyle w:val="text-21"/>
            </w:pPr>
            <w:r>
              <w:rPr>
                <w:rStyle w:val="text-21-c"/>
              </w:rPr>
              <w:t xml:space="preserve">Likelihood</w:t>
            </w:r>
          </w:p>
        </w:tc>
        <w:tc>
          <w:tcPr>
            <w:tcW w:w="0" w:type="auto"/>
            <w:tcBorders>
              <w:bottom w:val="single" w:color="dddddd" w:sz="12" w:space="0"/>
            </w:tcBorders>
            <w:vAlign w:val="center"/>
            <w:hideMark/>
          </w:tcPr>
          <w:p>
            <w:pPr>
              <w:pStyle w:val="text-21"/>
            </w:pPr>
            <w:r>
              <w:rPr>
                <w:rStyle w:val="text-21-c"/>
              </w:rPr>
              <w:t xml:space="preserve">Impact</w:t>
            </w:r>
          </w:p>
        </w:tc>
        <w:tc>
          <w:tcPr>
            <w:tcW w:w="0" w:type="auto"/>
            <w:tcBorders>
              <w:bottom w:val="single" w:color="dddddd" w:sz="12" w:space="0"/>
            </w:tcBorders>
            <w:vAlign w:val="center"/>
            <w:hideMark/>
          </w:tcPr>
          <w:p>
            <w:pPr>
              <w:pStyle w:val="text-21"/>
            </w:pPr>
            <w:r>
              <w:rPr>
                <w:rStyle w:val="text-21-c"/>
              </w:rPr>
              <w:t xml:space="preserve">Mitigation</w:t>
            </w:r>
          </w:p>
        </w:tc>
      </w:tr>
      <w:tr>
        <w:tc>
          <w:tcPr>
            <w:tcW w:w="0" w:type="auto"/>
            <w:tcBorders>
              <w:top w:val="single" w:color="dddddd" w:sz="6" w:space="0"/>
            </w:tcBorders>
            <w:vAlign w:val="center"/>
            <w:hideMark/>
          </w:tcPr>
          <w:p>
            <w:pPr>
              <w:pStyle w:val="text-28"/>
            </w:pPr>
            <w:r>
              <w:rPr>
                <w:rStyle w:val="text-28-c"/>
              </w:rPr>
              <w:t xml:space="preserve">Local community resistance</w:t>
            </w:r>
          </w:p>
        </w:tc>
        <w:tc>
          <w:tcPr>
            <w:tcW w:w="0" w:type="auto"/>
            <w:tcBorders>
              <w:top w:val="single" w:color="dddddd" w:sz="6" w:space="0"/>
            </w:tcBorders>
            <w:vAlign w:val="center"/>
            <w:hideMark/>
          </w:tcPr>
          <w:p>
            <w:pPr>
              <w:pStyle w:val="text-28"/>
            </w:pPr>
            <w:r>
              <w:rPr>
                <w:rStyle w:val="text-28-c"/>
              </w:rPr>
              <w:t xml:space="preserve">Medium</w:t>
            </w:r>
          </w:p>
        </w:tc>
        <w:tc>
          <w:tcPr>
            <w:tcW w:w="0" w:type="auto"/>
            <w:tcBorders>
              <w:top w:val="single" w:color="dddddd" w:sz="6" w:space="0"/>
            </w:tcBorders>
            <w:vAlign w:val="center"/>
            <w:hideMark/>
          </w:tcPr>
          <w:p>
            <w:pPr>
              <w:pStyle w:val="text-28"/>
            </w:pPr>
            <w:r>
              <w:rPr>
                <w:rStyle w:val="text-28-c"/>
              </w:rPr>
              <w:t xml:space="preserve">High</w:t>
            </w:r>
          </w:p>
        </w:tc>
        <w:tc>
          <w:tcPr>
            <w:tcW w:w="0" w:type="auto"/>
            <w:tcBorders>
              <w:top w:val="single" w:color="dddddd" w:sz="6" w:space="0"/>
            </w:tcBorders>
            <w:vAlign w:val="center"/>
            <w:hideMark/>
          </w:tcPr>
          <w:p>
            <w:pPr>
              <w:pStyle w:val="text-28"/>
            </w:pPr>
            <w:r>
              <w:rPr>
                <w:rStyle w:val="text-28-c"/>
              </w:rPr>
              <w:t xml:space="preserve">Phase 0 trust-building before any announcements</w:t>
            </w:r>
          </w:p>
        </w:tc>
      </w:tr>
      <w:tr>
        <w:tc>
          <w:tcPr>
            <w:tcW w:w="0" w:type="auto"/>
            <w:tcBorders>
              <w:top w:val="single" w:color="dddddd" w:sz="6" w:space="0"/>
            </w:tcBorders>
            <w:vAlign w:val="center"/>
            <w:hideMark/>
          </w:tcPr>
          <w:p>
            <w:pPr>
              <w:pStyle w:val="text-28"/>
            </w:pPr>
            <w:r>
              <w:rPr>
                <w:rStyle w:val="text-28-c"/>
              </w:rPr>
              <w:t xml:space="preserve">Forestry economics worse than expected</w:t>
            </w:r>
          </w:p>
        </w:tc>
        <w:tc>
          <w:tcPr>
            <w:tcW w:w="0" w:type="auto"/>
            <w:tcBorders>
              <w:top w:val="single" w:color="dddddd" w:sz="6" w:space="0"/>
            </w:tcBorders>
            <w:vAlign w:val="center"/>
            <w:hideMark/>
          </w:tcPr>
          <w:p>
            <w:pPr>
              <w:pStyle w:val="text-28"/>
            </w:pPr>
            <w:r>
              <w:rPr>
                <w:rStyle w:val="text-28-c"/>
              </w:rPr>
              <w:t xml:space="preserve">High</w:t>
            </w:r>
          </w:p>
        </w:tc>
        <w:tc>
          <w:tcPr>
            <w:tcW w:w="0" w:type="auto"/>
            <w:tcBorders>
              <w:top w:val="single" w:color="dddddd" w:sz="6" w:space="0"/>
            </w:tcBorders>
            <w:vAlign w:val="center"/>
            <w:hideMark/>
          </w:tcPr>
          <w:p>
            <w:pPr>
              <w:pStyle w:val="text-28"/>
            </w:pPr>
            <w:r>
              <w:rPr>
                <w:rStyle w:val="text-28-c"/>
              </w:rPr>
              <w:t xml:space="preserve">High</w:t>
            </w:r>
          </w:p>
        </w:tc>
        <w:tc>
          <w:tcPr>
            <w:tcW w:w="0" w:type="auto"/>
            <w:tcBorders>
              <w:top w:val="single" w:color="dddddd" w:sz="6" w:space="0"/>
            </w:tcBorders>
            <w:vAlign w:val="center"/>
            <w:hideMark/>
          </w:tcPr>
          <w:p>
            <w:pPr>
              <w:pStyle w:val="text-28"/>
            </w:pPr>
            <w:r>
              <w:rPr>
                <w:rStyle w:val="text-28-c"/>
              </w:rPr>
              <w:t xml:space="preserve">Independent feasibility study early; have alternative biomass sources ready</w:t>
            </w:r>
          </w:p>
        </w:tc>
      </w:tr>
      <w:tr>
        <w:tc>
          <w:tcPr>
            <w:tcW w:w="0" w:type="auto"/>
            <w:tcBorders>
              <w:top w:val="single" w:color="dddddd" w:sz="6" w:space="0"/>
            </w:tcBorders>
            <w:vAlign w:val="center"/>
            <w:hideMark/>
          </w:tcPr>
          <w:p>
            <w:pPr>
              <w:pStyle w:val="text-28"/>
            </w:pPr>
            <w:r>
              <w:rPr>
                <w:rStyle w:val="text-28-c"/>
              </w:rPr>
              <w:t xml:space="preserve">Funding gaps between phases</w:t>
            </w:r>
          </w:p>
        </w:tc>
        <w:tc>
          <w:tcPr>
            <w:tcW w:w="0" w:type="auto"/>
            <w:tcBorders>
              <w:top w:val="single" w:color="dddddd" w:sz="6" w:space="0"/>
            </w:tcBorders>
            <w:vAlign w:val="center"/>
            <w:hideMark/>
          </w:tcPr>
          <w:p>
            <w:pPr>
              <w:pStyle w:val="text-28"/>
            </w:pPr>
            <w:r>
              <w:rPr>
                <w:rStyle w:val="text-28-c"/>
              </w:rPr>
              <w:t xml:space="preserve">Medium</w:t>
            </w:r>
          </w:p>
        </w:tc>
        <w:tc>
          <w:tcPr>
            <w:tcW w:w="0" w:type="auto"/>
            <w:tcBorders>
              <w:top w:val="single" w:color="dddddd" w:sz="6" w:space="0"/>
            </w:tcBorders>
            <w:vAlign w:val="center"/>
            <w:hideMark/>
          </w:tcPr>
          <w:p>
            <w:pPr>
              <w:pStyle w:val="text-28"/>
            </w:pPr>
            <w:r>
              <w:rPr>
                <w:rStyle w:val="text-28-c"/>
              </w:rPr>
              <w:t xml:space="preserve">High</w:t>
            </w:r>
          </w:p>
        </w:tc>
        <w:tc>
          <w:tcPr>
            <w:tcW w:w="0" w:type="auto"/>
            <w:tcBorders>
              <w:top w:val="single" w:color="dddddd" w:sz="6" w:space="0"/>
            </w:tcBorders>
            <w:vAlign w:val="center"/>
            <w:hideMark/>
          </w:tcPr>
          <w:p>
            <w:pPr>
              <w:pStyle w:val="text-28"/>
            </w:pPr>
            <w:r>
              <w:rPr>
                <w:rStyle w:val="text-28-c"/>
              </w:rPr>
              <w:t xml:space="preserve">Diversified funding, never depend on one source; phase budgets conservatively</w:t>
            </w:r>
          </w:p>
        </w:tc>
      </w:tr>
      <w:tr>
        <w:tc>
          <w:tcPr>
            <w:tcW w:w="0" w:type="auto"/>
            <w:tcBorders>
              <w:top w:val="single" w:color="dddddd" w:sz="6" w:space="0"/>
            </w:tcBorders>
            <w:vAlign w:val="center"/>
            <w:hideMark/>
          </w:tcPr>
          <w:p>
            <w:pPr>
              <w:pStyle w:val="text-28"/>
            </w:pPr>
            <w:r>
              <w:rPr>
                <w:rStyle w:val="text-28-c"/>
              </w:rPr>
              <w:t xml:space="preserve">Founder dependency on Rob</w:t>
            </w:r>
          </w:p>
        </w:tc>
        <w:tc>
          <w:tcPr>
            <w:tcW w:w="0" w:type="auto"/>
            <w:tcBorders>
              <w:top w:val="single" w:color="dddddd" w:sz="6" w:space="0"/>
            </w:tcBorders>
            <w:vAlign w:val="center"/>
            <w:hideMark/>
          </w:tcPr>
          <w:p>
            <w:pPr>
              <w:pStyle w:val="text-28"/>
            </w:pPr>
            <w:r>
              <w:rPr>
                <w:rStyle w:val="text-28-c"/>
              </w:rPr>
              <w:t xml:space="preserve">Medium</w:t>
            </w:r>
          </w:p>
        </w:tc>
        <w:tc>
          <w:tcPr>
            <w:tcW w:w="0" w:type="auto"/>
            <w:tcBorders>
              <w:top w:val="single" w:color="dddddd" w:sz="6" w:space="0"/>
            </w:tcBorders>
            <w:vAlign w:val="center"/>
            <w:hideMark/>
          </w:tcPr>
          <w:p>
            <w:pPr>
              <w:pStyle w:val="text-28"/>
            </w:pPr>
            <w:r>
              <w:rPr>
                <w:rStyle w:val="text-28-c"/>
              </w:rPr>
              <w:t xml:space="preserve">High</w:t>
            </w:r>
          </w:p>
        </w:tc>
        <w:tc>
          <w:tcPr>
            <w:tcW w:w="0" w:type="auto"/>
            <w:tcBorders>
              <w:top w:val="single" w:color="dddddd" w:sz="6" w:space="0"/>
            </w:tcBorders>
            <w:vAlign w:val="center"/>
            <w:hideMark/>
          </w:tcPr>
          <w:p>
            <w:pPr>
              <w:pStyle w:val="text-28"/>
            </w:pPr>
            <w:r>
              <w:rPr>
                <w:rStyle w:val="text-28-c"/>
              </w:rPr>
              <w:t xml:space="preserve">Strong co-founders, documented processes, succession plan</w:t>
            </w:r>
          </w:p>
        </w:tc>
      </w:tr>
      <w:tr>
        <w:tc>
          <w:tcPr>
            <w:tcW w:w="0" w:type="auto"/>
            <w:tcBorders>
              <w:top w:val="single" w:color="dddddd" w:sz="6" w:space="0"/>
            </w:tcBorders>
            <w:vAlign w:val="center"/>
            <w:hideMark/>
          </w:tcPr>
          <w:p>
            <w:pPr>
              <w:pStyle w:val="text-28"/>
            </w:pPr>
            <w:r>
              <w:rPr>
                <w:rStyle w:val="text-28-c"/>
              </w:rPr>
              <w:t xml:space="preserve">Building unsuitable for data center</w:t>
            </w:r>
          </w:p>
        </w:tc>
        <w:tc>
          <w:tcPr>
            <w:tcW w:w="0" w:type="auto"/>
            <w:tcBorders>
              <w:top w:val="single" w:color="dddddd" w:sz="6" w:space="0"/>
            </w:tcBorders>
            <w:vAlign w:val="center"/>
            <w:hideMark/>
          </w:tcPr>
          <w:p>
            <w:pPr>
              <w:pStyle w:val="text-28"/>
            </w:pPr>
            <w:r>
              <w:rPr>
                <w:rStyle w:val="text-28-c"/>
              </w:rPr>
              <w:t xml:space="preserve">Low</w:t>
            </w:r>
          </w:p>
        </w:tc>
        <w:tc>
          <w:tcPr>
            <w:tcW w:w="0" w:type="auto"/>
            <w:tcBorders>
              <w:top w:val="single" w:color="dddddd" w:sz="6" w:space="0"/>
            </w:tcBorders>
            <w:vAlign w:val="center"/>
            <w:hideMark/>
          </w:tcPr>
          <w:p>
            <w:pPr>
              <w:pStyle w:val="text-28"/>
            </w:pPr>
            <w:r>
              <w:rPr>
                <w:rStyle w:val="text-28-c"/>
              </w:rPr>
              <w:t xml:space="preserve">High</w:t>
            </w:r>
          </w:p>
        </w:tc>
        <w:tc>
          <w:tcPr>
            <w:tcW w:w="0" w:type="auto"/>
            <w:tcBorders>
              <w:top w:val="single" w:color="dddddd" w:sz="6" w:space="0"/>
            </w:tcBorders>
            <w:vAlign w:val="center"/>
            <w:hideMark/>
          </w:tcPr>
          <w:p>
            <w:pPr>
              <w:pStyle w:val="text-28"/>
            </w:pPr>
            <w:r>
              <w:rPr>
                <w:rStyle w:val="text-28-c"/>
              </w:rPr>
              <w:t xml:space="preserve">Early structural assessment in Phase 1</w:t>
            </w:r>
          </w:p>
        </w:tc>
      </w:tr>
      <w:tr>
        <w:tc>
          <w:tcPr>
            <w:tcW w:w="0" w:type="auto"/>
            <w:tcBorders>
              <w:top w:val="single" w:color="dddddd" w:sz="6" w:space="0"/>
            </w:tcBorders>
            <w:vAlign w:val="center"/>
            <w:hideMark/>
          </w:tcPr>
          <w:p>
            <w:pPr>
              <w:pStyle w:val="text-28"/>
            </w:pPr>
            <w:r>
              <w:rPr>
                <w:rStyle w:val="text-28-c"/>
              </w:rPr>
              <w:t xml:space="preserve">Fiber connectivity insufficient</w:t>
            </w:r>
          </w:p>
        </w:tc>
        <w:tc>
          <w:tcPr>
            <w:tcW w:w="0" w:type="auto"/>
            <w:tcBorders>
              <w:top w:val="single" w:color="dddddd" w:sz="6" w:space="0"/>
            </w:tcBorders>
            <w:vAlign w:val="center"/>
            <w:hideMark/>
          </w:tcPr>
          <w:p>
            <w:pPr>
              <w:pStyle w:val="text-28"/>
            </w:pPr>
            <w:r>
              <w:rPr>
                <w:rStyle w:val="text-28-c"/>
              </w:rPr>
              <w:t xml:space="preserve">Medium</w:t>
            </w:r>
          </w:p>
        </w:tc>
        <w:tc>
          <w:tcPr>
            <w:tcW w:w="0" w:type="auto"/>
            <w:tcBorders>
              <w:top w:val="single" w:color="dddddd" w:sz="6" w:space="0"/>
            </w:tcBorders>
            <w:vAlign w:val="center"/>
            <w:hideMark/>
          </w:tcPr>
          <w:p>
            <w:pPr>
              <w:pStyle w:val="text-28"/>
            </w:pPr>
            <w:r>
              <w:rPr>
                <w:rStyle w:val="text-28-c"/>
              </w:rPr>
              <w:t xml:space="preserve">Medium</w:t>
            </w:r>
          </w:p>
        </w:tc>
        <w:tc>
          <w:tcPr>
            <w:tcW w:w="0" w:type="auto"/>
            <w:tcBorders>
              <w:top w:val="single" w:color="dddddd" w:sz="6" w:space="0"/>
            </w:tcBorders>
            <w:vAlign w:val="center"/>
            <w:hideMark/>
          </w:tcPr>
          <w:p>
            <w:pPr>
              <w:pStyle w:val="text-28"/>
            </w:pPr>
            <w:r>
              <w:rPr>
                <w:rStyle w:val="text-28-c"/>
              </w:rPr>
              <w:t xml:space="preserve">Early NTT consultation; consider satellite/microwave backup</w:t>
            </w:r>
          </w:p>
        </w:tc>
      </w:tr>
      <w:tr>
        <w:tc>
          <w:tcPr>
            <w:tcW w:w="0" w:type="auto"/>
            <w:tcBorders>
              <w:top w:val="single" w:color="dddddd" w:sz="6" w:space="0"/>
            </w:tcBorders>
            <w:vAlign w:val="center"/>
            <w:hideMark/>
          </w:tcPr>
          <w:p>
            <w:pPr>
              <w:pStyle w:val="text-28"/>
            </w:pPr>
            <w:r>
              <w:rPr>
                <w:rStyle w:val="text-28-c"/>
              </w:rPr>
              <w:t xml:space="preserve">Regulatory delays</w:t>
            </w:r>
          </w:p>
        </w:tc>
        <w:tc>
          <w:tcPr>
            <w:tcW w:w="0" w:type="auto"/>
            <w:tcBorders>
              <w:top w:val="single" w:color="dddddd" w:sz="6" w:space="0"/>
            </w:tcBorders>
            <w:vAlign w:val="center"/>
            <w:hideMark/>
          </w:tcPr>
          <w:p>
            <w:pPr>
              <w:pStyle w:val="text-28"/>
            </w:pPr>
            <w:r>
              <w:rPr>
                <w:rStyle w:val="text-28-c"/>
              </w:rPr>
              <w:t xml:space="preserve">High</w:t>
            </w:r>
          </w:p>
        </w:tc>
        <w:tc>
          <w:tcPr>
            <w:tcW w:w="0" w:type="auto"/>
            <w:tcBorders>
              <w:top w:val="single" w:color="dddddd" w:sz="6" w:space="0"/>
            </w:tcBorders>
            <w:vAlign w:val="center"/>
            <w:hideMark/>
          </w:tcPr>
          <w:p>
            <w:pPr>
              <w:pStyle w:val="text-28"/>
            </w:pPr>
            <w:r>
              <w:rPr>
                <w:rStyle w:val="text-28-c"/>
              </w:rPr>
              <w:t xml:space="preserve">Medium</w:t>
            </w:r>
          </w:p>
        </w:tc>
        <w:tc>
          <w:tcPr>
            <w:tcW w:w="0" w:type="auto"/>
            <w:tcBorders>
              <w:top w:val="single" w:color="dddddd" w:sz="6" w:space="0"/>
            </w:tcBorders>
            <w:vAlign w:val="center"/>
            <w:hideMark/>
          </w:tcPr>
          <w:p>
            <w:pPr>
              <w:pStyle w:val="text-28"/>
            </w:pPr>
            <w:r>
              <w:rPr>
                <w:rStyle w:val="text-28-c"/>
              </w:rPr>
              <w:t xml:space="preserve">Start permits early; build buffer into timeline</w:t>
            </w:r>
          </w:p>
        </w:tc>
      </w:tr>
      <w:tr>
        <w:tc>
          <w:tcPr>
            <w:tcW w:w="0" w:type="auto"/>
            <w:tcBorders>
              <w:top w:val="single" w:color="dddddd" w:sz="6" w:space="0"/>
            </w:tcBorders>
            <w:vAlign w:val="center"/>
            <w:hideMark/>
          </w:tcPr>
          <w:p>
            <w:pPr>
              <w:pStyle w:val="text-28"/>
            </w:pPr>
            <w:r>
              <w:rPr>
                <w:rStyle w:val="text-28-c"/>
              </w:rPr>
              <w:t xml:space="preserve">Team conflict / mission drift</w:t>
            </w:r>
          </w:p>
        </w:tc>
        <w:tc>
          <w:tcPr>
            <w:tcW w:w="0" w:type="auto"/>
            <w:tcBorders>
              <w:top w:val="single" w:color="dddddd" w:sz="6" w:space="0"/>
            </w:tcBorders>
            <w:vAlign w:val="center"/>
            <w:hideMark/>
          </w:tcPr>
          <w:p>
            <w:pPr>
              <w:pStyle w:val="text-28"/>
            </w:pPr>
            <w:r>
              <w:rPr>
                <w:rStyle w:val="text-28-c"/>
              </w:rPr>
              <w:t xml:space="preserve">Medium</w:t>
            </w:r>
          </w:p>
        </w:tc>
        <w:tc>
          <w:tcPr>
            <w:tcW w:w="0" w:type="auto"/>
            <w:tcBorders>
              <w:top w:val="single" w:color="dddddd" w:sz="6" w:space="0"/>
            </w:tcBorders>
            <w:vAlign w:val="center"/>
            <w:hideMark/>
          </w:tcPr>
          <w:p>
            <w:pPr>
              <w:pStyle w:val="text-28"/>
            </w:pPr>
            <w:r>
              <w:rPr>
                <w:rStyle w:val="text-28-c"/>
              </w:rPr>
              <w:t xml:space="preserve">High</w:t>
            </w:r>
          </w:p>
        </w:tc>
        <w:tc>
          <w:tcPr>
            <w:tcW w:w="0" w:type="auto"/>
            <w:tcBorders>
              <w:top w:val="single" w:color="dddddd" w:sz="6" w:space="0"/>
            </w:tcBorders>
            <w:vAlign w:val="center"/>
            <w:hideMark/>
          </w:tcPr>
          <w:p>
            <w:pPr>
              <w:pStyle w:val="text-28"/>
            </w:pPr>
            <w:r>
              <w:rPr>
                <w:rStyle w:val="text-28-c"/>
              </w:rPr>
              <w:t xml:space="preserve">Clear charter, regular reviews, term limits</w:t>
            </w:r>
          </w:p>
        </w:tc>
      </w:tr>
    </w:tbl>
    <w:p>
      <w:pPr>
        <w:rPr>
          <w:rFonts w:eastAsia="Times New Roman"/>
          <w:vanish/>
          <w:sz w:val="2"/>
          <w:szCs w:val="2"/>
        </w:rPr>
      </w:pPr>
    </w:p>
    <w:p>
      <w:pPr>
        <w:jc w:val="center"/>
      </w:pPr>
      <w:r>
        <mc:AlternateContent>
          <mc:Choice Requires="wpg">
            <w:drawing>
              <wp:inline xmlns:wp="http://schemas.openxmlformats.org/drawingml/2006/wordprocessingDrawing" distT="0" distB="0" distL="0" distR="0">
                <wp:extent cx="5943600" cy="0"/>
                <wp:effectExtent l="0" t="0" r="0" b="0"/>
                <wp:docPr id="11" name="Line 11"/>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0" o:spid="_x0000_s1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Immediate Next Steps (Next 30 Days)</w:t>
      </w:r>
    </w:p>
    <w:p>
      <w:pPr>
        <w:pStyle w:val="text-56"/>
        <w:numPr>
          <w:ilvl w:val="0"/>
          <w:numId w:val="4"/>
        </w:numPr>
      </w:pPr>
      <w:r>
        <w:rPr>
          <w:rStyle w:val="text-56-c"/>
        </w:rPr>
        <w:t xml:space="preserve">Identify and approach the Japanese co-founder</w:t>
      </w:r>
      <w:r>
        <w:rPr>
          <w:rStyle w:val="text-57-c"/>
        </w:rPr>
        <w:t xml:space="preserve"> — most important single decision</w:t>
      </w:r>
    </w:p>
    <w:p>
      <w:pPr>
        <w:pStyle w:val="text-56"/>
        <w:numPr>
          <w:ilvl w:val="0"/>
          <w:numId w:val="4"/>
        </w:numPr>
      </w:pPr>
      <w:r>
        <w:rPr>
          <w:rStyle w:val="text-56-c"/>
        </w:rPr>
        <w:t xml:space="preserve">Schedule informal meeting</w:t>
      </w:r>
      <w:r>
        <w:rPr>
          <w:rStyle w:val="text-57-c"/>
        </w:rPr>
        <w:t xml:space="preserve"> with Mitsue village mayor</w:t>
      </w:r>
    </w:p>
    <w:p>
      <w:pPr>
        <w:pStyle w:val="text-56"/>
        <w:numPr>
          <w:ilvl w:val="0"/>
          <w:numId w:val="4"/>
        </w:numPr>
      </w:pPr>
      <w:r>
        <w:rPr>
          <w:rStyle w:val="text-56-c"/>
        </w:rPr>
        <w:t xml:space="preserve">Reach out to 1–2 candidate 行政書士</w:t>
      </w:r>
      <w:r>
        <w:rPr>
          <w:rStyle w:val="text-57-c"/>
        </w:rPr>
        <w:t xml:space="preserve"> in Nara for initial consultations</w:t>
      </w:r>
    </w:p>
    <w:p>
      <w:pPr>
        <w:pStyle w:val="text-56"/>
        <w:numPr>
          <w:ilvl w:val="0"/>
          <w:numId w:val="4"/>
        </w:numPr>
      </w:pPr>
      <w:r>
        <w:rPr>
          <w:rStyle w:val="text-56-c"/>
        </w:rPr>
        <w:t xml:space="preserve">Draft a 2-page charter</w:t>
      </w:r>
      <w:r>
        <w:rPr>
          <w:rStyle w:val="text-57-c"/>
        </w:rPr>
        <w:t xml:space="preserve"> in Japanese and English</w:t>
      </w:r>
    </w:p>
    <w:p>
      <w:pPr>
        <w:pStyle w:val="text-56"/>
        <w:numPr>
          <w:ilvl w:val="0"/>
          <w:numId w:val="4"/>
        </w:numPr>
      </w:pPr>
      <w:r>
        <w:rPr>
          <w:rStyle w:val="text-56-c"/>
        </w:rPr>
        <w:t xml:space="preserve">Confirm advisory commitments</w:t>
      </w:r>
      <w:r>
        <w:rPr>
          <w:rStyle w:val="text-57-c"/>
        </w:rPr>
        <w:t xml:space="preserve"> from Joi Ito and Ray Ozzie in writing (even informal)</w:t>
      </w:r>
    </w:p>
    <w:p>
      <w:pPr>
        <w:pStyle w:val="text-56"/>
        <w:numPr>
          <w:ilvl w:val="0"/>
          <w:numId w:val="4"/>
        </w:numPr>
      </w:pPr>
      <w:r>
        <w:rPr>
          <w:rStyle w:val="text-56-c"/>
        </w:rPr>
        <w:t xml:space="preserve">Confirm support letter intent</w:t>
      </w:r>
      <w:r>
        <w:rPr>
          <w:rStyle w:val="text-57-c"/>
        </w:rPr>
        <w:t xml:space="preserve"> from Sandra Pellegrom / Dutch Consulate</w:t>
      </w:r>
    </w:p>
    <w:p>
      <w:pPr>
        <w:pStyle w:val="text-56"/>
        <w:numPr>
          <w:ilvl w:val="0"/>
          <w:numId w:val="4"/>
        </w:numPr>
      </w:pPr>
      <w:r>
        <w:rPr>
          <w:rStyle w:val="text-56-c"/>
        </w:rPr>
        <w:t xml:space="preserve">Open a project Slack/Signal/email list</w:t>
      </w:r>
      <w:r>
        <w:rPr>
          <w:rStyle w:val="text-57-c"/>
        </w:rPr>
        <w:t xml:space="preserve"> for the founding team</w:t>
      </w:r>
    </w:p>
    <w:p>
      <w:pPr>
        <w:jc w:val="center"/>
      </w:pPr>
      <w:r>
        <mc:AlternateContent>
          <mc:Choice Requires="wpg">
            <w:drawing>
              <wp:inline xmlns:wp="http://schemas.openxmlformats.org/drawingml/2006/wordprocessingDrawing" distT="0" distB="0" distL="0" distR="0">
                <wp:extent cx="5943600" cy="0"/>
                <wp:effectExtent l="0" t="0" r="0" b="0"/>
                <wp:docPr id="12" name="Line 12"/>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1" o:spid="_x0000_s1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Recommended Reading &amp; Resources</w:t>
      </w:r>
    </w:p>
    <w:p>
      <w:pPr>
        <w:pStyle w:val="text-88"/>
        <w:numPr>
          <w:ilvl w:val="0"/>
          <w:numId w:val="1"/>
        </w:numPr>
      </w:pPr>
      <w:r>
        <w:rPr>
          <w:rStyle w:val="text-88-c"/>
        </w:rPr>
        <w:t xml:space="preserve">Japan NPO Center</w:t>
      </w:r>
      <w:r>
        <w:rPr>
          <w:rStyle w:val="text-69-c"/>
        </w:rPr>
        <w:t xml:space="preserve"> (jnpoc.ne.jp) — primary resource for NPO setup</w:t>
      </w:r>
    </w:p>
    <w:p>
      <w:pPr>
        <w:pStyle w:val="text-88"/>
        <w:numPr>
          <w:ilvl w:val="0"/>
          <w:numId w:val="1"/>
        </w:numPr>
      </w:pPr>
      <w:r>
        <w:rPr>
          <w:rStyle w:val="text-88-c"/>
        </w:rPr>
        <w:t xml:space="preserve">林野庁 (Forestry Agency)</w:t>
      </w:r>
      <w:r>
        <w:rPr>
          <w:rStyle w:val="text-69-c"/>
        </w:rPr>
        <w:t xml:space="preserve"> website — forestry subsidies and regulations</w:t>
      </w:r>
    </w:p>
    <w:p>
      <w:pPr>
        <w:pStyle w:val="text-88"/>
        <w:numPr>
          <w:ilvl w:val="0"/>
          <w:numId w:val="1"/>
        </w:numPr>
      </w:pPr>
      <w:r>
        <w:rPr>
          <w:rStyle w:val="text-88-c"/>
        </w:rPr>
        <w:t xml:space="preserve">NEDO</w:t>
      </w:r>
      <w:r>
        <w:rPr>
          <w:rStyle w:val="text-69-c"/>
        </w:rPr>
        <w:t xml:space="preserve"> — renewable energy grant programs</w:t>
      </w:r>
    </w:p>
    <w:p>
      <w:pPr>
        <w:pStyle w:val="text-88"/>
        <w:numPr>
          <w:ilvl w:val="0"/>
          <w:numId w:val="1"/>
        </w:numPr>
      </w:pPr>
      <w:r>
        <w:rPr>
          <w:rStyle w:val="text-88-c"/>
        </w:rPr>
        <w:t xml:space="preserve">The Nippon Foundation</w:t>
      </w:r>
      <w:r>
        <w:rPr>
          <w:rStyle w:val="text-69-c"/>
        </w:rPr>
        <w:t xml:space="preserve"> — major funder for social initiatives</w:t>
      </w:r>
    </w:p>
    <w:p>
      <w:pPr>
        <w:pStyle w:val="text-88"/>
        <w:numPr>
          <w:ilvl w:val="0"/>
          <w:numId w:val="1"/>
        </w:numPr>
      </w:pPr>
      <w:r>
        <w:rPr>
          <w:rStyle w:val="text-88-c"/>
        </w:rPr>
        <w:t xml:space="preserve">METI</w:t>
      </w:r>
      <w:r>
        <w:rPr>
          <w:rStyle w:val="text-69-c"/>
        </w:rPr>
        <w:t xml:space="preserve"> — biomass and FIT/FIP regulations</w:t>
      </w:r>
    </w:p>
    <w:p>
      <w:pPr>
        <w:pStyle w:val="text-88"/>
        <w:numPr>
          <w:ilvl w:val="0"/>
          <w:numId w:val="1"/>
        </w:numPr>
      </w:pPr>
      <w:r>
        <w:rPr>
          <w:rStyle w:val="text-88-c"/>
        </w:rPr>
        <w:t xml:space="preserve">Cabinet Office Regional Revitalization portal</w:t>
      </w:r>
      <w:r>
        <w:rPr>
          <w:rStyle w:val="text-69-c"/>
        </w:rPr>
        <w:t xml:space="preserve"> (chisou.go.jp)</w:t>
      </w:r>
    </w:p>
    <w:p>
      <w:pPr>
        <w:jc w:val="center"/>
      </w:pPr>
      <w:r>
        <mc:AlternateContent>
          <mc:Choice Requires="wpg">
            <w:drawing>
              <wp:inline xmlns:wp="http://schemas.openxmlformats.org/drawingml/2006/wordprocessingDrawing" distT="0" distB="0" distL="0" distR="0">
                <wp:extent cx="5943600" cy="0"/>
                <wp:effectExtent l="0" t="0" r="0" b="0"/>
                <wp:docPr id="13" name="Line 13"/>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2" o:spid="_x0000_s1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Closing Note</w:t>
      </w:r>
    </w:p>
    <w:p>
      <w:pPr>
        <w:pStyle w:val="text-12"/>
      </w:pPr>
      <w:r>
        <w:rPr>
          <w:rStyle w:val="text-12-c"/>
        </w:rPr>
        <w:t xml:space="preserve">This plan is intentionally conservative in pace and ambitious in vision. The biggest mistake similar projects make is moving too fast publicly before securing local social license, then collapsing under the weight of expectations they cannot meet.</w:t>
      </w:r>
    </w:p>
    <w:p>
      <w:pPr>
        <w:pStyle w:val="text-12"/>
      </w:pPr>
      <w:r>
        <w:rPr>
          <w:rStyle w:val="text-12-c"/>
        </w:rPr>
        <w:t xml:space="preserve">The Mitsue Project's strength is its 25-year horizon. There is no rush in year one — there is a long, careful build of trust, structure, and capability that will determine whether year 25 looks like success or failure.</w:t>
      </w:r>
    </w:p>
    <w:p>
      <w:pPr>
        <w:pStyle w:val="text-8"/>
      </w:pPr>
      <w:r>
        <w:rPr>
          <w:rStyle w:val="text-8-c"/>
        </w:rPr>
        <w:t xml:space="preserve">Slow is smooth. Smooth is fast.</w:t>
      </w:r>
    </w:p>
    <w:p>
      <w:pPr>
        <w:jc w:val="center"/>
      </w:pPr>
      <w:r>
        <mc:AlternateContent>
          <mc:Choice Requires="wpg">
            <w:drawing>
              <wp:inline xmlns:wp="http://schemas.openxmlformats.org/drawingml/2006/wordprocessingDrawing" distT="0" distB="0" distL="0" distR="0">
                <wp:extent cx="5943600" cy="0"/>
                <wp:effectExtent l="0" t="0" r="0" b="0"/>
                <wp:docPr id="14" name="Line 14"/>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3" o:spid="_x0000_s1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416"/>
      </w:pPr>
      <w:r>
        <w:rPr>
          <w:rStyle w:val="text-416-c"/>
        </w:rPr>
        <w:t xml:space="preserve">Rob Oudendijk — YR-Design / Safecast</w:t>
      </w:r>
      <w:r>
        <w:br/>
      </w:r>
      <w:r>
        <w:rPr>
          <w:rStyle w:val="text-12-c"/>
        </w:rPr>
        <w:br/>
      </w:r>
      <w:r>
        <w:rPr>
          <w:rStyle w:val="text-416-c"/>
        </w:rPr>
        <w:t xml:space="preserve">Mitsue, Nara Prefecture, Japan</w:t>
      </w:r>
      <w:r>
        <w:br/>
      </w:r>
      <w:r>
        <w:rPr>
          <w:rStyle w:val="text-12-c"/>
        </w:rPr>
        <w:br/>
      </w:r>
      <w:r>
        <w:rPr>
          <w:rStyle w:val="text-416-c"/>
        </w:rPr>
        <w:t xml:space="preserve">April 2026</w:t>
      </w:r>
    </w:p>
    <w:sectPr>
      <w:pgSz w:h="15840" w:w="122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isLgl w:val="false"/>
      <w:lvlJc w:val="left"/>
      <w:lvlText w:val="·"/>
      <w:numFmt w:val="bullet"/>
      <w:pPr>
        <w:ind w:hanging="360" w:left="720"/>
      </w:pPr>
      <w:rPr>
        <w:rFonts w:ascii="Symbol" w:hAnsi="Symbol" w:eastAsia="Symbol" w:cs="Symbol"/>
      </w:rPr>
      <w:start w:val="1"/>
      <w:suff w:val="tab"/>
    </w:lvl>
    <w:lvl w:ilvl="1">
      <w:isLgl w:val="false"/>
      <w:lvlJc w:val="left"/>
      <w:lvlText w:val="o"/>
      <w:numFmt w:val="bullet"/>
      <w:pPr>
        <w:ind w:hanging="360" w:left="1440"/>
      </w:pPr>
      <w:rPr>
        <w:rFonts w:ascii="Courier New" w:hAnsi="Courier New" w:eastAsia="Courier New" w:cs="Courier New"/>
      </w:rPr>
      <w:start w:val="1"/>
      <w:suff w:val="tab"/>
    </w:lvl>
    <w:lvl w:ilvl="2">
      <w:isLgl w:val="false"/>
      <w:lvlJc w:val="left"/>
      <w:lvlText w:val="§"/>
      <w:numFmt w:val="bullet"/>
      <w:pPr>
        <w:ind w:hanging="360" w:left="2160"/>
      </w:pPr>
      <w:rPr>
        <w:rFonts w:ascii="Wingdings" w:hAnsi="Wingdings" w:eastAsia="Wingdings" w:cs="Wingdings"/>
      </w:rPr>
      <w:start w:val="1"/>
      <w:suff w:val="tab"/>
    </w:lvl>
    <w:lvl w:ilvl="3">
      <w:isLgl w:val="false"/>
      <w:lvlJc w:val="left"/>
      <w:lvlText w:val="·"/>
      <w:numFmt w:val="bullet"/>
      <w:pPr>
        <w:ind w:hanging="360" w:left="2880"/>
      </w:pPr>
      <w:rPr>
        <w:rFonts w:ascii="Symbol" w:hAnsi="Symbol" w:eastAsia="Symbol" w:cs="Symbol"/>
      </w:rPr>
      <w:start w:val="1"/>
      <w:suff w:val="tab"/>
    </w:lvl>
    <w:lvl w:ilvl="4">
      <w:isLgl w:val="false"/>
      <w:lvlJc w:val="left"/>
      <w:lvlText w:val="o"/>
      <w:numFmt w:val="bullet"/>
      <w:pPr>
        <w:ind w:hanging="360" w:left="3600"/>
      </w:pPr>
      <w:rPr>
        <w:rFonts w:ascii="Courier New" w:hAnsi="Courier New" w:eastAsia="Courier New" w:cs="Courier New"/>
      </w:rPr>
      <w:start w:val="1"/>
      <w:suff w:val="tab"/>
    </w:lvl>
    <w:lvl w:ilvl="5">
      <w:isLgl w:val="false"/>
      <w:lvlJc w:val="left"/>
      <w:lvlText w:val="§"/>
      <w:numFmt w:val="bullet"/>
      <w:pPr>
        <w:ind w:hanging="360" w:left="4320"/>
      </w:pPr>
      <w:rPr>
        <w:rFonts w:ascii="Wingdings" w:hAnsi="Wingdings" w:eastAsia="Wingdings" w:cs="Wingdings"/>
      </w:rPr>
      <w:start w:val="1"/>
      <w:suff w:val="tab"/>
    </w:lvl>
    <w:lvl w:ilvl="6">
      <w:isLgl w:val="false"/>
      <w:lvlJc w:val="left"/>
      <w:lvlText w:val="·"/>
      <w:numFmt w:val="bullet"/>
      <w:pPr>
        <w:ind w:hanging="360" w:left="5040"/>
      </w:pPr>
      <w:rPr>
        <w:rFonts w:ascii="Symbol" w:hAnsi="Symbol" w:eastAsia="Symbol" w:cs="Symbol"/>
      </w:rPr>
      <w:start w:val="1"/>
      <w:suff w:val="tab"/>
    </w:lvl>
    <w:lvl w:ilvl="7">
      <w:isLgl w:val="false"/>
      <w:lvlJc w:val="left"/>
      <w:lvlText w:val="o"/>
      <w:numFmt w:val="bullet"/>
      <w:pPr>
        <w:ind w:hanging="360" w:left="5760"/>
      </w:pPr>
      <w:rPr>
        <w:rFonts w:ascii="Courier New" w:hAnsi="Courier New" w:eastAsia="Courier New" w:cs="Courier New"/>
      </w:rPr>
      <w:start w:val="1"/>
      <w:suff w:val="tab"/>
    </w:lvl>
    <w:lvl w:ilvl="8">
      <w:isLgl w:val="false"/>
      <w:lvlJc w:val="left"/>
      <w:lvlText w:val="§"/>
      <w:numFmt w:val="bullet"/>
      <w:pPr>
        <w:ind w:hanging="360" w:left="6480"/>
      </w:pPr>
      <w:rPr>
        <w:rFonts w:ascii="Wingdings" w:hAnsi="Wingdings" w:eastAsia="Wingdings" w:cs="Wingdings"/>
      </w:rPr>
      <w:start w:val="1"/>
      <w:suff w:val="tab"/>
    </w:lvl>
  </w:abstractNum>
  <w:abstractNum w:abstractNumId="1">
    <w:multiLevelType w:val="hybridMultilevel"/>
    <w:lvl w:ilvl="0">
      <w:isLgl w:val="false"/>
      <w:lvlJc w:val="left"/>
      <w:lvlText w:val="%1."/>
      <w:numFmt w:val="decimal"/>
      <w:pPr>
        <w:ind w:hanging="360" w:left="709"/>
      </w:pPr>
      <w:start w:val="1"/>
      <w:suff w:val="tab"/>
    </w:lvl>
    <w:lvl w:ilvl="1">
      <w:isLgl w:val="false"/>
      <w:lvlJc w:val="left"/>
      <w:lvlText w:val="%2."/>
      <w:numFmt w:val="decimal"/>
      <w:pPr>
        <w:ind w:hanging="360" w:left="1429"/>
      </w:pPr>
      <w:start w:val="1"/>
      <w:suff w:val="tab"/>
    </w:lvl>
    <w:lvl w:ilvl="2">
      <w:isLgl w:val="false"/>
      <w:lvlJc w:val="right"/>
      <w:lvlText w:val="%3."/>
      <w:numFmt w:val="decimal"/>
      <w:pPr>
        <w:ind w:hanging="180" w:left="2149"/>
      </w:pPr>
      <w:start w:val="1"/>
      <w:suff w:val="tab"/>
    </w:lvl>
    <w:lvl w:ilvl="3">
      <w:isLgl w:val="false"/>
      <w:lvlJc w:val="left"/>
      <w:lvlText w:val="%4."/>
      <w:numFmt w:val="decimal"/>
      <w:pPr>
        <w:ind w:hanging="360" w:left="2869"/>
      </w:pPr>
      <w:start w:val="1"/>
      <w:suff w:val="tab"/>
    </w:lvl>
    <w:lvl w:ilvl="4">
      <w:isLgl w:val="false"/>
      <w:lvlJc w:val="left"/>
      <w:lvlText w:val="%5."/>
      <w:numFmt w:val="decimal"/>
      <w:pPr>
        <w:ind w:hanging="360" w:left="3589"/>
      </w:pPr>
      <w:start w:val="1"/>
      <w:suff w:val="tab"/>
    </w:lvl>
    <w:lvl w:ilvl="5">
      <w:isLgl w:val="false"/>
      <w:lvlJc w:val="right"/>
      <w:lvlText w:val="%6."/>
      <w:numFmt w:val="decimal"/>
      <w:pPr>
        <w:ind w:hanging="180" w:left="4309"/>
      </w:pPr>
      <w:start w:val="1"/>
      <w:suff w:val="tab"/>
    </w:lvl>
    <w:lvl w:ilvl="6">
      <w:isLgl w:val="false"/>
      <w:lvlJc w:val="left"/>
      <w:lvlText w:val="%7."/>
      <w:numFmt w:val="decimal"/>
      <w:pPr>
        <w:ind w:hanging="360" w:left="5029"/>
      </w:pPr>
      <w:start w:val="1"/>
      <w:suff w:val="tab"/>
    </w:lvl>
    <w:lvl w:ilvl="7">
      <w:isLgl w:val="false"/>
      <w:lvlJc w:val="left"/>
      <w:lvlText w:val="%8."/>
      <w:numFmt w:val="decimal"/>
      <w:pPr>
        <w:ind w:hanging="360" w:left="5749"/>
      </w:pPr>
      <w:start w:val="1"/>
      <w:suff w:val="tab"/>
    </w:lvl>
    <w:lvl w:ilvl="8">
      <w:isLgl w:val="false"/>
      <w:lvlJc w:val="right"/>
      <w:lvlText w:val="%9."/>
      <w:numFmt w:val="decimal"/>
      <w:pPr>
        <w:ind w:hanging="180" w:left="6469"/>
      </w:pPr>
      <w:start w:val="1"/>
      <w:suff w:val="tab"/>
    </w:lvl>
  </w:abstractNum>
  <w:abstractNum w:abstractNumId="2">
    <w:multiLevelType w:val="hybridMultilevel"/>
    <w:lvl w:ilvl="0">
      <w:isLgl w:val="false"/>
      <w:lvlJc w:val="left"/>
      <w:lvlText w:val="%1."/>
      <w:numFmt w:val="decimal"/>
      <w:pPr>
        <w:ind w:hanging="360" w:left="709"/>
      </w:pPr>
      <w:start w:val="1"/>
      <w:suff w:val="tab"/>
    </w:lvl>
    <w:lvl w:ilvl="1">
      <w:isLgl w:val="false"/>
      <w:lvlJc w:val="left"/>
      <w:lvlText w:val="%2."/>
      <w:numFmt w:val="decimal"/>
      <w:pPr>
        <w:ind w:hanging="360" w:left="1429"/>
      </w:pPr>
      <w:start w:val="1"/>
      <w:suff w:val="tab"/>
    </w:lvl>
    <w:lvl w:ilvl="2">
      <w:isLgl w:val="false"/>
      <w:lvlJc w:val="right"/>
      <w:lvlText w:val="%3."/>
      <w:numFmt w:val="decimal"/>
      <w:pPr>
        <w:ind w:hanging="180" w:left="2149"/>
      </w:pPr>
      <w:start w:val="1"/>
      <w:suff w:val="tab"/>
    </w:lvl>
    <w:lvl w:ilvl="3">
      <w:isLgl w:val="false"/>
      <w:lvlJc w:val="left"/>
      <w:lvlText w:val="%4."/>
      <w:numFmt w:val="decimal"/>
      <w:pPr>
        <w:ind w:hanging="360" w:left="2869"/>
      </w:pPr>
      <w:start w:val="1"/>
      <w:suff w:val="tab"/>
    </w:lvl>
    <w:lvl w:ilvl="4">
      <w:isLgl w:val="false"/>
      <w:lvlJc w:val="left"/>
      <w:lvlText w:val="%5."/>
      <w:numFmt w:val="decimal"/>
      <w:pPr>
        <w:ind w:hanging="360" w:left="3589"/>
      </w:pPr>
      <w:start w:val="1"/>
      <w:suff w:val="tab"/>
    </w:lvl>
    <w:lvl w:ilvl="5">
      <w:isLgl w:val="false"/>
      <w:lvlJc w:val="right"/>
      <w:lvlText w:val="%6."/>
      <w:numFmt w:val="decimal"/>
      <w:pPr>
        <w:ind w:hanging="180" w:left="4309"/>
      </w:pPr>
      <w:start w:val="1"/>
      <w:suff w:val="tab"/>
    </w:lvl>
    <w:lvl w:ilvl="6">
      <w:isLgl w:val="false"/>
      <w:lvlJc w:val="left"/>
      <w:lvlText w:val="%7."/>
      <w:numFmt w:val="decimal"/>
      <w:pPr>
        <w:ind w:hanging="360" w:left="5029"/>
      </w:pPr>
      <w:start w:val="1"/>
      <w:suff w:val="tab"/>
    </w:lvl>
    <w:lvl w:ilvl="7">
      <w:isLgl w:val="false"/>
      <w:lvlJc w:val="left"/>
      <w:lvlText w:val="%8."/>
      <w:numFmt w:val="decimal"/>
      <w:pPr>
        <w:ind w:hanging="360" w:left="5749"/>
      </w:pPr>
      <w:start w:val="1"/>
      <w:suff w:val="tab"/>
    </w:lvl>
    <w:lvl w:ilvl="8">
      <w:isLgl w:val="false"/>
      <w:lvlJc w:val="right"/>
      <w:lvlText w:val="%9."/>
      <w:numFmt w:val="decimal"/>
      <w:pPr>
        <w:ind w:hanging="180" w:left="6469"/>
      </w:pPr>
      <w:start w:val="1"/>
      <w:suff w:val="tab"/>
    </w:lvl>
  </w:abstractNum>
  <w:abstractNum w:abstractNumId="3">
    <w:multiLevelType w:val="hybridMultilevel"/>
    <w:lvl w:ilvl="0">
      <w:isLgl w:val="false"/>
      <w:lvlJc w:val="left"/>
      <w:lvlText w:val="%1."/>
      <w:numFmt w:val="decimal"/>
      <w:pPr>
        <w:ind w:hanging="360" w:left="709"/>
      </w:pPr>
      <w:start w:val="1"/>
      <w:suff w:val="tab"/>
    </w:lvl>
    <w:lvl w:ilvl="1">
      <w:isLgl w:val="false"/>
      <w:lvlJc w:val="left"/>
      <w:lvlText w:val="%2."/>
      <w:numFmt w:val="decimal"/>
      <w:pPr>
        <w:ind w:hanging="360" w:left="1429"/>
      </w:pPr>
      <w:start w:val="1"/>
      <w:suff w:val="tab"/>
    </w:lvl>
    <w:lvl w:ilvl="2">
      <w:isLgl w:val="false"/>
      <w:lvlJc w:val="right"/>
      <w:lvlText w:val="%3."/>
      <w:numFmt w:val="decimal"/>
      <w:pPr>
        <w:ind w:hanging="180" w:left="2149"/>
      </w:pPr>
      <w:start w:val="1"/>
      <w:suff w:val="tab"/>
    </w:lvl>
    <w:lvl w:ilvl="3">
      <w:isLgl w:val="false"/>
      <w:lvlJc w:val="left"/>
      <w:lvlText w:val="%4."/>
      <w:numFmt w:val="decimal"/>
      <w:pPr>
        <w:ind w:hanging="360" w:left="2869"/>
      </w:pPr>
      <w:start w:val="1"/>
      <w:suff w:val="tab"/>
    </w:lvl>
    <w:lvl w:ilvl="4">
      <w:isLgl w:val="false"/>
      <w:lvlJc w:val="left"/>
      <w:lvlText w:val="%5."/>
      <w:numFmt w:val="decimal"/>
      <w:pPr>
        <w:ind w:hanging="360" w:left="3589"/>
      </w:pPr>
      <w:start w:val="1"/>
      <w:suff w:val="tab"/>
    </w:lvl>
    <w:lvl w:ilvl="5">
      <w:isLgl w:val="false"/>
      <w:lvlJc w:val="right"/>
      <w:lvlText w:val="%6."/>
      <w:numFmt w:val="decimal"/>
      <w:pPr>
        <w:ind w:hanging="180" w:left="4309"/>
      </w:pPr>
      <w:start w:val="1"/>
      <w:suff w:val="tab"/>
    </w:lvl>
    <w:lvl w:ilvl="6">
      <w:isLgl w:val="false"/>
      <w:lvlJc w:val="left"/>
      <w:lvlText w:val="%7."/>
      <w:numFmt w:val="decimal"/>
      <w:pPr>
        <w:ind w:hanging="360" w:left="5029"/>
      </w:pPr>
      <w:start w:val="1"/>
      <w:suff w:val="tab"/>
    </w:lvl>
    <w:lvl w:ilvl="7">
      <w:isLgl w:val="false"/>
      <w:lvlJc w:val="left"/>
      <w:lvlText w:val="%8."/>
      <w:numFmt w:val="decimal"/>
      <w:pPr>
        <w:ind w:hanging="360" w:left="5749"/>
      </w:pPr>
      <w:start w:val="1"/>
      <w:suff w:val="tab"/>
    </w:lvl>
    <w:lvl w:ilvl="8">
      <w:isLgl w:val="false"/>
      <w:lvlJc w:val="right"/>
      <w:lvlText w:val="%9."/>
      <w:numFmt w:val="decimal"/>
      <w:pPr>
        <w:ind w:hanging="180" w:left="6469"/>
      </w:p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footnotePr>
    <w:pos w:val="pageBottom"/>
    <w:numFmt w:val="decimal"/>
    <w:numStart w:val="1"/>
    <w:numRestart w:val="continuous"/>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rPr>
      <w:rFonts w:eastAsiaTheme="minorEastAsia"/>
      <w:sz w:val="24"/>
      <w:szCs w:val="24"/>
    </w:rPr>
  </w:style>
  <w:style w:type="paragraph" w:styleId="li">
    <w:name w:val="List Paragraph"/>
    <w:basedOn w:val="normal"/>
    <w:uiPriority w:val="34"/>
    <w:qFormat/>
    <w:pPr>
      <w:ind w:left="720"/>
      <w:contextualSpacing w:val="true"/>
    </w:pPr>
  </w:style>
  <w:style w:type="character" w:styleId="a">
    <w:name w:val="Hyperlink"/>
    <w:uiPriority w:val="99"/>
    <w:unhideWhenUsed/>
    <w:rPr>
      <w:color w:val="0000ff" w:themeColor="hyperlink"/>
      <w:u w:val="single"/>
    </w:rPr>
  </w:style>
  <w:style w:type="character" w:styleId="footnote">
    <w:name w:val="footnote reference"/>
    <w:uiPriority w:val="99"/>
    <w:unhideWhenUsed/>
    <w:rPr>
      <w:vertAlign w:val="superscript"/>
    </w:rPr>
  </w:style>
  <w:style w:type="paragraph" w:styleId="footnote-p">
    <w:name w:val="footnote text"/>
    <w:basedOn w:val="normal"/>
    <w:link w:val="footnote-c"/>
    <w:uiPriority w:val="99"/>
    <w:semiHidden/>
    <w:unhideWhenUsed/>
    <w:pPr>
      <w:spacing w:after="40" w:line="240" w:lineRule="auto"/>
    </w:pPr>
    <w:rPr>
      <w:sz w:val="18"/>
    </w:rPr>
  </w:style>
  <w:style w:type="character" w:styleId="footnote-c" w:customStyle="1">
    <w:name w:val="footnote text character"/>
    <w:link w:val="footnote-p"/>
    <w:uiPriority w:val="99"/>
    <w:rPr>
      <w:sz w:val="18"/>
    </w:rPr>
  </w:style>
  <w:style w:type="paragraph" w:styleId="normal-web">
    <w:name w:val="Normal (Web)"/>
    <w:basedOn w:val="normal"/>
    <w:uiPriority w:val="99"/>
    <w:semiHidden/>
    <w:unhideWhenUsed/>
    <w:pPr>
      <w:spacing w:after="100" w:afterAutospacing="1" w:before="100" w:beforeAutospacing="1"/>
    </w:pPr>
  </w:style>
  <w:style w:type="paragraph" w:styleId="h1">
    <w:name w:val="Heading 1"/>
    <w:basedOn w:val="normal"/>
    <w:link w:val="h1-c"/>
    <w:pPr>
      <w:spacing w:after="100" w:afterAutospacing="1" w:before="100" w:beforeAutospacing="1"/>
      <w:outlineLvl w:val="0"/>
    </w:pPr>
  </w:style>
  <w:style w:type="paragraph" w:styleId="text-3" w:customStyle="1">
    <w:name w:val="text-3"/>
    <w:basedOn w:val="h1"/>
    <w:qFormat/>
    <w:pPr>
      <w:spacing w:after="80" w:afterAutospacing="1" w:before="360" w:beforeAutospacing="1"/>
    </w:pPr>
  </w:style>
  <w:style w:type="character" w:styleId="h1-c" w:customStyle="1">
    <w:name w:val="Heading 1 Sign"/>
    <w:link w:val="h1"/>
    <w:uiPriority w:val="9"/>
    <w:rPr>
      <w:b/>
      <w:bCs/>
      <w:kern w:val="36"/>
      <w:sz w:val="48"/>
      <w:szCs w:val="48"/>
    </w:rPr>
  </w:style>
  <w:style w:type="character" w:styleId="text-3-c" w:customStyle="1">
    <w:name w:val="text-3-c"/>
    <w:basedOn w:val="h1-c"/>
    <w:rPr>
      <w:rFonts w:ascii="Arial" w:hAnsi="Arial" w:eastAsia="Arial" w:cs="Arial"/>
      <w:color w:val="0f4761"/>
      <w:sz w:val="40"/>
      <w:szCs w:val="40"/>
    </w:rPr>
  </w:style>
  <w:style w:type="paragraph" w:styleId="h3">
    <w:name w:val="Heading 3"/>
    <w:basedOn w:val="normal"/>
    <w:link w:val="h3-c"/>
    <w:pPr>
      <w:spacing w:after="100" w:afterAutospacing="1" w:before="100" w:beforeAutospacing="1"/>
      <w:outlineLvl w:val="2"/>
    </w:pPr>
  </w:style>
  <w:style w:type="paragraph" w:styleId="text-5" w:customStyle="1">
    <w:name w:val="text-5"/>
    <w:basedOn w:val="h3"/>
    <w:qFormat/>
    <w:pPr>
      <w:spacing w:after="80" w:afterAutospacing="1" w:before="160" w:beforeAutospacing="1"/>
    </w:pPr>
  </w:style>
  <w:style w:type="character" w:styleId="h3-c" w:customStyle="1">
    <w:name w:val="Heading 3 Sign"/>
    <w:link w:val="h3"/>
    <w:uiPriority w:val="9"/>
    <w:unhideWhenUsed/>
    <w:rPr>
      <w:b/>
      <w:bCs/>
      <w:sz w:val="27"/>
      <w:szCs w:val="27"/>
    </w:rPr>
  </w:style>
  <w:style w:type="character" w:styleId="text-5-c" w:customStyle="1">
    <w:name w:val="text-5-c"/>
    <w:basedOn w:val="h3-c"/>
    <w:rPr>
      <w:rFonts w:ascii="Arial" w:hAnsi="Arial" w:eastAsia="Arial" w:cs="Arial"/>
      <w:color w:val="0f4761"/>
      <w:sz w:val="28"/>
      <w:szCs w:val="28"/>
    </w:rPr>
  </w:style>
  <w:style w:type="paragraph" w:styleId="text-8" w:customStyle="1">
    <w:name w:val="text-8"/>
    <w:qFormat/>
    <w:pPr>
      <w:spacing w:after="150" w:afterAutospacing="1"/>
    </w:pPr>
  </w:style>
  <w:style w:type="character" w:styleId="text-8-c" w:customStyle="1">
    <w:name w:val="text-8-c"/>
    <w:rPr>
      <w:rFonts w:ascii="Arial" w:hAnsi="Arial" w:eastAsia="Arial" w:cs="Arial"/>
      <w:b/>
      <w:bCs/>
      <w:color w:val="000000"/>
    </w:rPr>
  </w:style>
  <w:style w:type="paragraph" w:styleId="h2">
    <w:name w:val="Heading 2"/>
    <w:basedOn w:val="normal"/>
    <w:link w:val="h2-c"/>
    <w:pPr>
      <w:spacing w:after="100" w:afterAutospacing="1" w:before="100" w:beforeAutospacing="1"/>
      <w:outlineLvl w:val="1"/>
    </w:pPr>
  </w:style>
  <w:style w:type="paragraph" w:styleId="text-11" w:customStyle="1">
    <w:name w:val="text-11"/>
    <w:basedOn w:val="h2"/>
    <w:qFormat/>
    <w:pPr>
      <w:spacing w:after="80" w:afterAutospacing="1" w:before="160" w:beforeAutospacing="1"/>
    </w:pPr>
  </w:style>
  <w:style w:type="character" w:styleId="h2-c" w:customStyle="1">
    <w:name w:val="Heading 2 Sign"/>
    <w:link w:val="h2"/>
    <w:uiPriority w:val="9"/>
    <w:unhideWhenUsed/>
    <w:rPr>
      <w:b/>
      <w:bCs/>
      <w:sz w:val="36"/>
      <w:szCs w:val="36"/>
    </w:rPr>
  </w:style>
  <w:style w:type="character" w:styleId="text-11-c" w:customStyle="1">
    <w:name w:val="text-11-c"/>
    <w:basedOn w:val="h2-c"/>
    <w:rPr>
      <w:rFonts w:ascii="Arial" w:hAnsi="Arial" w:eastAsia="Arial" w:cs="Arial"/>
      <w:color w:val="0f4761"/>
      <w:sz w:val="32"/>
      <w:szCs w:val="32"/>
    </w:rPr>
  </w:style>
  <w:style w:type="paragraph" w:styleId="text-12" w:customStyle="1">
    <w:name w:val="text-12"/>
    <w:qFormat/>
    <w:pPr>
      <w:spacing w:after="150" w:afterAutospacing="1"/>
    </w:pPr>
  </w:style>
  <w:style w:type="character" w:styleId="text-12-c" w:customStyle="1">
    <w:name w:val="text-12-c"/>
    <w:rPr>
      <w:rFonts w:ascii="Arial" w:hAnsi="Arial" w:eastAsia="Arial" w:cs="Arial"/>
      <w:color w:val="000000"/>
    </w:rPr>
  </w:style>
  <w:style w:type="paragraph" w:styleId="text-21" w:customStyle="1">
    <w:name w:val="text-21"/>
    <w:qFormat/>
    <w:pPr>
      <w:spacing w:after="300" w:afterAutospacing="1"/>
      <w:jc w:val="center"/>
    </w:pPr>
  </w:style>
  <w:style w:type="character" w:styleId="text-21-c" w:customStyle="1">
    <w:name w:val="text-21-c"/>
    <w:rPr>
      <w:rFonts w:ascii="Arial" w:hAnsi="Arial" w:eastAsia="Arial" w:cs="Arial"/>
      <w:b/>
      <w:bCs/>
      <w:color w:val="000000"/>
    </w:rPr>
  </w:style>
  <w:style w:type="paragraph" w:styleId="text-28" w:customStyle="1">
    <w:name w:val="text-28"/>
    <w:qFormat/>
    <w:pPr>
      <w:spacing w:after="300" w:afterAutospacing="1" w:line="1" w:lineRule="atLeast"/>
    </w:pPr>
  </w:style>
  <w:style w:type="character" w:styleId="text-28-c" w:customStyle="1">
    <w:name w:val="text-28-c"/>
    <w:rPr>
      <w:rFonts w:ascii="Arial" w:hAnsi="Arial" w:eastAsia="Arial" w:cs="Arial"/>
      <w:color w:val="000000"/>
    </w:rPr>
  </w:style>
  <w:style w:type="paragraph" w:styleId="text-56" w:customStyle="1">
    <w:name w:val="text-56"/>
    <w:qFormat/>
    <w:pPr>
      <w:spacing w:after="100" w:afterAutospacing="1" w:before="100" w:beforeAutospacing="1"/>
    </w:pPr>
  </w:style>
  <w:style w:type="character" w:styleId="text-56-c" w:customStyle="1">
    <w:name w:val="text-56-c"/>
    <w:rPr>
      <w:rFonts w:ascii="Arial" w:hAnsi="Arial" w:eastAsia="Arial" w:cs="Arial"/>
      <w:b/>
      <w:bCs/>
      <w:color w:val="000000"/>
    </w:rPr>
  </w:style>
  <w:style w:type="character" w:styleId="text-57-c" w:customStyle="1">
    <w:name w:val="text-57-c"/>
    <w:rPr>
      <w:rFonts w:ascii="Arial" w:hAnsi="Arial" w:eastAsia="Arial" w:cs="Arial"/>
      <w:color w:val="000000"/>
    </w:rPr>
  </w:style>
  <w:style w:type="paragraph" w:styleId="li">
    <w:name w:val="List Paragraph"/>
    <w:basedOn w:val="normal"/>
    <w:uiPriority w:val="34"/>
    <w:pPr>
      <w:ind w:left="720"/>
      <w:contextualSpacing w:val="true"/>
    </w:pPr>
  </w:style>
  <w:style w:type="paragraph" w:styleId="text-69" w:customStyle="1">
    <w:name w:val="text-69"/>
    <w:basedOn w:val="li"/>
    <w:qFormat/>
    <w:pPr>
      <w:spacing w:after="150" w:afterAutospacing="1"/>
    </w:pPr>
  </w:style>
  <w:style w:type="character" w:styleId="text-69-c" w:customStyle="1">
    <w:name w:val="text-69-c"/>
    <w:rPr>
      <w:rFonts w:ascii="Arial" w:hAnsi="Arial" w:eastAsia="Arial" w:cs="Arial"/>
      <w:color w:val="000000"/>
    </w:rPr>
  </w:style>
  <w:style w:type="paragraph" w:styleId="h4">
    <w:name w:val="Heading 4"/>
    <w:basedOn w:val="normal"/>
    <w:link w:val="h4-c"/>
    <w:pPr>
      <w:spacing w:after="100" w:afterAutospacing="1" w:before="100" w:beforeAutospacing="1"/>
      <w:outlineLvl w:val="3"/>
    </w:pPr>
  </w:style>
  <w:style w:type="paragraph" w:styleId="text-86" w:customStyle="1">
    <w:name w:val="text-86"/>
    <w:basedOn w:val="h4"/>
    <w:qFormat/>
    <w:pPr>
      <w:spacing w:after="40" w:afterAutospacing="1" w:before="80" w:beforeAutospacing="1"/>
    </w:pPr>
  </w:style>
  <w:style w:type="character" w:styleId="h4-c" w:customStyle="1">
    <w:name w:val="Heading 4 Sign"/>
    <w:link w:val="h4"/>
    <w:uiPriority w:val="9"/>
    <w:unhideWhenUsed/>
    <w:rPr>
      <w:b/>
      <w:bCs/>
      <w:sz w:val="24"/>
      <w:szCs w:val="24"/>
    </w:rPr>
  </w:style>
  <w:style w:type="character" w:styleId="text-86-c" w:customStyle="1">
    <w:name w:val="text-86-c"/>
    <w:basedOn w:val="h4-c"/>
    <w:rPr>
      <w:rFonts w:ascii="Arial" w:hAnsi="Arial" w:eastAsia="Arial" w:cs="Arial"/>
      <w:i/>
      <w:iCs/>
      <w:color w:val="0f4761"/>
    </w:rPr>
  </w:style>
  <w:style w:type="paragraph" w:styleId="text-88" w:customStyle="1">
    <w:name w:val="text-88"/>
    <w:qFormat/>
    <w:pPr>
      <w:spacing w:after="150" w:afterAutospacing="1"/>
    </w:pPr>
  </w:style>
  <w:style w:type="character" w:styleId="text-88-c" w:customStyle="1">
    <w:name w:val="text-88-c"/>
    <w:rPr>
      <w:rFonts w:ascii="Arial" w:hAnsi="Arial" w:eastAsia="Arial" w:cs="Arial"/>
      <w:b/>
      <w:bCs/>
      <w:color w:val="000000"/>
    </w:rPr>
  </w:style>
  <w:style w:type="paragraph" w:styleId="text-304" w:customStyle="1">
    <w:name w:val="text-304"/>
    <w:qFormat/>
    <w:pPr>
      <w:spacing w:after="300" w:afterAutospacing="1" w:line="1" w:lineRule="atLeast"/>
    </w:pPr>
  </w:style>
  <w:style w:type="character" w:styleId="text-304-c" w:customStyle="1">
    <w:name w:val="text-304-c"/>
    <w:rPr>
      <w:rFonts w:ascii="Arial" w:hAnsi="Arial" w:eastAsia="Arial" w:cs="Arial"/>
      <w:b/>
      <w:bCs/>
      <w:color w:val="000000"/>
    </w:rPr>
  </w:style>
  <w:style w:type="paragraph" w:styleId="text-416" w:customStyle="1">
    <w:name w:val="text-416"/>
    <w:qFormat/>
    <w:pPr>
      <w:spacing w:after="150" w:afterAutospacing="1"/>
    </w:pPr>
  </w:style>
  <w:style w:type="character" w:styleId="text-416-c" w:customStyle="1">
    <w:name w:val="text-416-c"/>
    <w:rPr>
      <w:rFonts w:ascii="Arial" w:hAnsi="Arial" w:eastAsia="Arial" w:cs="Arial"/>
      <w:i/>
      <w:iCs/>
      <w:color w:val="00000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