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text-3"/>
      </w:pPr>
      <w:r>
        <w:rPr>
          <w:rStyle w:val="text-3-c"/>
        </w:rPr>
        <w:t xml:space="preserve">御杖プロジェクト ― 実施計画</w:t>
      </w:r>
    </w:p>
    <w:p>
      <w:pPr>
        <w:pStyle w:val="text-5"/>
      </w:pPr>
      <w:r>
        <w:rPr>
          <w:rStyle w:val="text-5-c"/>
        </w:rPr>
        <w:t xml:space="preserve">構想から実現へ</w:t>
      </w:r>
    </w:p>
    <w:p>
      <w:pPr>
        <w:pStyle w:val="text-8"/>
      </w:pPr>
      <w:r>
        <w:rPr>
          <w:rStyle w:val="text-8-c"/>
        </w:rPr>
        <w:t xml:space="preserve">2026年4月</w:t>
      </w:r>
    </w:p>
    <w:p>
      <w:pPr>
        <w:jc w:val="center"/>
      </w:pPr>
      <w:r>
        <mc:AlternateContent>
          <mc:Choice Requires="wpg">
            <w:drawing>
              <wp:inline xmlns:wp="http://schemas.openxmlformats.org/drawingml/2006/wordprocessingDrawing" distT="0" distB="0" distL="0" distR="0">
                <wp:extent cx="5943600" cy="0"/>
                <wp:effectExtent l="0" t="0" r="0" b="0"/>
                <wp:docPr id="1" name="Line 1"/>
                <wp:cNvGraphicFramePr/>
                <a:graphic xmlns:a="http://schemas.openxmlformats.org/drawingml/2006/main">
                  <a:graphicData uri="http://schemas.microsoft.com/office/word/2010/wordprocessingShape">
                    <wps:wsp>
                      <wps:cNvPr id="0" name=""/>
                      <wps:cNvSpPr/>
                      <wps:spPr>
                        <a:xfrm>
                          <a:off x="0" y="0"/>
                          <a:ext cx="5943600" cy="0"/>
                        </a:xfrm>
                        <a:custGeom>
                          <a:avLst/>
                          <a:gdLst/>
                          <a:ahLst/>
                          <a:cxnLst/>
                          <a:rect l="0" t="0" r="r" b="b"/>
                          <a:pathLst>
                            <a:path>
                              <a:moveTo>
                                <a:pt x="0" y="0"/>
                              </a:moveTo>
                              <a:lnTo>
                                <a:pt x="5943600" y="0"/>
                              </a:lnTo>
                            </a:path>
                          </a:pathLst>
                        </a:custGeom>
                        <a:ln w="14288">
                          <a:solidFill>
                            <a:srgbClr val="808080"/>
                          </a:solidFill>
                        </a:ln>
                        <a:scene3d>
                          <a:camera prst="orthographicFront"/>
                          <a:lightRig rig="threePt" dir="t"/>
                        </a:scene3d>
                        <a:sp3d>
                          <a:bevelT prst="angle"/>
                        </a:sp3d>
                      </wps:spPr>
                      <wps:bodyPr rot="0">
                        <a:prstTxWarp prst="textNoShape">
                          <a:avLst/>
                        </a:prstTxWarp>
                        <a:noAutofit/>
                      </wps:bodyPr>
                    </wps:wsp>
                  </a:graphicData>
                </a:graphic>
              </wp:inline>
            </w:drawing>
          </mc:Choice>
          <mc:Fallback>
            <w:pict>
              <v:shape id="shape 0" o:spid="_x0000_s0" style="width:468.00pt;height:0.00pt;mso-wrap-distance-left:0.00pt;mso-wrap-distance-top:0.00pt;mso-wrap-distance-right:0.00pt;mso-wrap-distance-bottom:0.00pt;visibility:visible;" path="m0,0l13758333,0e" coordsize="100000,100000" filled="f" strokecolor="#808080" strokeweight="1.13pt">
                <v:path textboxrect="0,0,0,0"/>
              </v:shape>
            </w:pict>
          </mc:Fallback>
        </mc:AlternateContent>
      </w:r>
    </w:p>
    <w:p>
      <w:pPr>
        <w:pStyle w:val="text-11"/>
      </w:pPr>
      <w:r>
        <w:rPr>
          <w:rStyle w:val="text-11-c"/>
        </w:rPr>
        <w:t xml:space="preserve">概要</w:t>
      </w:r>
    </w:p>
    <w:p>
      <w:pPr>
        <w:pStyle w:val="text-12"/>
      </w:pPr>
      <w:r>
        <w:rPr>
          <w:rStyle w:val="text-12-c"/>
        </w:rPr>
        <w:t xml:space="preserve">本計画では、御杖持続可能エネルギー・AIデータセンタープロジェクトの実施を、最初の3年間にわたる</w:t>
      </w:r>
      <w:r>
        <w:rPr>
          <w:rStyle w:val="text-8-c"/>
        </w:rPr>
        <w:t xml:space="preserve">5段階</w:t>
      </w:r>
      <w:r>
        <w:rPr>
          <w:rStyle w:val="text-12-c"/>
        </w:rPr>
        <w:t xml:space="preserve">に分けてまとめております。各段階には明確な成果物、必要資金、リスク確認事項を定めております。</w:t>
      </w:r>
    </w:p>
    <w:p>
      <w:pPr>
        <w:pStyle w:val="text-12"/>
      </w:pPr>
      <w:r>
        <w:rPr>
          <w:rStyle w:val="text-12-c"/>
        </w:rPr>
        <w:t xml:space="preserve">25年にわたる長期ビジョンは堅持しつつも、</w:t>
      </w:r>
      <w:r>
        <w:rPr>
          <w:rStyle w:val="text-8-c"/>
        </w:rPr>
        <w:t xml:space="preserve">最初の3年間こそが成否を決める時期</w:t>
      </w:r>
      <w:r>
        <w:rPr>
          <w:rStyle w:val="text-12-c"/>
        </w:rPr>
        <w:t xml:space="preserve">です。基盤を正しく築くことで、その後の展開が可能となります。</w:t>
      </w:r>
    </w:p>
    <w:p>
      <w:pPr>
        <w:jc w:val="center"/>
      </w:pPr>
      <w:r>
        <mc:AlternateContent>
          <mc:Choice Requires="wpg">
            <w:drawing>
              <wp:inline xmlns:wp="http://schemas.openxmlformats.org/drawingml/2006/wordprocessingDrawing" distT="0" distB="0" distL="0" distR="0">
                <wp:extent cx="5943600" cy="0"/>
                <wp:effectExtent l="0" t="0" r="0" b="0"/>
                <wp:docPr id="2" name="Line 2"/>
                <wp:cNvGraphicFramePr/>
                <a:graphic xmlns:a="http://schemas.openxmlformats.org/drawingml/2006/main">
                  <a:graphicData uri="http://schemas.microsoft.com/office/word/2010/wordprocessingShape">
                    <wps:wsp>
                      <wps:cNvPr id="0" name=""/>
                      <wps:cNvSpPr/>
                      <wps:spPr>
                        <a:xfrm>
                          <a:off x="0" y="0"/>
                          <a:ext cx="5943600" cy="0"/>
                        </a:xfrm>
                        <a:custGeom>
                          <a:avLst/>
                          <a:gdLst/>
                          <a:ahLst/>
                          <a:cxnLst/>
                          <a:rect l="0" t="0" r="r" b="b"/>
                          <a:pathLst>
                            <a:path>
                              <a:moveTo>
                                <a:pt x="0" y="0"/>
                              </a:moveTo>
                              <a:lnTo>
                                <a:pt x="5943600" y="0"/>
                              </a:lnTo>
                            </a:path>
                          </a:pathLst>
                        </a:custGeom>
                        <a:ln w="14288">
                          <a:solidFill>
                            <a:srgbClr val="808080"/>
                          </a:solidFill>
                        </a:ln>
                        <a:scene3d>
                          <a:camera prst="orthographicFront"/>
                          <a:lightRig rig="threePt" dir="t"/>
                        </a:scene3d>
                        <a:sp3d>
                          <a:bevelT prst="angle"/>
                        </a:sp3d>
                      </wps:spPr>
                      <wps:bodyPr rot="0">
                        <a:prstTxWarp prst="textNoShape">
                          <a:avLst/>
                        </a:prstTxWarp>
                        <a:noAutofit/>
                      </wps:bodyPr>
                    </wps:wsp>
                  </a:graphicData>
                </a:graphic>
              </wp:inline>
            </w:drawing>
          </mc:Choice>
          <mc:Fallback>
            <w:pict>
              <v:shape id="shape 1" o:spid="_x0000_s1" style="width:468.00pt;height:0.00pt;mso-wrap-distance-left:0.00pt;mso-wrap-distance-top:0.00pt;mso-wrap-distance-right:0.00pt;mso-wrap-distance-bottom:0.00pt;visibility:visible;" path="m0,0l13758333,0e" coordsize="100000,100000" filled="f" strokecolor="#808080" strokeweight="1.13pt">
                <v:path textboxrect="0,0,0,0"/>
              </v:shape>
            </w:pict>
          </mc:Fallback>
        </mc:AlternateContent>
      </w:r>
    </w:p>
    <w:p>
      <w:pPr>
        <w:pStyle w:val="text-11"/>
      </w:pPr>
      <w:r>
        <w:rPr>
          <w:rStyle w:val="text-11-c"/>
        </w:rPr>
        <w:t xml:space="preserve">段階別概要</w:t>
      </w:r>
    </w:p>
    <w:tbl>
      <w:tblPr>
        <w:tblW w:w="5000" w:type="pct"/>
        <w:tblCellMar>
          <w:left w:w="15" w:type="dxa"/>
          <w:top w:w="15" w:type="dxa"/>
          <w:right w:w="15" w:type="dxa"/>
          <w:bottom w:w="15" w:type="dxa"/>
        </w:tblCellMar>
        <w:tblLook w:val="04A0" w:firstRow="1" w:lastRow="0" w:firstColumn="1" w:lastColumn="0" w:noHBand="0" w:noVBand="1"/>
      </w:tblPr>
      <w:tr>
        <w:tc>
          <w:tcPr>
            <w:tcW w:w="0" w:type="auto"/>
            <w:tcBorders>
              <w:bottom w:val="single" w:color="dddddd" w:sz="12" w:space="0"/>
            </w:tcBorders>
            <w:vAlign w:val="center"/>
            <w:hideMark/>
          </w:tcPr>
          <w:p>
            <w:pPr>
              <w:pStyle w:val="text-23"/>
            </w:pPr>
            <w:r>
              <w:rPr>
                <w:rStyle w:val="text-23-c"/>
              </w:rPr>
              <w:t xml:space="preserve">段階</w:t>
            </w:r>
          </w:p>
        </w:tc>
        <w:tc>
          <w:tcPr>
            <w:tcW w:w="0" w:type="auto"/>
            <w:tcBorders>
              <w:bottom w:val="single" w:color="dddddd" w:sz="12" w:space="0"/>
            </w:tcBorders>
            <w:vAlign w:val="center"/>
            <w:hideMark/>
          </w:tcPr>
          <w:p>
            <w:pPr>
              <w:pStyle w:val="text-23"/>
            </w:pPr>
            <w:r>
              <w:rPr>
                <w:rStyle w:val="text-23-c"/>
              </w:rPr>
              <w:t xml:space="preserve">期間</w:t>
            </w:r>
          </w:p>
        </w:tc>
        <w:tc>
          <w:tcPr>
            <w:tcW w:w="0" w:type="auto"/>
            <w:tcBorders>
              <w:bottom w:val="single" w:color="dddddd" w:sz="12" w:space="0"/>
            </w:tcBorders>
            <w:vAlign w:val="center"/>
            <w:hideMark/>
          </w:tcPr>
          <w:p>
            <w:pPr>
              <w:pStyle w:val="text-23"/>
            </w:pPr>
            <w:r>
              <w:rPr>
                <w:rStyle w:val="text-23-c"/>
              </w:rPr>
              <w:t xml:space="preserve">主眼</w:t>
            </w:r>
          </w:p>
        </w:tc>
        <w:tc>
          <w:tcPr>
            <w:tcW w:w="0" w:type="auto"/>
            <w:tcBorders>
              <w:bottom w:val="single" w:color="dddddd" w:sz="12" w:space="0"/>
            </w:tcBorders>
            <w:vAlign w:val="center"/>
            <w:hideMark/>
          </w:tcPr>
          <w:p>
            <w:pPr>
              <w:pStyle w:val="text-23"/>
            </w:pPr>
            <w:r>
              <w:rPr>
                <w:rStyle w:val="text-23-c"/>
              </w:rPr>
              <w:t xml:space="preserve">概算予算</w:t>
            </w:r>
          </w:p>
        </w:tc>
      </w:tr>
      <w:tr>
        <w:tc>
          <w:tcPr>
            <w:tcW w:w="0" w:type="auto"/>
            <w:tcBorders>
              <w:top w:val="single" w:color="dddddd" w:sz="6" w:space="0"/>
            </w:tcBorders>
            <w:vAlign w:val="center"/>
            <w:hideMark/>
          </w:tcPr>
          <w:p>
            <w:pPr>
              <w:pStyle w:val="text-30"/>
            </w:pPr>
            <w:r>
              <w:rPr>
                <w:rStyle w:val="text-30-c"/>
              </w:rPr>
              <w:t xml:space="preserve">0. 準備期</w:t>
            </w:r>
          </w:p>
        </w:tc>
        <w:tc>
          <w:tcPr>
            <w:tcW w:w="0" w:type="auto"/>
            <w:tcBorders>
              <w:top w:val="single" w:color="dddddd" w:sz="6" w:space="0"/>
            </w:tcBorders>
            <w:vAlign w:val="center"/>
            <w:hideMark/>
          </w:tcPr>
          <w:p>
            <w:pPr>
              <w:pStyle w:val="text-30"/>
            </w:pPr>
            <w:r>
              <w:rPr>
                <w:rStyle w:val="text-30-c"/>
              </w:rPr>
              <w:t xml:space="preserve">1〜3か月目</w:t>
            </w:r>
          </w:p>
        </w:tc>
        <w:tc>
          <w:tcPr>
            <w:tcW w:w="0" w:type="auto"/>
            <w:tcBorders>
              <w:top w:val="single" w:color="dddddd" w:sz="6" w:space="0"/>
            </w:tcBorders>
            <w:vAlign w:val="center"/>
            <w:hideMark/>
          </w:tcPr>
          <w:p>
            <w:pPr>
              <w:pStyle w:val="text-30"/>
            </w:pPr>
            <w:r>
              <w:rPr>
                <w:rStyle w:val="text-30-c"/>
              </w:rPr>
              <w:t xml:space="preserve">地域の信頼構築、創設チーム形成、基本構造</w:t>
            </w:r>
          </w:p>
        </w:tc>
        <w:tc>
          <w:tcPr>
            <w:tcW w:w="0" w:type="auto"/>
            <w:tcBorders>
              <w:top w:val="single" w:color="dddddd" w:sz="6" w:space="0"/>
            </w:tcBorders>
            <w:vAlign w:val="center"/>
            <w:hideMark/>
          </w:tcPr>
          <w:p>
            <w:pPr>
              <w:pStyle w:val="text-30"/>
            </w:pPr>
            <w:r>
              <w:rPr>
                <w:rStyle w:val="text-30-c"/>
              </w:rPr>
              <w:t xml:space="preserve">¥0〜50万円(自己資金)</w:t>
            </w:r>
          </w:p>
        </w:tc>
      </w:tr>
      <w:tr>
        <w:tc>
          <w:tcPr>
            <w:tcW w:w="0" w:type="auto"/>
            <w:tcBorders>
              <w:top w:val="single" w:color="dddddd" w:sz="6" w:space="0"/>
            </w:tcBorders>
            <w:vAlign w:val="center"/>
            <w:hideMark/>
          </w:tcPr>
          <w:p>
            <w:pPr>
              <w:pStyle w:val="text-30"/>
            </w:pPr>
            <w:r>
              <w:rPr>
                <w:rStyle w:val="text-30-c"/>
              </w:rPr>
              <w:t xml:space="preserve">1. 基盤期</w:t>
            </w:r>
          </w:p>
        </w:tc>
        <w:tc>
          <w:tcPr>
            <w:tcW w:w="0" w:type="auto"/>
            <w:tcBorders>
              <w:top w:val="single" w:color="dddddd" w:sz="6" w:space="0"/>
            </w:tcBorders>
            <w:vAlign w:val="center"/>
            <w:hideMark/>
          </w:tcPr>
          <w:p>
            <w:pPr>
              <w:pStyle w:val="text-30"/>
            </w:pPr>
            <w:r>
              <w:rPr>
                <w:rStyle w:val="text-30-c"/>
              </w:rPr>
              <w:t xml:space="preserve">4〜9か月目</w:t>
            </w:r>
          </w:p>
        </w:tc>
        <w:tc>
          <w:tcPr>
            <w:tcW w:w="0" w:type="auto"/>
            <w:tcBorders>
              <w:top w:val="single" w:color="dddddd" w:sz="6" w:space="0"/>
            </w:tcBorders>
            <w:vAlign w:val="center"/>
            <w:hideMark/>
          </w:tcPr>
          <w:p>
            <w:pPr>
              <w:pStyle w:val="text-30"/>
            </w:pPr>
            <w:r>
              <w:rPr>
                <w:rStyle w:val="text-30-c"/>
              </w:rPr>
              <w:t xml:space="preserve">法人設立、フィージビリティスタディ</w:t>
            </w:r>
          </w:p>
        </w:tc>
        <w:tc>
          <w:tcPr>
            <w:tcW w:w="0" w:type="auto"/>
            <w:tcBorders>
              <w:top w:val="single" w:color="dddddd" w:sz="6" w:space="0"/>
            </w:tcBorders>
            <w:vAlign w:val="center"/>
            <w:hideMark/>
          </w:tcPr>
          <w:p>
            <w:pPr>
              <w:pStyle w:val="text-30"/>
            </w:pPr>
            <w:r>
              <w:rPr>
                <w:rStyle w:val="text-30-c"/>
              </w:rPr>
              <w:t xml:space="preserve">¥300万〜800万円</w:t>
            </w:r>
          </w:p>
        </w:tc>
      </w:tr>
      <w:tr>
        <w:tc>
          <w:tcPr>
            <w:tcW w:w="0" w:type="auto"/>
            <w:tcBorders>
              <w:top w:val="single" w:color="dddddd" w:sz="6" w:space="0"/>
            </w:tcBorders>
            <w:vAlign w:val="center"/>
            <w:hideMark/>
          </w:tcPr>
          <w:p>
            <w:pPr>
              <w:pStyle w:val="text-30"/>
            </w:pPr>
            <w:r>
              <w:rPr>
                <w:rStyle w:val="text-30-c"/>
              </w:rPr>
              <w:t xml:space="preserve">2. 試行設計期</w:t>
            </w:r>
          </w:p>
        </w:tc>
        <w:tc>
          <w:tcPr>
            <w:tcW w:w="0" w:type="auto"/>
            <w:tcBorders>
              <w:top w:val="single" w:color="dddddd" w:sz="6" w:space="0"/>
            </w:tcBorders>
            <w:vAlign w:val="center"/>
            <w:hideMark/>
          </w:tcPr>
          <w:p>
            <w:pPr>
              <w:pStyle w:val="text-30"/>
            </w:pPr>
            <w:r>
              <w:rPr>
                <w:rStyle w:val="text-30-c"/>
              </w:rPr>
              <w:t xml:space="preserve">10〜18か月目</w:t>
            </w:r>
          </w:p>
        </w:tc>
        <w:tc>
          <w:tcPr>
            <w:tcW w:w="0" w:type="auto"/>
            <w:tcBorders>
              <w:top w:val="single" w:color="dddddd" w:sz="6" w:space="0"/>
            </w:tcBorders>
            <w:vAlign w:val="center"/>
            <w:hideMark/>
          </w:tcPr>
          <w:p>
            <w:pPr>
              <w:pStyle w:val="text-30"/>
            </w:pPr>
            <w:r>
              <w:rPr>
                <w:rStyle w:val="text-30-c"/>
              </w:rPr>
              <w:t xml:space="preserve">詳細設計、提携、許認可</w:t>
            </w:r>
          </w:p>
        </w:tc>
        <w:tc>
          <w:tcPr>
            <w:tcW w:w="0" w:type="auto"/>
            <w:tcBorders>
              <w:top w:val="single" w:color="dddddd" w:sz="6" w:space="0"/>
            </w:tcBorders>
            <w:vAlign w:val="center"/>
            <w:hideMark/>
          </w:tcPr>
          <w:p>
            <w:pPr>
              <w:pStyle w:val="text-30"/>
            </w:pPr>
            <w:r>
              <w:rPr>
                <w:rStyle w:val="text-30-c"/>
              </w:rPr>
              <w:t xml:space="preserve">¥1,500万〜3,000万円</w:t>
            </w:r>
          </w:p>
        </w:tc>
      </w:tr>
      <w:tr>
        <w:tc>
          <w:tcPr>
            <w:tcW w:w="0" w:type="auto"/>
            <w:tcBorders>
              <w:top w:val="single" w:color="dddddd" w:sz="6" w:space="0"/>
            </w:tcBorders>
            <w:vAlign w:val="center"/>
            <w:hideMark/>
          </w:tcPr>
          <w:p>
            <w:pPr>
              <w:pStyle w:val="text-30"/>
            </w:pPr>
            <w:r>
              <w:rPr>
                <w:rStyle w:val="text-30-c"/>
              </w:rPr>
              <w:t xml:space="preserve">3. 試行構築期</w:t>
            </w:r>
          </w:p>
        </w:tc>
        <w:tc>
          <w:tcPr>
            <w:tcW w:w="0" w:type="auto"/>
            <w:tcBorders>
              <w:top w:val="single" w:color="dddddd" w:sz="6" w:space="0"/>
            </w:tcBorders>
            <w:vAlign w:val="center"/>
            <w:hideMark/>
          </w:tcPr>
          <w:p>
            <w:pPr>
              <w:pStyle w:val="text-30"/>
            </w:pPr>
            <w:r>
              <w:rPr>
                <w:rStyle w:val="text-30-c"/>
              </w:rPr>
              <w:t xml:space="preserve">19〜30か月目</w:t>
            </w:r>
          </w:p>
        </w:tc>
        <w:tc>
          <w:tcPr>
            <w:tcW w:w="0" w:type="auto"/>
            <w:tcBorders>
              <w:top w:val="single" w:color="dddddd" w:sz="6" w:space="0"/>
            </w:tcBorders>
            <w:vAlign w:val="center"/>
            <w:hideMark/>
          </w:tcPr>
          <w:p>
            <w:pPr>
              <w:pStyle w:val="text-30"/>
            </w:pPr>
            <w:r>
              <w:rPr>
                <w:rStyle w:val="text-30-c"/>
              </w:rPr>
              <w:t xml:space="preserve">小規模初期段階の建設</w:t>
            </w:r>
          </w:p>
        </w:tc>
        <w:tc>
          <w:tcPr>
            <w:tcW w:w="0" w:type="auto"/>
            <w:tcBorders>
              <w:top w:val="single" w:color="dddddd" w:sz="6" w:space="0"/>
            </w:tcBorders>
            <w:vAlign w:val="center"/>
            <w:hideMark/>
          </w:tcPr>
          <w:p>
            <w:pPr>
              <w:pStyle w:val="text-30"/>
            </w:pPr>
            <w:r>
              <w:rPr>
                <w:rStyle w:val="text-30-c"/>
              </w:rPr>
              <w:t xml:space="preserve">¥8,000万〜2億円</w:t>
            </w:r>
          </w:p>
        </w:tc>
      </w:tr>
      <w:tr>
        <w:tc>
          <w:tcPr>
            <w:tcW w:w="0" w:type="auto"/>
            <w:tcBorders>
              <w:top w:val="single" w:color="dddddd" w:sz="6" w:space="0"/>
            </w:tcBorders>
            <w:vAlign w:val="center"/>
            <w:hideMark/>
          </w:tcPr>
          <w:p>
            <w:pPr>
              <w:pStyle w:val="text-30"/>
            </w:pPr>
            <w:r>
              <w:rPr>
                <w:rStyle w:val="text-30-c"/>
              </w:rPr>
              <w:t xml:space="preserve">4. 運営・拡大期</w:t>
            </w:r>
          </w:p>
        </w:tc>
        <w:tc>
          <w:tcPr>
            <w:tcW w:w="0" w:type="auto"/>
            <w:tcBorders>
              <w:top w:val="single" w:color="dddddd" w:sz="6" w:space="0"/>
            </w:tcBorders>
            <w:vAlign w:val="center"/>
            <w:hideMark/>
          </w:tcPr>
          <w:p>
            <w:pPr>
              <w:pStyle w:val="text-30"/>
            </w:pPr>
            <w:r>
              <w:rPr>
                <w:rStyle w:val="text-30-c"/>
              </w:rPr>
              <w:t xml:space="preserve">31か月目以降</w:t>
            </w:r>
          </w:p>
        </w:tc>
        <w:tc>
          <w:tcPr>
            <w:tcW w:w="0" w:type="auto"/>
            <w:tcBorders>
              <w:top w:val="single" w:color="dddddd" w:sz="6" w:space="0"/>
            </w:tcBorders>
            <w:vAlign w:val="center"/>
            <w:hideMark/>
          </w:tcPr>
          <w:p>
            <w:pPr>
              <w:pStyle w:val="text-30"/>
            </w:pPr>
            <w:r>
              <w:rPr>
                <w:rStyle w:val="text-30-c"/>
              </w:rPr>
              <w:t xml:space="preserve">運営、モニタリング、拡張</w:t>
            </w:r>
          </w:p>
        </w:tc>
        <w:tc>
          <w:tcPr>
            <w:tcW w:w="0" w:type="auto"/>
            <w:tcBorders>
              <w:top w:val="single" w:color="dddddd" w:sz="6" w:space="0"/>
            </w:tcBorders>
            <w:vAlign w:val="center"/>
            <w:hideMark/>
          </w:tcPr>
          <w:p>
            <w:pPr>
              <w:pStyle w:val="text-30"/>
            </w:pPr>
            <w:r>
              <w:rPr>
                <w:rStyle w:val="text-30-c"/>
              </w:rPr>
              <w:t xml:space="preserve">変動</w:t>
            </w:r>
          </w:p>
        </w:tc>
      </w:tr>
    </w:tbl>
    <w:p>
      <w:pPr>
        <w:rPr>
          <w:rFonts w:eastAsia="Times New Roman"/>
          <w:vanish/>
          <w:sz w:val="2"/>
          <w:szCs w:val="2"/>
        </w:rPr>
      </w:pPr>
    </w:p>
    <w:p>
      <w:pPr>
        <w:pStyle w:val="text-12"/>
      </w:pPr>
      <w:r>
        <w:rPr>
          <w:rStyle w:val="text-12-c"/>
        </w:rPr>
        <w:t xml:space="preserve">これらの数値は日本の農村部の現実を踏まえた控えめな見積もりですが、バイオマス機器、光ファイバーの利用可能性、建物の状態によって実費は大きく変動いたします。</w:t>
      </w:r>
    </w:p>
    <w:p>
      <w:pPr>
        <w:jc w:val="center"/>
      </w:pPr>
      <w:r>
        <mc:AlternateContent>
          <mc:Choice Requires="wpg">
            <w:drawing>
              <wp:inline xmlns:wp="http://schemas.openxmlformats.org/drawingml/2006/wordprocessingDrawing" distT="0" distB="0" distL="0" distR="0">
                <wp:extent cx="5943600" cy="0"/>
                <wp:effectExtent l="0" t="0" r="0" b="0"/>
                <wp:docPr id="3" name="Line 3"/>
                <wp:cNvGraphicFramePr/>
                <a:graphic xmlns:a="http://schemas.openxmlformats.org/drawingml/2006/main">
                  <a:graphicData uri="http://schemas.microsoft.com/office/word/2010/wordprocessingShape">
                    <wps:wsp>
                      <wps:cNvPr id="0" name=""/>
                      <wps:cNvSpPr/>
                      <wps:spPr>
                        <a:xfrm>
                          <a:off x="0" y="0"/>
                          <a:ext cx="5943600" cy="0"/>
                        </a:xfrm>
                        <a:custGeom>
                          <a:avLst/>
                          <a:gdLst/>
                          <a:ahLst/>
                          <a:cxnLst/>
                          <a:rect l="0" t="0" r="r" b="b"/>
                          <a:pathLst>
                            <a:path>
                              <a:moveTo>
                                <a:pt x="0" y="0"/>
                              </a:moveTo>
                              <a:lnTo>
                                <a:pt x="5943600" y="0"/>
                              </a:lnTo>
                            </a:path>
                          </a:pathLst>
                        </a:custGeom>
                        <a:ln w="14288">
                          <a:solidFill>
                            <a:srgbClr val="808080"/>
                          </a:solidFill>
                        </a:ln>
                        <a:scene3d>
                          <a:camera prst="orthographicFront"/>
                          <a:lightRig rig="threePt" dir="t"/>
                        </a:scene3d>
                        <a:sp3d>
                          <a:bevelT prst="angle"/>
                        </a:sp3d>
                      </wps:spPr>
                      <wps:bodyPr rot="0">
                        <a:prstTxWarp prst="textNoShape">
                          <a:avLst/>
                        </a:prstTxWarp>
                        <a:noAutofit/>
                      </wps:bodyPr>
                    </wps:wsp>
                  </a:graphicData>
                </a:graphic>
              </wp:inline>
            </w:drawing>
          </mc:Choice>
          <mc:Fallback>
            <w:pict>
              <v:shape id="shape 2" o:spid="_x0000_s2" style="width:468.00pt;height:0.00pt;mso-wrap-distance-left:0.00pt;mso-wrap-distance-top:0.00pt;mso-wrap-distance-right:0.00pt;mso-wrap-distance-bottom:0.00pt;visibility:visible;" path="m0,0l13758333,0e" coordsize="100000,100000" filled="f" strokecolor="#808080" strokeweight="1.13pt">
                <v:path textboxrect="0,0,0,0"/>
              </v:shape>
            </w:pict>
          </mc:Fallback>
        </mc:AlternateContent>
      </w:r>
    </w:p>
    <w:p>
      <w:pPr>
        <w:pStyle w:val="text-11"/>
      </w:pPr>
      <w:r>
        <w:rPr>
          <w:rStyle w:val="text-11-c"/>
        </w:rPr>
        <w:t xml:space="preserve">第0段階 ― 準備期(1〜3か月目)</w:t>
      </w:r>
    </w:p>
    <w:p>
      <w:pPr>
        <w:pStyle w:val="text-8"/>
      </w:pPr>
      <w:r>
        <w:rPr>
          <w:rStyle w:val="text-8-c"/>
        </w:rPr>
        <w:t xml:space="preserve">目的:</w:t>
      </w:r>
      <w:r>
        <w:rPr>
          <w:rStyle w:val="text-12-c"/>
        </w:rPr>
        <w:t xml:space="preserve"> 公の発表や正式な体制構築の前に、地域の信頼と小規模な創設チームを確立すること。</w:t>
      </w:r>
    </w:p>
    <w:p>
      <w:pPr>
        <w:pStyle w:val="text-5"/>
      </w:pPr>
      <w:r>
        <w:rPr>
          <w:rStyle w:val="text-5-c"/>
        </w:rPr>
        <w:t xml:space="preserve">重要な行動事項</w:t>
      </w:r>
    </w:p>
    <w:p>
      <w:pPr>
        <w:pStyle w:val="text-58"/>
        <w:numPr>
          <w:ilvl w:val="0"/>
          <w:numId w:val="2"/>
        </w:numPr>
      </w:pPr>
      <w:r>
        <w:rPr>
          <w:rStyle w:val="text-58-c"/>
        </w:rPr>
        <w:t xml:space="preserve">村のリーダーとの個別対話</w:t>
      </w:r>
      <w:r>
        <w:rPr>
          <w:rStyle w:val="text-59-c"/>
        </w:rPr>
        <w:t xml:space="preserve"> ― 村長、主要な議員。まず傾聴し、提案は後に。</w:t>
      </w:r>
    </w:p>
    <w:p>
      <w:pPr>
        <w:pStyle w:val="text-58"/>
        <w:numPr>
          <w:ilvl w:val="0"/>
          <w:numId w:val="2"/>
        </w:numPr>
      </w:pPr>
      <w:r>
        <w:rPr>
          <w:rStyle w:val="text-58-c"/>
        </w:rPr>
        <w:t xml:space="preserve">菅野および周辺集落の自治会長との対話</w:t>
      </w:r>
      <w:r>
        <w:rPr>
          <w:rStyle w:val="text-59-c"/>
        </w:rPr>
        <w:t xml:space="preserve">。</w:t>
      </w:r>
    </w:p>
    <w:p>
      <w:pPr>
        <w:pStyle w:val="text-58"/>
        <w:numPr>
          <w:ilvl w:val="0"/>
          <w:numId w:val="2"/>
        </w:numPr>
      </w:pPr>
      <w:r>
        <w:rPr>
          <w:rStyle w:val="text-58-c"/>
        </w:rPr>
        <w:t xml:space="preserve">3〜5名の創設チームメンバーの特定</w:t>
      </w:r>
      <w:r>
        <w:rPr>
          <w:rStyle w:val="text-59-c"/>
        </w:rPr>
        <w:t xml:space="preserve"> ― 農村に信頼基盤を持つ、尊敬される日本人共同創設者を最低1名含めること。</w:t>
      </w:r>
    </w:p>
    <w:p>
      <w:pPr>
        <w:pStyle w:val="text-58"/>
        <w:numPr>
          <w:ilvl w:val="0"/>
          <w:numId w:val="2"/>
        </w:numPr>
      </w:pPr>
      <w:r>
        <w:rPr>
          <w:rStyle w:val="text-58-c"/>
        </w:rPr>
        <w:t xml:space="preserve">賛同的な土地所有者2〜3名との非公式な対話</w:t>
      </w:r>
      <w:r>
        <w:rPr>
          <w:rStyle w:val="text-59-c"/>
        </w:rPr>
        <w:t xml:space="preserve"> ― 杉伐採提携への関心の打診。</w:t>
      </w:r>
    </w:p>
    <w:p>
      <w:pPr>
        <w:pStyle w:val="text-58"/>
        <w:numPr>
          <w:ilvl w:val="0"/>
          <w:numId w:val="2"/>
        </w:numPr>
      </w:pPr>
      <w:r>
        <w:rPr>
          <w:rStyle w:val="text-58-c"/>
        </w:rPr>
        <w:t xml:space="preserve">基本憲章草案の作成</w:t>
      </w:r>
      <w:r>
        <w:rPr>
          <w:rStyle w:val="text-59-c"/>
        </w:rPr>
        <w:t xml:space="preserve"> ― 日本語と英語、簡潔に1〜2ページ。</w:t>
      </w:r>
    </w:p>
    <w:p>
      <w:pPr>
        <w:pStyle w:val="text-5"/>
      </w:pPr>
      <w:r>
        <w:rPr>
          <w:rStyle w:val="text-5-c"/>
        </w:rPr>
        <w:t xml:space="preserve">第0段階で</w:t>
      </w:r>
      <w:r>
        <w:rPr>
          <w:rStyle w:val="text-70-c"/>
        </w:rPr>
        <w:t xml:space="preserve">避けるべき</w:t>
      </w:r>
      <w:r>
        <w:rPr>
          <w:rStyle w:val="text-5-c"/>
        </w:rPr>
        <w:t xml:space="preserve">事項</w:t>
      </w:r>
    </w:p>
    <w:p>
      <w:pPr>
        <w:pStyle w:val="text-74"/>
        <w:numPr>
          <w:ilvl w:val="0"/>
          <w:numId w:val="1"/>
        </w:numPr>
      </w:pPr>
      <w:r>
        <w:rPr>
          <w:rStyle w:val="text-74-c"/>
        </w:rPr>
        <w:t xml:space="preserve">公の発表は行わない</w:t>
      </w:r>
    </w:p>
    <w:p>
      <w:pPr>
        <w:pStyle w:val="text-74"/>
        <w:numPr>
          <w:ilvl w:val="0"/>
          <w:numId w:val="1"/>
        </w:numPr>
      </w:pPr>
      <w:r>
        <w:rPr>
          <w:rStyle w:val="text-74-c"/>
        </w:rPr>
        <w:t xml:space="preserve">ウェブサイトやSNSはまだ立ち上げない</w:t>
      </w:r>
    </w:p>
    <w:p>
      <w:pPr>
        <w:pStyle w:val="text-74"/>
        <w:numPr>
          <w:ilvl w:val="0"/>
          <w:numId w:val="1"/>
        </w:numPr>
      </w:pPr>
      <w:r>
        <w:rPr>
          <w:rStyle w:val="text-74-c"/>
        </w:rPr>
        <w:t xml:space="preserve">報道関係者への接触は控える</w:t>
      </w:r>
    </w:p>
    <w:p>
      <w:pPr>
        <w:pStyle w:val="text-74"/>
        <w:numPr>
          <w:ilvl w:val="0"/>
          <w:numId w:val="1"/>
        </w:numPr>
      </w:pPr>
      <w:r>
        <w:rPr>
          <w:rStyle w:val="text-74-c"/>
        </w:rPr>
        <w:t xml:space="preserve">詳細な財政上の確約は行わない</w:t>
      </w:r>
    </w:p>
    <w:p>
      <w:pPr>
        <w:pStyle w:val="text-5"/>
      </w:pPr>
      <w:r>
        <w:rPr>
          <w:rStyle w:val="text-5-c"/>
        </w:rPr>
        <w:t xml:space="preserve">成果物</w:t>
      </w:r>
    </w:p>
    <w:p>
      <w:pPr>
        <w:pStyle w:val="text-74"/>
        <w:numPr>
          <w:ilvl w:val="0"/>
          <w:numId w:val="1"/>
        </w:numPr>
      </w:pPr>
      <w:r>
        <w:rPr>
          <w:rStyle w:val="text-74-c"/>
        </w:rPr>
        <w:t xml:space="preserve">創設チームの合意(口頭での確約)</w:t>
      </w:r>
    </w:p>
    <w:p>
      <w:pPr>
        <w:pStyle w:val="text-74"/>
        <w:numPr>
          <w:ilvl w:val="0"/>
          <w:numId w:val="1"/>
        </w:numPr>
      </w:pPr>
      <w:r>
        <w:rPr>
          <w:rStyle w:val="text-74-c"/>
        </w:rPr>
        <w:t xml:space="preserve">御杖村役場への情報共有と支持(または中立)の確保</w:t>
      </w:r>
    </w:p>
    <w:p>
      <w:pPr>
        <w:pStyle w:val="text-74"/>
        <w:numPr>
          <w:ilvl w:val="0"/>
          <w:numId w:val="1"/>
        </w:numPr>
      </w:pPr>
      <w:r>
        <w:rPr>
          <w:rStyle w:val="text-74-c"/>
        </w:rPr>
        <w:t xml:space="preserve">憲章草案</w:t>
      </w:r>
    </w:p>
    <w:p>
      <w:pPr>
        <w:pStyle w:val="text-74"/>
        <w:numPr>
          <w:ilvl w:val="0"/>
          <w:numId w:val="1"/>
        </w:numPr>
      </w:pPr>
      <w:r>
        <w:rPr>
          <w:rStyle w:val="text-74-c"/>
        </w:rPr>
        <w:t xml:space="preserve">候補となる土地所有者リスト</w:t>
      </w:r>
    </w:p>
    <w:p>
      <w:pPr>
        <w:jc w:val="center"/>
      </w:pPr>
      <w:r>
        <mc:AlternateContent>
          <mc:Choice Requires="wpg">
            <w:drawing>
              <wp:inline xmlns:wp="http://schemas.openxmlformats.org/drawingml/2006/wordprocessingDrawing" distT="0" distB="0" distL="0" distR="0">
                <wp:extent cx="5943600" cy="0"/>
                <wp:effectExtent l="0" t="0" r="0" b="0"/>
                <wp:docPr id="4" name="Line 4"/>
                <wp:cNvGraphicFramePr/>
                <a:graphic xmlns:a="http://schemas.openxmlformats.org/drawingml/2006/main">
                  <a:graphicData uri="http://schemas.microsoft.com/office/word/2010/wordprocessingShape">
                    <wps:wsp>
                      <wps:cNvPr id="0" name=""/>
                      <wps:cNvSpPr/>
                      <wps:spPr>
                        <a:xfrm>
                          <a:off x="0" y="0"/>
                          <a:ext cx="5943600" cy="0"/>
                        </a:xfrm>
                        <a:custGeom>
                          <a:avLst/>
                          <a:gdLst/>
                          <a:ahLst/>
                          <a:cxnLst/>
                          <a:rect l="0" t="0" r="r" b="b"/>
                          <a:pathLst>
                            <a:path>
                              <a:moveTo>
                                <a:pt x="0" y="0"/>
                              </a:moveTo>
                              <a:lnTo>
                                <a:pt x="5943600" y="0"/>
                              </a:lnTo>
                            </a:path>
                          </a:pathLst>
                        </a:custGeom>
                        <a:ln w="14288">
                          <a:solidFill>
                            <a:srgbClr val="808080"/>
                          </a:solidFill>
                        </a:ln>
                        <a:scene3d>
                          <a:camera prst="orthographicFront"/>
                          <a:lightRig rig="threePt" dir="t"/>
                        </a:scene3d>
                        <a:sp3d>
                          <a:bevelT prst="angle"/>
                        </a:sp3d>
                      </wps:spPr>
                      <wps:bodyPr rot="0">
                        <a:prstTxWarp prst="textNoShape">
                          <a:avLst/>
                        </a:prstTxWarp>
                        <a:noAutofit/>
                      </wps:bodyPr>
                    </wps:wsp>
                  </a:graphicData>
                </a:graphic>
              </wp:inline>
            </w:drawing>
          </mc:Choice>
          <mc:Fallback>
            <w:pict>
              <v:shape id="shape 3" o:spid="_x0000_s3" style="width:468.00pt;height:0.00pt;mso-wrap-distance-left:0.00pt;mso-wrap-distance-top:0.00pt;mso-wrap-distance-right:0.00pt;mso-wrap-distance-bottom:0.00pt;visibility:visible;" path="m0,0l13758333,0e" coordsize="100000,100000" filled="f" strokecolor="#808080" strokeweight="1.13pt">
                <v:path textboxrect="0,0,0,0"/>
              </v:shape>
            </w:pict>
          </mc:Fallback>
        </mc:AlternateContent>
      </w:r>
    </w:p>
    <w:p>
      <w:pPr>
        <w:pStyle w:val="text-11"/>
      </w:pPr>
      <w:r>
        <w:rPr>
          <w:rStyle w:val="text-11-c"/>
        </w:rPr>
        <w:t xml:space="preserve">第1段階 ― 基盤期(4〜9か月目)</w:t>
      </w:r>
    </w:p>
    <w:p>
      <w:pPr>
        <w:pStyle w:val="text-8"/>
      </w:pPr>
      <w:r>
        <w:rPr>
          <w:rStyle w:val="text-8-c"/>
        </w:rPr>
        <w:t xml:space="preserve">目的:</w:t>
      </w:r>
      <w:r>
        <w:rPr>
          <w:rStyle w:val="text-12-c"/>
        </w:rPr>
        <w:t xml:space="preserve"> 法人格を確立し、本格的な資金調達に必要なフィージビリティスタディを完了させる。</w:t>
      </w:r>
    </w:p>
    <w:p>
      <w:pPr>
        <w:pStyle w:val="text-5"/>
      </w:pPr>
      <w:r>
        <w:rPr>
          <w:rStyle w:val="text-5-c"/>
        </w:rPr>
        <w:t xml:space="preserve">1A. NGO設立 ― 適切な法人形態の選択</w:t>
      </w:r>
    </w:p>
    <w:p>
      <w:pPr>
        <w:pStyle w:val="text-12"/>
      </w:pPr>
      <w:r>
        <w:rPr>
          <w:rStyle w:val="text-12-c"/>
        </w:rPr>
        <w:t xml:space="preserve">日本には</w:t>
      </w:r>
      <w:r>
        <w:rPr>
          <w:rStyle w:val="text-8-c"/>
        </w:rPr>
        <w:t xml:space="preserve">3つの関連する非営利法人形態</w:t>
      </w:r>
      <w:r>
        <w:rPr>
          <w:rStyle w:val="text-12-c"/>
        </w:rPr>
        <w:t xml:space="preserve">があり、それぞれ特徴が異なります。</w:t>
      </w:r>
    </w:p>
    <w:p>
      <w:pPr>
        <w:pStyle w:val="text-91"/>
      </w:pPr>
      <w:r>
        <w:rPr>
          <w:rStyle w:val="text-91-c"/>
        </w:rPr>
        <w:t xml:space="preserve">選択肢A: 一般社団法人</w:t>
      </w:r>
    </w:p>
    <w:p>
      <w:pPr>
        <w:pStyle w:val="text-93"/>
        <w:numPr>
          <w:ilvl w:val="0"/>
          <w:numId w:val="1"/>
        </w:numPr>
      </w:pPr>
      <w:r>
        <w:rPr>
          <w:rStyle w:val="text-93-c"/>
        </w:rPr>
        <w:t xml:space="preserve">設立が容易</w:t>
      </w:r>
      <w:r>
        <w:rPr>
          <w:rStyle w:val="text-74-c"/>
        </w:rPr>
        <w:t xml:space="preserve"> ― 登記のみで、行政の認可は不要</w:t>
      </w:r>
    </w:p>
    <w:p>
      <w:pPr>
        <w:pStyle w:val="text-93"/>
        <w:numPr>
          <w:ilvl w:val="0"/>
          <w:numId w:val="1"/>
        </w:numPr>
      </w:pPr>
      <w:r>
        <w:rPr>
          <w:rStyle w:val="text-93-c"/>
        </w:rPr>
        <w:t xml:space="preserve">迅速</w:t>
      </w:r>
      <w:r>
        <w:rPr>
          <w:rStyle w:val="text-74-c"/>
        </w:rPr>
        <w:t xml:space="preserve"> ― 通常1〜2か月で設立完了</w:t>
      </w:r>
    </w:p>
    <w:p>
      <w:pPr>
        <w:pStyle w:val="text-93"/>
        <w:numPr>
          <w:ilvl w:val="0"/>
          <w:numId w:val="1"/>
        </w:numPr>
      </w:pPr>
      <w:r>
        <w:rPr>
          <w:rStyle w:val="text-93-c"/>
        </w:rPr>
        <w:t xml:space="preserve">柔軟な</w:t>
      </w:r>
      <w:r>
        <w:rPr>
          <w:rStyle w:val="text-74-c"/>
        </w:rPr>
        <w:t xml:space="preserve">ガバナンス</w:t>
      </w:r>
    </w:p>
    <w:p>
      <w:pPr>
        <w:pStyle w:val="text-93"/>
        <w:numPr>
          <w:ilvl w:val="0"/>
          <w:numId w:val="1"/>
        </w:numPr>
      </w:pPr>
      <w:r>
        <w:rPr>
          <w:rStyle w:val="text-93-c"/>
        </w:rPr>
        <w:t xml:space="preserve">プロジェクト初期1〜2年間に推奨</w:t>
      </w:r>
    </w:p>
    <w:p>
      <w:pPr>
        <w:pStyle w:val="text-91"/>
      </w:pPr>
      <w:r>
        <w:rPr>
          <w:rStyle w:val="text-91-c"/>
        </w:rPr>
        <w:t xml:space="preserve">選択肢B: NPO法人(特定非営利活動法人)</w:t>
      </w:r>
    </w:p>
    <w:p>
      <w:pPr>
        <w:pStyle w:val="text-93"/>
        <w:numPr>
          <w:ilvl w:val="0"/>
          <w:numId w:val="1"/>
        </w:numPr>
      </w:pPr>
      <w:r>
        <w:rPr>
          <w:rStyle w:val="text-93-c"/>
        </w:rPr>
        <w:t xml:space="preserve">都道府県の認証が必要</w:t>
      </w:r>
      <w:r>
        <w:rPr>
          <w:rStyle w:val="text-74-c"/>
        </w:rPr>
        <w:t xml:space="preserve"> ― 4か月の審査期間</w:t>
      </w:r>
    </w:p>
    <w:p>
      <w:pPr>
        <w:pStyle w:val="text-93"/>
        <w:numPr>
          <w:ilvl w:val="0"/>
          <w:numId w:val="1"/>
        </w:numPr>
      </w:pPr>
      <w:r>
        <w:rPr>
          <w:rStyle w:val="text-93-c"/>
        </w:rPr>
        <w:t xml:space="preserve">公的信頼性が高い</w:t>
      </w:r>
      <w:r>
        <w:rPr>
          <w:rStyle w:val="text-74-c"/>
        </w:rPr>
        <w:t xml:space="preserve"> ― 助成金や寄附の受け皿として</w:t>
      </w:r>
    </w:p>
    <w:p>
      <w:pPr>
        <w:pStyle w:val="text-93"/>
        <w:numPr>
          <w:ilvl w:val="0"/>
          <w:numId w:val="1"/>
        </w:numPr>
      </w:pPr>
      <w:r>
        <w:rPr>
          <w:rStyle w:val="text-93-c"/>
        </w:rPr>
        <w:t xml:space="preserve">規制が厳格</w:t>
      </w:r>
      <w:r>
        <w:rPr>
          <w:rStyle w:val="text-74-c"/>
        </w:rPr>
        <w:t xml:space="preserve"> ― 社員10名以上、理事3名、監事1名以上、情報公開義務</w:t>
      </w:r>
    </w:p>
    <w:p>
      <w:pPr>
        <w:pStyle w:val="text-93"/>
        <w:numPr>
          <w:ilvl w:val="0"/>
          <w:numId w:val="1"/>
        </w:numPr>
      </w:pPr>
      <w:r>
        <w:rPr>
          <w:rStyle w:val="text-93-c"/>
        </w:rPr>
        <w:t xml:space="preserve">長期的な正統性と政府助成金獲得の最適経路</w:t>
      </w:r>
    </w:p>
    <w:p>
      <w:pPr>
        <w:pStyle w:val="text-93"/>
        <w:numPr>
          <w:ilvl w:val="0"/>
          <w:numId w:val="1"/>
        </w:numPr>
      </w:pPr>
      <w:r>
        <w:rPr>
          <w:rStyle w:val="text-93-c"/>
        </w:rPr>
        <w:t xml:space="preserve">推奨:</w:t>
      </w:r>
      <w:r>
        <w:rPr>
          <w:rStyle w:val="text-74-c"/>
        </w:rPr>
        <w:t xml:space="preserve"> 2〜3年目に移行</w:t>
      </w:r>
    </w:p>
    <w:p>
      <w:pPr>
        <w:pStyle w:val="text-91"/>
      </w:pPr>
      <w:r>
        <w:rPr>
          <w:rStyle w:val="text-91-c"/>
        </w:rPr>
        <w:t xml:space="preserve">選択肢C: 認定NPO法人</w:t>
      </w:r>
    </w:p>
    <w:p>
      <w:pPr>
        <w:pStyle w:val="text-93"/>
        <w:numPr>
          <w:ilvl w:val="0"/>
          <w:numId w:val="1"/>
        </w:numPr>
      </w:pPr>
      <w:r>
        <w:rPr>
          <w:rStyle w:val="text-93-c"/>
        </w:rPr>
        <w:t xml:space="preserve">最高水準の信頼性</w:t>
      </w:r>
      <w:r>
        <w:rPr>
          <w:rStyle w:val="text-74-c"/>
        </w:rPr>
        <w:t xml:space="preserve"> ― 寄附者は税控除を受けられる</w:t>
      </w:r>
    </w:p>
    <w:p>
      <w:pPr>
        <w:pStyle w:val="text-93"/>
        <w:numPr>
          <w:ilvl w:val="0"/>
          <w:numId w:val="1"/>
        </w:numPr>
      </w:pPr>
      <w:r>
        <w:rPr>
          <w:rStyle w:val="text-93-c"/>
        </w:rPr>
        <w:t xml:space="preserve">NPO法人設立後5年以上経過後に申請可能</w:t>
      </w:r>
      <w:r>
        <w:rPr>
          <w:rStyle w:val="text-74-c"/>
        </w:rPr>
        <w:t xml:space="preserve">(または特例認定を1回のみ)</w:t>
      </w:r>
    </w:p>
    <w:p>
      <w:pPr>
        <w:pStyle w:val="text-93"/>
        <w:numPr>
          <w:ilvl w:val="0"/>
          <w:numId w:val="1"/>
        </w:numPr>
      </w:pPr>
      <w:r>
        <w:rPr>
          <w:rStyle w:val="text-93-c"/>
        </w:rPr>
        <w:t xml:space="preserve">厳格な要件</w:t>
      </w:r>
      <w:r>
        <w:rPr>
          <w:rStyle w:val="text-74-c"/>
        </w:rPr>
        <w:t xml:space="preserve"> ― 一定の寄附受入実績、財務透明性</w:t>
      </w:r>
    </w:p>
    <w:p>
      <w:pPr>
        <w:pStyle w:val="text-93"/>
        <w:numPr>
          <w:ilvl w:val="0"/>
          <w:numId w:val="1"/>
        </w:numPr>
      </w:pPr>
      <w:r>
        <w:rPr>
          <w:rStyle w:val="text-93-c"/>
        </w:rPr>
        <w:t xml:space="preserve">長期目標</w:t>
      </w:r>
      <w:r>
        <w:rPr>
          <w:rStyle w:val="text-74-c"/>
        </w:rPr>
        <w:t xml:space="preserve"> ― 実績を積んだ後に申請</w:t>
      </w:r>
    </w:p>
    <w:p>
      <w:pPr>
        <w:pStyle w:val="text-5"/>
      </w:pPr>
      <w:r>
        <w:rPr>
          <w:rStyle w:val="text-5-c"/>
        </w:rPr>
        <w:t xml:space="preserve">1B. 御杖プロジェクトの推奨経路</w:t>
      </w:r>
    </w:p>
    <w:p>
      <w:pPr>
        <w:pStyle w:val="text-8"/>
      </w:pPr>
      <w:r>
        <w:rPr>
          <w:rStyle w:val="text-8-c"/>
        </w:rPr>
        <w:t xml:space="preserve">一般社団法人として開始</w:t>
      </w:r>
      <w:r>
        <w:rPr>
          <w:rStyle w:val="text-12-c"/>
        </w:rPr>
        <w:t xml:space="preserve">し、</w:t>
      </w:r>
      <w:r>
        <w:rPr>
          <w:rStyle w:val="text-8-c"/>
        </w:rPr>
        <w:t xml:space="preserve">18〜24か月後にNPO法人へ移行</w:t>
      </w:r>
      <w:r>
        <w:rPr>
          <w:rStyle w:val="text-12-c"/>
        </w:rPr>
        <w:t xml:space="preserve">することを推奨いたします。</w:t>
      </w:r>
    </w:p>
    <w:p>
      <w:pPr>
        <w:pStyle w:val="text-5"/>
      </w:pPr>
      <w:r>
        <w:rPr>
          <w:rStyle w:val="text-5-c"/>
        </w:rPr>
        <w:t xml:space="preserve">1C. 設立要件(一般社団法人)</w:t>
      </w:r>
    </w:p>
    <w:p>
      <w:pPr>
        <w:pStyle w:val="text-93"/>
        <w:numPr>
          <w:ilvl w:val="0"/>
          <w:numId w:val="1"/>
        </w:numPr>
      </w:pPr>
      <w:r>
        <w:rPr>
          <w:rStyle w:val="text-93-c"/>
        </w:rPr>
        <w:t xml:space="preserve">設立社員2名以上</w:t>
      </w:r>
    </w:p>
    <w:p>
      <w:pPr>
        <w:pStyle w:val="text-93"/>
        <w:numPr>
          <w:ilvl w:val="0"/>
          <w:numId w:val="1"/>
        </w:numPr>
      </w:pPr>
      <w:r>
        <w:rPr>
          <w:rStyle w:val="text-93-c"/>
        </w:rPr>
        <w:t xml:space="preserve">理事1名以上</w:t>
      </w:r>
      <w:r>
        <w:rPr>
          <w:rStyle w:val="text-74-c"/>
        </w:rPr>
        <w:t xml:space="preserve">(ただし3名以上を強く推奨)</w:t>
      </w:r>
    </w:p>
    <w:p>
      <w:pPr>
        <w:pStyle w:val="text-93"/>
        <w:numPr>
          <w:ilvl w:val="0"/>
          <w:numId w:val="1"/>
        </w:numPr>
      </w:pPr>
      <w:r>
        <w:rPr>
          <w:rStyle w:val="text-93-c"/>
        </w:rPr>
        <w:t xml:space="preserve">定款</w:t>
      </w:r>
      <w:r>
        <w:rPr>
          <w:rStyle w:val="text-74-c"/>
        </w:rPr>
        <w:t xml:space="preserve"> ― 日本語で作成し、公証人による認証</w:t>
      </w:r>
    </w:p>
    <w:p>
      <w:pPr>
        <w:pStyle w:val="text-93"/>
        <w:numPr>
          <w:ilvl w:val="0"/>
          <w:numId w:val="1"/>
        </w:numPr>
      </w:pPr>
      <w:r>
        <w:rPr>
          <w:rStyle w:val="text-93-c"/>
        </w:rPr>
        <w:t xml:space="preserve">登記住所</w:t>
      </w:r>
      <w:r>
        <w:rPr>
          <w:rStyle w:val="text-74-c"/>
        </w:rPr>
        <w:t xml:space="preserve"> ― 御杖村内で可</w:t>
      </w:r>
    </w:p>
    <w:p>
      <w:pPr>
        <w:pStyle w:val="text-93"/>
        <w:numPr>
          <w:ilvl w:val="0"/>
          <w:numId w:val="1"/>
        </w:numPr>
      </w:pPr>
      <w:r>
        <w:rPr>
          <w:rStyle w:val="text-93-c"/>
        </w:rPr>
        <w:t xml:space="preserve">法務局での登記</w:t>
      </w:r>
    </w:p>
    <w:p>
      <w:pPr>
        <w:pStyle w:val="text-93"/>
        <w:numPr>
          <w:ilvl w:val="0"/>
          <w:numId w:val="1"/>
        </w:numPr>
      </w:pPr>
      <w:r>
        <w:rPr>
          <w:rStyle w:val="text-93-c"/>
        </w:rPr>
        <w:t xml:space="preserve">概算費用:</w:t>
      </w:r>
      <w:r>
        <w:rPr>
          <w:rStyle w:val="text-74-c"/>
        </w:rPr>
        <w:t xml:space="preserve"> 登録免許税¥110,000 + 公証人費用¥50,000 + 行政書士に依頼する場合¥100,000〜300,000</w:t>
      </w:r>
    </w:p>
    <w:p>
      <w:pPr>
        <w:pStyle w:val="text-93"/>
        <w:numPr>
          <w:ilvl w:val="0"/>
          <w:numId w:val="1"/>
        </w:numPr>
      </w:pPr>
      <w:r>
        <w:rPr>
          <w:rStyle w:val="text-93-c"/>
        </w:rPr>
        <w:t xml:space="preserve">設立期間:</w:t>
      </w:r>
      <w:r>
        <w:rPr>
          <w:rStyle w:val="text-74-c"/>
        </w:rPr>
        <w:t xml:space="preserve"> 4〜8週間</w:t>
      </w:r>
    </w:p>
    <w:p>
      <w:pPr>
        <w:pStyle w:val="text-5"/>
      </w:pPr>
      <w:r>
        <w:rPr>
          <w:rStyle w:val="text-5-c"/>
        </w:rPr>
        <w:t xml:space="preserve">1D. 創設理事会の推奨構成</w:t>
      </w:r>
    </w:p>
    <w:p>
      <w:pPr>
        <w:pStyle w:val="text-93"/>
        <w:numPr>
          <w:ilvl w:val="0"/>
          <w:numId w:val="1"/>
        </w:numPr>
      </w:pPr>
      <w:r>
        <w:rPr>
          <w:rStyle w:val="text-93-c"/>
        </w:rPr>
        <w:t xml:space="preserve">代表理事</w:t>
      </w:r>
      <w:r>
        <w:rPr>
          <w:rStyle w:val="text-74-c"/>
        </w:rPr>
        <w:t xml:space="preserve">: 尊敬される日本人共同創設者が望ましい</w:t>
      </w:r>
    </w:p>
    <w:p>
      <w:pPr>
        <w:pStyle w:val="text-93"/>
        <w:numPr>
          <w:ilvl w:val="0"/>
          <w:numId w:val="1"/>
        </w:numPr>
      </w:pPr>
      <w:r>
        <w:rPr>
          <w:rStyle w:val="text-93-c"/>
        </w:rPr>
        <w:t xml:space="preserve">理事(技術担当)</w:t>
      </w:r>
      <w:r>
        <w:rPr>
          <w:rStyle w:val="text-74-c"/>
        </w:rPr>
        <w:t xml:space="preserve">: ロブ(または持ち回り)</w:t>
      </w:r>
    </w:p>
    <w:p>
      <w:pPr>
        <w:pStyle w:val="text-93"/>
        <w:numPr>
          <w:ilvl w:val="0"/>
          <w:numId w:val="1"/>
        </w:numPr>
      </w:pPr>
      <w:r>
        <w:rPr>
          <w:rStyle w:val="text-93-c"/>
        </w:rPr>
        <w:t xml:space="preserve">理事(林業・地域担当)</w:t>
      </w:r>
      <w:r>
        <w:rPr>
          <w:rStyle w:val="text-74-c"/>
        </w:rPr>
        <w:t xml:space="preserve">: 地元林業の専門家または村の長老</w:t>
      </w:r>
    </w:p>
    <w:p>
      <w:pPr>
        <w:pStyle w:val="text-93"/>
        <w:numPr>
          <w:ilvl w:val="0"/>
          <w:numId w:val="1"/>
        </w:numPr>
      </w:pPr>
      <w:r>
        <w:rPr>
          <w:rStyle w:val="text-93-c"/>
        </w:rPr>
        <w:t xml:space="preserve">理事(財務・運営担当)</w:t>
      </w:r>
      <w:r>
        <w:rPr>
          <w:rStyle w:val="text-74-c"/>
        </w:rPr>
        <w:t xml:space="preserve">: NPO運営経験者</w:t>
      </w:r>
    </w:p>
    <w:p>
      <w:pPr>
        <w:pStyle w:val="text-93"/>
        <w:numPr>
          <w:ilvl w:val="0"/>
          <w:numId w:val="1"/>
        </w:numPr>
      </w:pPr>
      <w:r>
        <w:rPr>
          <w:rStyle w:val="text-93-c"/>
        </w:rPr>
        <w:t xml:space="preserve">監事</w:t>
      </w:r>
      <w:r>
        <w:rPr>
          <w:rStyle w:val="text-74-c"/>
        </w:rPr>
        <w:t xml:space="preserve">: 独立した第三者、会計知識を持つ方が望ましい</w:t>
      </w:r>
    </w:p>
    <w:p>
      <w:pPr>
        <w:pStyle w:val="text-5"/>
      </w:pPr>
      <w:r>
        <w:rPr>
          <w:rStyle w:val="text-5-c"/>
        </w:rPr>
        <w:t xml:space="preserve">1E. 委託すべきフィージビリティスタディ</w:t>
      </w:r>
    </w:p>
    <w:p>
      <w:pPr>
        <w:pStyle w:val="text-12"/>
      </w:pPr>
      <w:r>
        <w:rPr>
          <w:rStyle w:val="text-12-c"/>
        </w:rPr>
        <w:t xml:space="preserve">これらは</w:t>
      </w:r>
      <w:r>
        <w:rPr>
          <w:rStyle w:val="text-8-c"/>
        </w:rPr>
        <w:t xml:space="preserve">深刻な資金調達の鍵を握る最重要文書</w:t>
      </w:r>
      <w:r>
        <w:rPr>
          <w:rStyle w:val="text-12-c"/>
        </w:rPr>
        <w:t xml:space="preserve">です。確実に実施してください。</w:t>
      </w:r>
    </w:p>
    <w:p>
      <w:pPr>
        <w:pStyle w:val="text-8"/>
        <w:numPr>
          <w:ilvl w:val="0"/>
          <w:numId w:val="3"/>
        </w:numPr>
      </w:pPr>
      <w:r>
        <w:rPr>
          <w:rStyle w:val="text-8-c"/>
        </w:rPr>
        <w:t xml:space="preserve">林業フィージビリティスタディ</w:t>
      </w:r>
      <w:r>
        <w:rPr>
          <w:rStyle w:val="text-12-c"/>
        </w:rPr>
        <w:t xml:space="preserve">(約¥150〜300万円)</w:t>
      </w:r>
    </w:p>
    <w:p>
      <w:pPr>
        <w:pStyle w:val="text-74"/>
        <w:numPr>
          <w:ilvl w:val="1"/>
          <w:numId w:val="1"/>
        </w:numPr>
      </w:pPr>
      <w:r>
        <w:rPr>
          <w:rStyle w:val="text-74-c"/>
        </w:rPr>
        <w:t xml:space="preserve">候補杉林からのバイオマス収量</w:t>
      </w:r>
    </w:p>
    <w:p>
      <w:pPr>
        <w:pStyle w:val="text-74"/>
        <w:numPr>
          <w:ilvl w:val="1"/>
          <w:numId w:val="1"/>
        </w:numPr>
      </w:pPr>
      <w:r>
        <w:rPr>
          <w:rStyle w:val="text-74-c"/>
        </w:rPr>
        <w:t xml:space="preserve">急斜面からの輸送コスト</w:t>
      </w:r>
    </w:p>
    <w:p>
      <w:pPr>
        <w:pStyle w:val="text-74"/>
        <w:numPr>
          <w:ilvl w:val="1"/>
          <w:numId w:val="1"/>
        </w:numPr>
      </w:pPr>
      <w:r>
        <w:rPr>
          <w:rStyle w:val="text-74-c"/>
        </w:rPr>
        <w:t xml:space="preserve">在来種森林再生計画とタイムライン</w:t>
      </w:r>
    </w:p>
    <w:p>
      <w:pPr>
        <w:pStyle w:val="text-74"/>
        <w:numPr>
          <w:ilvl w:val="1"/>
          <w:numId w:val="1"/>
        </w:numPr>
      </w:pPr>
      <w:r>
        <w:rPr>
          <w:rStyle w:val="text-74-c"/>
        </w:rPr>
        <w:t xml:space="preserve">炭素固定量の推定</w:t>
      </w:r>
    </w:p>
    <w:p>
      <w:pPr>
        <w:pStyle w:val="text-74"/>
        <w:numPr>
          <w:ilvl w:val="1"/>
          <w:numId w:val="1"/>
        </w:numPr>
      </w:pPr>
      <w:r>
        <w:rPr>
          <w:rStyle w:val="text-74-c"/>
        </w:rPr>
        <w:t xml:space="preserve">推奨提供元: 日本林業協会または林野庁関連の林業コンサルタント</w:t>
      </w:r>
    </w:p>
    <w:p>
      <w:pPr>
        <w:pStyle w:val="text-8"/>
        <w:numPr>
          <w:ilvl w:val="0"/>
          <w:numId w:val="3"/>
        </w:numPr>
      </w:pPr>
      <w:r>
        <w:rPr>
          <w:rStyle w:val="text-8-c"/>
        </w:rPr>
        <w:t xml:space="preserve">エネルギーシステムフィージビリティスタディ</w:t>
      </w:r>
      <w:r>
        <w:rPr>
          <w:rStyle w:val="text-12-c"/>
        </w:rPr>
        <w:t xml:space="preserve">(約¥200〜400万円)</w:t>
      </w:r>
    </w:p>
    <w:p>
      <w:pPr>
        <w:pStyle w:val="text-74"/>
        <w:numPr>
          <w:ilvl w:val="1"/>
          <w:numId w:val="1"/>
        </w:numPr>
      </w:pPr>
      <w:r>
        <w:rPr>
          <w:rStyle w:val="text-74-c"/>
        </w:rPr>
        <w:t xml:space="preserve">バイオマスプラントの規模選択肢</w:t>
      </w:r>
    </w:p>
    <w:p>
      <w:pPr>
        <w:pStyle w:val="text-74"/>
        <w:numPr>
          <w:ilvl w:val="1"/>
          <w:numId w:val="1"/>
        </w:numPr>
      </w:pPr>
      <w:r>
        <w:rPr>
          <w:rStyle w:val="text-74-c"/>
        </w:rPr>
        <w:t xml:space="preserve">バイオガスの可能性</w:t>
      </w:r>
    </w:p>
    <w:p>
      <w:pPr>
        <w:pStyle w:val="text-74"/>
        <w:numPr>
          <w:ilvl w:val="1"/>
          <w:numId w:val="1"/>
        </w:numPr>
      </w:pPr>
      <w:r>
        <w:rPr>
          <w:rStyle w:val="text-74-c"/>
        </w:rPr>
        <w:t xml:space="preserve">系統連系およびFIT/FIP適格性</w:t>
      </w:r>
    </w:p>
    <w:p>
      <w:pPr>
        <w:pStyle w:val="text-74"/>
        <w:numPr>
          <w:ilvl w:val="1"/>
          <w:numId w:val="1"/>
        </w:numPr>
      </w:pPr>
      <w:r>
        <w:rPr>
          <w:rStyle w:val="text-74-c"/>
        </w:rPr>
        <w:t xml:space="preserve">蓄電池要件</w:t>
      </w:r>
    </w:p>
    <w:p>
      <w:pPr>
        <w:pStyle w:val="text-74"/>
        <w:numPr>
          <w:ilvl w:val="1"/>
          <w:numId w:val="1"/>
        </w:numPr>
      </w:pPr>
      <w:r>
        <w:rPr>
          <w:rStyle w:val="text-74-c"/>
        </w:rPr>
        <w:t xml:space="preserve">熱回収の可能性</w:t>
      </w:r>
    </w:p>
    <w:p>
      <w:pPr>
        <w:pStyle w:val="text-8"/>
        <w:numPr>
          <w:ilvl w:val="0"/>
          <w:numId w:val="3"/>
        </w:numPr>
      </w:pPr>
      <w:r>
        <w:rPr>
          <w:rStyle w:val="text-8-c"/>
        </w:rPr>
        <w:t xml:space="preserve">建物・敷地評価</w:t>
      </w:r>
      <w:r>
        <w:rPr>
          <w:rStyle w:val="text-12-c"/>
        </w:rPr>
        <w:t xml:space="preserve">(約¥100〜200万円)</w:t>
      </w:r>
    </w:p>
    <w:p>
      <w:pPr>
        <w:pStyle w:val="text-74"/>
        <w:numPr>
          <w:ilvl w:val="1"/>
          <w:numId w:val="1"/>
        </w:numPr>
      </w:pPr>
      <w:r>
        <w:rPr>
          <w:rStyle w:val="text-74-c"/>
        </w:rPr>
        <w:t xml:space="preserve">校舎の構造状態</w:t>
      </w:r>
    </w:p>
    <w:p>
      <w:pPr>
        <w:pStyle w:val="text-74"/>
        <w:numPr>
          <w:ilvl w:val="1"/>
          <w:numId w:val="1"/>
        </w:numPr>
      </w:pPr>
      <w:r>
        <w:rPr>
          <w:rStyle w:val="text-74-c"/>
        </w:rPr>
        <w:t xml:space="preserve">耐震基準への適合要件</w:t>
      </w:r>
    </w:p>
    <w:p>
      <w:pPr>
        <w:pStyle w:val="text-74"/>
        <w:numPr>
          <w:ilvl w:val="1"/>
          <w:numId w:val="1"/>
        </w:numPr>
      </w:pPr>
      <w:r>
        <w:rPr>
          <w:rStyle w:val="text-74-c"/>
        </w:rPr>
        <w:t xml:space="preserve">データセンター利用に必要な改修</w:t>
      </w:r>
    </w:p>
    <w:p>
      <w:pPr>
        <w:pStyle w:val="text-74"/>
        <w:numPr>
          <w:ilvl w:val="1"/>
          <w:numId w:val="1"/>
        </w:numPr>
      </w:pPr>
      <w:r>
        <w:rPr>
          <w:rStyle w:val="text-74-c"/>
        </w:rPr>
        <w:t xml:space="preserve">用途地域および許認可の検討</w:t>
      </w:r>
    </w:p>
    <w:p>
      <w:pPr>
        <w:pStyle w:val="text-8"/>
        <w:numPr>
          <w:ilvl w:val="0"/>
          <w:numId w:val="3"/>
        </w:numPr>
      </w:pPr>
      <w:r>
        <w:rPr>
          <w:rStyle w:val="text-8-c"/>
        </w:rPr>
        <w:t xml:space="preserve">通信環境評価</w:t>
      </w:r>
      <w:r>
        <w:rPr>
          <w:rStyle w:val="text-12-c"/>
        </w:rPr>
        <w:t xml:space="preserve">(約¥30〜50万円)</w:t>
      </w:r>
    </w:p>
    <w:p>
      <w:pPr>
        <w:pStyle w:val="text-74"/>
        <w:numPr>
          <w:ilvl w:val="1"/>
          <w:numId w:val="1"/>
        </w:numPr>
      </w:pPr>
      <w:r>
        <w:rPr>
          <w:rStyle w:val="text-74-c"/>
        </w:rPr>
        <w:t xml:space="preserve">御杖村への現行光ファイバー容量</w:t>
      </w:r>
    </w:p>
    <w:p>
      <w:pPr>
        <w:pStyle w:val="text-74"/>
        <w:numPr>
          <w:ilvl w:val="1"/>
          <w:numId w:val="1"/>
        </w:numPr>
      </w:pPr>
      <w:r>
        <w:rPr>
          <w:rStyle w:val="text-74-c"/>
        </w:rPr>
        <w:t xml:space="preserve">アップグレード要件と費用</w:t>
      </w:r>
    </w:p>
    <w:p>
      <w:pPr>
        <w:pStyle w:val="text-74"/>
        <w:numPr>
          <w:ilvl w:val="1"/>
          <w:numId w:val="1"/>
        </w:numPr>
      </w:pPr>
      <w:r>
        <w:rPr>
          <w:rStyle w:val="text-74-c"/>
        </w:rPr>
        <w:t xml:space="preserve">NTT・地域事業者との調整</w:t>
      </w:r>
    </w:p>
    <w:p>
      <w:pPr>
        <w:pStyle w:val="text-5"/>
      </w:pPr>
      <w:r>
        <w:rPr>
          <w:rStyle w:val="text-5-c"/>
        </w:rPr>
        <w:t xml:space="preserve">第1段階の成果物</w:t>
      </w:r>
    </w:p>
    <w:p>
      <w:pPr>
        <w:pStyle w:val="text-74"/>
        <w:numPr>
          <w:ilvl w:val="0"/>
          <w:numId w:val="1"/>
        </w:numPr>
      </w:pPr>
      <w:r>
        <w:rPr>
          <w:rStyle w:val="text-74-c"/>
        </w:rPr>
        <w:t xml:space="preserve">法人登記完了</w:t>
      </w:r>
    </w:p>
    <w:p>
      <w:pPr>
        <w:pStyle w:val="text-74"/>
        <w:numPr>
          <w:ilvl w:val="0"/>
          <w:numId w:val="1"/>
        </w:numPr>
      </w:pPr>
      <w:r>
        <w:rPr>
          <w:rStyle w:val="text-74-c"/>
        </w:rPr>
        <w:t xml:space="preserve">フィージビリティスタディ完了</w:t>
      </w:r>
    </w:p>
    <w:p>
      <w:pPr>
        <w:pStyle w:val="text-74"/>
        <w:numPr>
          <w:ilvl w:val="0"/>
          <w:numId w:val="1"/>
        </w:numPr>
      </w:pPr>
      <w:r>
        <w:rPr>
          <w:rStyle w:val="text-74-c"/>
        </w:rPr>
        <w:t xml:space="preserve">御杖村役場からの関心表明書</w:t>
      </w:r>
    </w:p>
    <w:p>
      <w:pPr>
        <w:pStyle w:val="text-74"/>
        <w:numPr>
          <w:ilvl w:val="0"/>
          <w:numId w:val="1"/>
        </w:numPr>
      </w:pPr>
      <w:r>
        <w:rPr>
          <w:rStyle w:val="text-74-c"/>
        </w:rPr>
        <w:t xml:space="preserve">二か国語対応プロジェクトウェブサイト(基本仕様、専門的)</w:t>
      </w:r>
    </w:p>
    <w:p>
      <w:pPr>
        <w:pStyle w:val="text-74"/>
        <w:numPr>
          <w:ilvl w:val="0"/>
          <w:numId w:val="1"/>
        </w:numPr>
      </w:pPr>
      <w:r>
        <w:rPr>
          <w:rStyle w:val="text-74-c"/>
        </w:rPr>
        <w:t xml:space="preserve">顧問団の正式発足</w:t>
      </w:r>
    </w:p>
    <w:p>
      <w:pPr>
        <w:pStyle w:val="text-74"/>
        <w:numPr>
          <w:ilvl w:val="0"/>
          <w:numId w:val="1"/>
        </w:numPr>
      </w:pPr>
      <w:r>
        <w:rPr>
          <w:rStyle w:val="text-74-c"/>
        </w:rPr>
        <w:t xml:space="preserve">銀行口座、会計システムの整備</w:t>
      </w:r>
    </w:p>
    <w:p>
      <w:pPr>
        <w:jc w:val="center"/>
      </w:pPr>
      <w:r>
        <mc:AlternateContent>
          <mc:Choice Requires="wpg">
            <w:drawing>
              <wp:inline xmlns:wp="http://schemas.openxmlformats.org/drawingml/2006/wordprocessingDrawing" distT="0" distB="0" distL="0" distR="0">
                <wp:extent cx="5943600" cy="0"/>
                <wp:effectExtent l="0" t="0" r="0" b="0"/>
                <wp:docPr id="5" name="Line 5"/>
                <wp:cNvGraphicFramePr/>
                <a:graphic xmlns:a="http://schemas.openxmlformats.org/drawingml/2006/main">
                  <a:graphicData uri="http://schemas.microsoft.com/office/word/2010/wordprocessingShape">
                    <wps:wsp>
                      <wps:cNvPr id="0" name=""/>
                      <wps:cNvSpPr/>
                      <wps:spPr>
                        <a:xfrm>
                          <a:off x="0" y="0"/>
                          <a:ext cx="5943600" cy="0"/>
                        </a:xfrm>
                        <a:custGeom>
                          <a:avLst/>
                          <a:gdLst/>
                          <a:ahLst/>
                          <a:cxnLst/>
                          <a:rect l="0" t="0" r="r" b="b"/>
                          <a:pathLst>
                            <a:path>
                              <a:moveTo>
                                <a:pt x="0" y="0"/>
                              </a:moveTo>
                              <a:lnTo>
                                <a:pt x="5943600" y="0"/>
                              </a:lnTo>
                            </a:path>
                          </a:pathLst>
                        </a:custGeom>
                        <a:ln w="14288">
                          <a:solidFill>
                            <a:srgbClr val="808080"/>
                          </a:solidFill>
                        </a:ln>
                        <a:scene3d>
                          <a:camera prst="orthographicFront"/>
                          <a:lightRig rig="threePt" dir="t"/>
                        </a:scene3d>
                        <a:sp3d>
                          <a:bevelT prst="angle"/>
                        </a:sp3d>
                      </wps:spPr>
                      <wps:bodyPr rot="0">
                        <a:prstTxWarp prst="textNoShape">
                          <a:avLst/>
                        </a:prstTxWarp>
                        <a:noAutofit/>
                      </wps:bodyPr>
                    </wps:wsp>
                  </a:graphicData>
                </a:graphic>
              </wp:inline>
            </w:drawing>
          </mc:Choice>
          <mc:Fallback>
            <w:pict>
              <v:shape id="shape 4" o:spid="_x0000_s4" style="width:468.00pt;height:0.00pt;mso-wrap-distance-left:0.00pt;mso-wrap-distance-top:0.00pt;mso-wrap-distance-right:0.00pt;mso-wrap-distance-bottom:0.00pt;visibility:visible;" path="m0,0l13758333,0e" coordsize="100000,100000" filled="f" strokecolor="#808080" strokeweight="1.13pt">
                <v:path textboxrect="0,0,0,0"/>
              </v:shape>
            </w:pict>
          </mc:Fallback>
        </mc:AlternateContent>
      </w:r>
    </w:p>
    <w:p>
      <w:pPr>
        <w:pStyle w:val="text-11"/>
      </w:pPr>
      <w:r>
        <w:rPr>
          <w:rStyle w:val="text-11-c"/>
        </w:rPr>
        <w:t xml:space="preserve">第2段階 ― 試行設計期(10〜18か月目)</w:t>
      </w:r>
    </w:p>
    <w:p>
      <w:pPr>
        <w:pStyle w:val="text-8"/>
      </w:pPr>
      <w:r>
        <w:rPr>
          <w:rStyle w:val="text-8-c"/>
        </w:rPr>
        <w:t xml:space="preserve">目的:</w:t>
      </w:r>
      <w:r>
        <w:rPr>
          <w:rStyle w:val="text-12-c"/>
        </w:rPr>
        <w:t xml:space="preserve"> フィージビリティスタディを詳細な設計図へと発展させ、試行運転資金を確保し、提携関係を確定させる。</w:t>
      </w:r>
    </w:p>
    <w:p>
      <w:pPr>
        <w:pStyle w:val="text-5"/>
      </w:pPr>
      <w:r>
        <w:rPr>
          <w:rStyle w:val="text-5-c"/>
        </w:rPr>
        <w:t xml:space="preserve">主な活動</w:t>
      </w:r>
    </w:p>
    <w:p>
      <w:pPr>
        <w:pStyle w:val="text-74"/>
        <w:numPr>
          <w:ilvl w:val="0"/>
          <w:numId w:val="1"/>
        </w:numPr>
      </w:pPr>
      <w:r>
        <w:rPr>
          <w:rStyle w:val="text-74-c"/>
        </w:rPr>
        <w:t xml:space="preserve">詳細な設計および建築計画</w:t>
      </w:r>
    </w:p>
    <w:p>
      <w:pPr>
        <w:pStyle w:val="text-74"/>
        <w:numPr>
          <w:ilvl w:val="0"/>
          <w:numId w:val="1"/>
        </w:numPr>
      </w:pPr>
      <w:r>
        <w:rPr>
          <w:rStyle w:val="text-74-c"/>
        </w:rPr>
        <w:t xml:space="preserve">許認可取得(林業、建築、METIバイオマス免許、FIT登録)</w:t>
      </w:r>
    </w:p>
    <w:p>
      <w:pPr>
        <w:pStyle w:val="text-74"/>
        <w:numPr>
          <w:ilvl w:val="0"/>
          <w:numId w:val="1"/>
        </w:numPr>
      </w:pPr>
      <w:r>
        <w:rPr>
          <w:rStyle w:val="text-74-c"/>
        </w:rPr>
        <w:t xml:space="preserve">土地所有者との提携契約(契約書ひな形)</w:t>
      </w:r>
    </w:p>
    <w:p>
      <w:pPr>
        <w:pStyle w:val="text-74"/>
        <w:numPr>
          <w:ilvl w:val="0"/>
          <w:numId w:val="1"/>
        </w:numPr>
      </w:pPr>
      <w:r>
        <w:rPr>
          <w:rStyle w:val="text-74-c"/>
        </w:rPr>
        <w:t xml:space="preserve">バイオマス機器、データセンターハードウェア、IT機器の業者選定</w:t>
      </w:r>
    </w:p>
    <w:p>
      <w:pPr>
        <w:pStyle w:val="text-74"/>
        <w:numPr>
          <w:ilvl w:val="0"/>
          <w:numId w:val="1"/>
        </w:numPr>
      </w:pPr>
      <w:r>
        <w:rPr>
          <w:rStyle w:val="text-74-c"/>
        </w:rPr>
        <w:t xml:space="preserve">主要な助成金申請の提出</w:t>
      </w:r>
    </w:p>
    <w:p>
      <w:pPr>
        <w:pStyle w:val="text-74"/>
        <w:numPr>
          <w:ilvl w:val="0"/>
          <w:numId w:val="1"/>
        </w:numPr>
      </w:pPr>
      <w:r>
        <w:rPr>
          <w:rStyle w:val="text-74-c"/>
        </w:rPr>
        <w:t xml:space="preserve">最初の2〜3名のパートタイム職員の採用</w:t>
      </w:r>
    </w:p>
    <w:p>
      <w:pPr>
        <w:pStyle w:val="text-5"/>
      </w:pPr>
      <w:r>
        <w:rPr>
          <w:rStyle w:val="text-5-c"/>
        </w:rPr>
        <w:t xml:space="preserve">第2段階の資金目標</w:t>
      </w:r>
    </w:p>
    <w:p>
      <w:pPr>
        <w:pStyle w:val="text-93"/>
        <w:numPr>
          <w:ilvl w:val="0"/>
          <w:numId w:val="1"/>
        </w:numPr>
      </w:pPr>
      <w:r>
        <w:rPr>
          <w:rStyle w:val="text-93-c"/>
        </w:rPr>
        <w:t xml:space="preserve">第2段階終了時点で¥3,000万〜5,000万円の確保</w:t>
      </w:r>
      <w:r>
        <w:rPr>
          <w:rStyle w:val="text-74-c"/>
        </w:rPr>
        <w:t xml:space="preserve">を目標とし、第2段階の費用と第3段階の開始費用に充当</w:t>
      </w:r>
    </w:p>
    <w:p>
      <w:pPr>
        <w:jc w:val="center"/>
      </w:pPr>
      <w:r>
        <mc:AlternateContent>
          <mc:Choice Requires="wpg">
            <w:drawing>
              <wp:inline xmlns:wp="http://schemas.openxmlformats.org/drawingml/2006/wordprocessingDrawing" distT="0" distB="0" distL="0" distR="0">
                <wp:extent cx="5943600" cy="0"/>
                <wp:effectExtent l="0" t="0" r="0" b="0"/>
                <wp:docPr id="6" name="Line 6"/>
                <wp:cNvGraphicFramePr/>
                <a:graphic xmlns:a="http://schemas.openxmlformats.org/drawingml/2006/main">
                  <a:graphicData uri="http://schemas.microsoft.com/office/word/2010/wordprocessingShape">
                    <wps:wsp>
                      <wps:cNvPr id="0" name=""/>
                      <wps:cNvSpPr/>
                      <wps:spPr>
                        <a:xfrm>
                          <a:off x="0" y="0"/>
                          <a:ext cx="5943600" cy="0"/>
                        </a:xfrm>
                        <a:custGeom>
                          <a:avLst/>
                          <a:gdLst/>
                          <a:ahLst/>
                          <a:cxnLst/>
                          <a:rect l="0" t="0" r="r" b="b"/>
                          <a:pathLst>
                            <a:path>
                              <a:moveTo>
                                <a:pt x="0" y="0"/>
                              </a:moveTo>
                              <a:lnTo>
                                <a:pt x="5943600" y="0"/>
                              </a:lnTo>
                            </a:path>
                          </a:pathLst>
                        </a:custGeom>
                        <a:ln w="14288">
                          <a:solidFill>
                            <a:srgbClr val="808080"/>
                          </a:solidFill>
                        </a:ln>
                        <a:scene3d>
                          <a:camera prst="orthographicFront"/>
                          <a:lightRig rig="threePt" dir="t"/>
                        </a:scene3d>
                        <a:sp3d>
                          <a:bevelT prst="angle"/>
                        </a:sp3d>
                      </wps:spPr>
                      <wps:bodyPr rot="0">
                        <a:prstTxWarp prst="textNoShape">
                          <a:avLst/>
                        </a:prstTxWarp>
                        <a:noAutofit/>
                      </wps:bodyPr>
                    </wps:wsp>
                  </a:graphicData>
                </a:graphic>
              </wp:inline>
            </w:drawing>
          </mc:Choice>
          <mc:Fallback>
            <w:pict>
              <v:shape id="shape 5" o:spid="_x0000_s5" style="width:468.00pt;height:0.00pt;mso-wrap-distance-left:0.00pt;mso-wrap-distance-top:0.00pt;mso-wrap-distance-right:0.00pt;mso-wrap-distance-bottom:0.00pt;visibility:visible;" path="m0,0l13758333,0e" coordsize="100000,100000" filled="f" strokecolor="#808080" strokeweight="1.13pt">
                <v:path textboxrect="0,0,0,0"/>
              </v:shape>
            </w:pict>
          </mc:Fallback>
        </mc:AlternateContent>
      </w:r>
    </w:p>
    <w:p>
      <w:pPr>
        <w:pStyle w:val="text-11"/>
      </w:pPr>
      <w:r>
        <w:rPr>
          <w:rStyle w:val="text-11-c"/>
        </w:rPr>
        <w:t xml:space="preserve">第3段階 ― 試行構築期(19〜30か月目)</w:t>
      </w:r>
    </w:p>
    <w:p>
      <w:pPr>
        <w:pStyle w:val="text-8"/>
      </w:pPr>
      <w:r>
        <w:rPr>
          <w:rStyle w:val="text-8-c"/>
        </w:rPr>
        <w:t xml:space="preserve">目的:</w:t>
      </w:r>
      <w:r>
        <w:rPr>
          <w:rStyle w:val="text-12-c"/>
        </w:rPr>
        <w:t xml:space="preserve"> プロジェクトの小規模ながらも実機能版を構築し、機能する概念実証を実現する。</w:t>
      </w:r>
    </w:p>
    <w:p>
      <w:pPr>
        <w:pStyle w:val="text-5"/>
      </w:pPr>
      <w:r>
        <w:rPr>
          <w:rStyle w:val="text-5-c"/>
        </w:rPr>
        <w:t xml:space="preserve">試行範囲の提案</w:t>
      </w:r>
    </w:p>
    <w:p>
      <w:pPr>
        <w:pStyle w:val="text-93"/>
        <w:numPr>
          <w:ilvl w:val="0"/>
          <w:numId w:val="1"/>
        </w:numPr>
      </w:pPr>
      <w:r>
        <w:rPr>
          <w:rStyle w:val="text-93-c"/>
        </w:rPr>
        <w:t xml:space="preserve">林業</w:t>
      </w:r>
      <w:r>
        <w:rPr>
          <w:rStyle w:val="text-74-c"/>
        </w:rPr>
        <w:t xml:space="preserve">: 最初の5〜10ヘクタールの杉伐採と植林</w:t>
      </w:r>
    </w:p>
    <w:p>
      <w:pPr>
        <w:pStyle w:val="text-93"/>
        <w:numPr>
          <w:ilvl w:val="0"/>
          <w:numId w:val="1"/>
        </w:numPr>
      </w:pPr>
      <w:r>
        <w:rPr>
          <w:rStyle w:val="text-93-c"/>
        </w:rPr>
        <w:t xml:space="preserve">エネルギー</w:t>
      </w:r>
      <w:r>
        <w:rPr>
          <w:rStyle w:val="text-74-c"/>
        </w:rPr>
        <w:t xml:space="preserve">: 小型バイオマスボイラー + 熱回収(まずは熱利用のみ、発電は後回し。安価で高効率)</w:t>
      </w:r>
    </w:p>
    <w:p>
      <w:pPr>
        <w:pStyle w:val="text-93"/>
        <w:numPr>
          <w:ilvl w:val="0"/>
          <w:numId w:val="1"/>
        </w:numPr>
      </w:pPr>
      <w:r>
        <w:rPr>
          <w:rStyle w:val="text-93-c"/>
        </w:rPr>
        <w:t xml:space="preserve">建物</w:t>
      </w:r>
      <w:r>
        <w:rPr>
          <w:rStyle w:val="text-74-c"/>
        </w:rPr>
        <w:t xml:space="preserve">: 校舎の一棟を事務所と小規模サーバー室として改修</w:t>
      </w:r>
    </w:p>
    <w:p>
      <w:pPr>
        <w:pStyle w:val="text-93"/>
        <w:numPr>
          <w:ilvl w:val="0"/>
          <w:numId w:val="1"/>
        </w:numPr>
      </w:pPr>
      <w:r>
        <w:rPr>
          <w:rStyle w:val="text-93-c"/>
        </w:rPr>
        <w:t xml:space="preserve">データセンター</w:t>
      </w:r>
      <w:r>
        <w:rPr>
          <w:rStyle w:val="text-74-c"/>
        </w:rPr>
        <w:t xml:space="preserve">: 約10〜20台のサーバー、エッジコンピューティング重点</w:t>
      </w:r>
    </w:p>
    <w:p>
      <w:pPr>
        <w:pStyle w:val="text-93"/>
        <w:numPr>
          <w:ilvl w:val="0"/>
          <w:numId w:val="1"/>
        </w:numPr>
      </w:pPr>
      <w:r>
        <w:rPr>
          <w:rStyle w:val="text-93-c"/>
        </w:rPr>
        <w:t xml:space="preserve">EV充電</w:t>
      </w:r>
      <w:r>
        <w:rPr>
          <w:rStyle w:val="text-74-c"/>
        </w:rPr>
        <w:t xml:space="preserve">: 2〜4基の充電スタンドを村の目に見える便益として設置</w:t>
      </w:r>
    </w:p>
    <w:p>
      <w:pPr>
        <w:pStyle w:val="text-5"/>
      </w:pPr>
      <w:r>
        <w:rPr>
          <w:rStyle w:val="text-5-c"/>
        </w:rPr>
        <w:t xml:space="preserve">なぜ小さく始めるのか</w:t>
      </w:r>
    </w:p>
    <w:p>
      <w:pPr>
        <w:pStyle w:val="text-74"/>
        <w:numPr>
          <w:ilvl w:val="0"/>
          <w:numId w:val="1"/>
        </w:numPr>
      </w:pPr>
      <w:r>
        <w:rPr>
          <w:rStyle w:val="text-74-c"/>
        </w:rPr>
        <w:t xml:space="preserve">大規模投資前にフィージビリティを実証</w:t>
      </w:r>
    </w:p>
    <w:p>
      <w:pPr>
        <w:pStyle w:val="text-74"/>
        <w:numPr>
          <w:ilvl w:val="0"/>
          <w:numId w:val="1"/>
        </w:numPr>
      </w:pPr>
      <w:r>
        <w:rPr>
          <w:rStyle w:val="text-74-c"/>
        </w:rPr>
        <w:t xml:space="preserve">運営ノウハウの蓄積</w:t>
      </w:r>
    </w:p>
    <w:p>
      <w:pPr>
        <w:pStyle w:val="text-74"/>
        <w:numPr>
          <w:ilvl w:val="0"/>
          <w:numId w:val="1"/>
        </w:numPr>
      </w:pPr>
      <w:r>
        <w:rPr>
          <w:rStyle w:val="text-74-c"/>
        </w:rPr>
        <w:t xml:space="preserve">第4段階拡張のための助成金獲得に資する成功事例の創出</w:t>
      </w:r>
    </w:p>
    <w:p>
      <w:pPr>
        <w:pStyle w:val="text-74"/>
        <w:numPr>
          <w:ilvl w:val="0"/>
          <w:numId w:val="1"/>
        </w:numPr>
      </w:pPr>
      <w:r>
        <w:rPr>
          <w:rStyle w:val="text-74-c"/>
        </w:rPr>
        <w:t xml:space="preserve">主要要素が想定より困難と判明した際のリスク軽減</w:t>
      </w:r>
    </w:p>
    <w:p>
      <w:pPr>
        <w:jc w:val="center"/>
      </w:pPr>
      <w:r>
        <mc:AlternateContent>
          <mc:Choice Requires="wpg">
            <w:drawing>
              <wp:inline xmlns:wp="http://schemas.openxmlformats.org/drawingml/2006/wordprocessingDrawing" distT="0" distB="0" distL="0" distR="0">
                <wp:extent cx="5943600" cy="0"/>
                <wp:effectExtent l="0" t="0" r="0" b="0"/>
                <wp:docPr id="7" name="Line 7"/>
                <wp:cNvGraphicFramePr/>
                <a:graphic xmlns:a="http://schemas.openxmlformats.org/drawingml/2006/main">
                  <a:graphicData uri="http://schemas.microsoft.com/office/word/2010/wordprocessingShape">
                    <wps:wsp>
                      <wps:cNvPr id="0" name=""/>
                      <wps:cNvSpPr/>
                      <wps:spPr>
                        <a:xfrm>
                          <a:off x="0" y="0"/>
                          <a:ext cx="5943600" cy="0"/>
                        </a:xfrm>
                        <a:custGeom>
                          <a:avLst/>
                          <a:gdLst/>
                          <a:ahLst/>
                          <a:cxnLst/>
                          <a:rect l="0" t="0" r="r" b="b"/>
                          <a:pathLst>
                            <a:path>
                              <a:moveTo>
                                <a:pt x="0" y="0"/>
                              </a:moveTo>
                              <a:lnTo>
                                <a:pt x="5943600" y="0"/>
                              </a:lnTo>
                            </a:path>
                          </a:pathLst>
                        </a:custGeom>
                        <a:ln w="14288">
                          <a:solidFill>
                            <a:srgbClr val="808080"/>
                          </a:solidFill>
                        </a:ln>
                        <a:scene3d>
                          <a:camera prst="orthographicFront"/>
                          <a:lightRig rig="threePt" dir="t"/>
                        </a:scene3d>
                        <a:sp3d>
                          <a:bevelT prst="angle"/>
                        </a:sp3d>
                      </wps:spPr>
                      <wps:bodyPr rot="0">
                        <a:prstTxWarp prst="textNoShape">
                          <a:avLst/>
                        </a:prstTxWarp>
                        <a:noAutofit/>
                      </wps:bodyPr>
                    </wps:wsp>
                  </a:graphicData>
                </a:graphic>
              </wp:inline>
            </w:drawing>
          </mc:Choice>
          <mc:Fallback>
            <w:pict>
              <v:shape id="shape 6" o:spid="_x0000_s6" style="width:468.00pt;height:0.00pt;mso-wrap-distance-left:0.00pt;mso-wrap-distance-top:0.00pt;mso-wrap-distance-right:0.00pt;mso-wrap-distance-bottom:0.00pt;visibility:visible;" path="m0,0l13758333,0e" coordsize="100000,100000" filled="f" strokecolor="#808080" strokeweight="1.13pt">
                <v:path textboxrect="0,0,0,0"/>
              </v:shape>
            </w:pict>
          </mc:Fallback>
        </mc:AlternateContent>
      </w:r>
    </w:p>
    <w:p>
      <w:pPr>
        <w:pStyle w:val="text-11"/>
      </w:pPr>
      <w:r>
        <w:rPr>
          <w:rStyle w:val="text-11-c"/>
        </w:rPr>
        <w:t xml:space="preserve">第4段階 ― 運営・拡大期(31か月目以降)</w:t>
      </w:r>
    </w:p>
    <w:p>
      <w:pPr>
        <w:pStyle w:val="text-12"/>
      </w:pPr>
      <w:r>
        <w:rPr>
          <w:rStyle w:val="text-12-c"/>
        </w:rPr>
        <w:t xml:space="preserve">この段階で、プロジェクトは「建設」から「継続的な事業体」へと移行いたします。林業活動の拡大、データセンターの拡張、他村への展開、財務モデルの精緻化などが対象となります。詳細計画は第1段階の結果が出る2年目に策定いたします。</w:t>
      </w:r>
    </w:p>
    <w:p>
      <w:pPr>
        <w:jc w:val="center"/>
      </w:pPr>
      <w:r>
        <mc:AlternateContent>
          <mc:Choice Requires="wpg">
            <w:drawing>
              <wp:inline xmlns:wp="http://schemas.openxmlformats.org/drawingml/2006/wordprocessingDrawing" distT="0" distB="0" distL="0" distR="0">
                <wp:extent cx="5943600" cy="0"/>
                <wp:effectExtent l="0" t="0" r="0" b="0"/>
                <wp:docPr id="8" name="Line 8"/>
                <wp:cNvGraphicFramePr/>
                <a:graphic xmlns:a="http://schemas.openxmlformats.org/drawingml/2006/main">
                  <a:graphicData uri="http://schemas.microsoft.com/office/word/2010/wordprocessingShape">
                    <wps:wsp>
                      <wps:cNvPr id="0" name=""/>
                      <wps:cNvSpPr/>
                      <wps:spPr>
                        <a:xfrm>
                          <a:off x="0" y="0"/>
                          <a:ext cx="5943600" cy="0"/>
                        </a:xfrm>
                        <a:custGeom>
                          <a:avLst/>
                          <a:gdLst/>
                          <a:ahLst/>
                          <a:cxnLst/>
                          <a:rect l="0" t="0" r="r" b="b"/>
                          <a:pathLst>
                            <a:path>
                              <a:moveTo>
                                <a:pt x="0" y="0"/>
                              </a:moveTo>
                              <a:lnTo>
                                <a:pt x="5943600" y="0"/>
                              </a:lnTo>
                            </a:path>
                          </a:pathLst>
                        </a:custGeom>
                        <a:ln w="14288">
                          <a:solidFill>
                            <a:srgbClr val="808080"/>
                          </a:solidFill>
                        </a:ln>
                        <a:scene3d>
                          <a:camera prst="orthographicFront"/>
                          <a:lightRig rig="threePt" dir="t"/>
                        </a:scene3d>
                        <a:sp3d>
                          <a:bevelT prst="angle"/>
                        </a:sp3d>
                      </wps:spPr>
                      <wps:bodyPr rot="0">
                        <a:prstTxWarp prst="textNoShape">
                          <a:avLst/>
                        </a:prstTxWarp>
                        <a:noAutofit/>
                      </wps:bodyPr>
                    </wps:wsp>
                  </a:graphicData>
                </a:graphic>
              </wp:inline>
            </w:drawing>
          </mc:Choice>
          <mc:Fallback>
            <w:pict>
              <v:shape id="shape 7" o:spid="_x0000_s7" style="width:468.00pt;height:0.00pt;mso-wrap-distance-left:0.00pt;mso-wrap-distance-top:0.00pt;mso-wrap-distance-right:0.00pt;mso-wrap-distance-bottom:0.00pt;visibility:visible;" path="m0,0l13758333,0e" coordsize="100000,100000" filled="f" strokecolor="#808080" strokeweight="1.13pt">
                <v:path textboxrect="0,0,0,0"/>
              </v:shape>
            </w:pict>
          </mc:Fallback>
        </mc:AlternateContent>
      </w:r>
    </w:p>
    <w:p>
      <w:pPr>
        <w:pStyle w:val="text-11"/>
      </w:pPr>
      <w:r>
        <w:rPr>
          <w:rStyle w:val="text-11-c"/>
        </w:rPr>
        <w:t xml:space="preserve">資金調達戦略</w:t>
      </w:r>
    </w:p>
    <w:p>
      <w:pPr>
        <w:pStyle w:val="text-5"/>
      </w:pPr>
      <w:r>
        <w:rPr>
          <w:rStyle w:val="text-5-c"/>
        </w:rPr>
        <w:t xml:space="preserve">多層的アプローチ</w:t>
      </w:r>
    </w:p>
    <w:p>
      <w:pPr>
        <w:pStyle w:val="text-12"/>
      </w:pPr>
      <w:r>
        <w:rPr>
          <w:rStyle w:val="text-12-c"/>
        </w:rPr>
        <w:t xml:space="preserve">プロジェクトは</w:t>
      </w:r>
      <w:r>
        <w:rPr>
          <w:rStyle w:val="text-8-c"/>
        </w:rPr>
        <w:t xml:space="preserve">並行して複数の資金源を追求</w:t>
      </w:r>
      <w:r>
        <w:rPr>
          <w:rStyle w:val="text-12-c"/>
        </w:rPr>
        <w:t xml:space="preserve">し、単一の資金源に依存することは避けるべきです。</w:t>
      </w:r>
    </w:p>
    <w:p>
      <w:pPr>
        <w:pStyle w:val="text-91"/>
      </w:pPr>
      <w:r>
        <w:rPr>
          <w:rStyle w:val="text-91-c"/>
        </w:rPr>
        <w:t xml:space="preserve">第1層 ― 創設資本(第0〜1段階)</w:t>
      </w:r>
    </w:p>
    <w:p>
      <w:pPr>
        <w:pStyle w:val="text-93"/>
        <w:numPr>
          <w:ilvl w:val="0"/>
          <w:numId w:val="1"/>
        </w:numPr>
      </w:pPr>
      <w:r>
        <w:rPr>
          <w:rStyle w:val="text-93-c"/>
        </w:rPr>
        <w:t xml:space="preserve">自己資金・創設者拠出</w:t>
      </w:r>
      <w:r>
        <w:rPr>
          <w:rStyle w:val="text-74-c"/>
        </w:rPr>
        <w:t xml:space="preserve">: ¥50〜200万円</w:t>
      </w:r>
    </w:p>
    <w:p>
      <w:pPr>
        <w:pStyle w:val="text-93"/>
        <w:numPr>
          <w:ilvl w:val="0"/>
          <w:numId w:val="1"/>
        </w:numPr>
      </w:pPr>
      <w:r>
        <w:rPr>
          <w:rStyle w:val="text-93-c"/>
        </w:rPr>
        <w:t xml:space="preserve">友人・知人・顧問支援</w:t>
      </w:r>
      <w:r>
        <w:rPr>
          <w:rStyle w:val="text-74-c"/>
        </w:rPr>
        <w:t xml:space="preserve">: ¥100〜300万円</w:t>
      </w:r>
    </w:p>
    <w:p>
      <w:pPr>
        <w:pStyle w:val="text-93"/>
        <w:numPr>
          <w:ilvl w:val="0"/>
          <w:numId w:val="1"/>
        </w:numPr>
      </w:pPr>
      <w:r>
        <w:rPr>
          <w:rStyle w:val="text-93-c"/>
        </w:rPr>
        <w:t xml:space="preserve">小規模個人寄附</w:t>
      </w:r>
      <w:r>
        <w:rPr>
          <w:rStyle w:val="text-74-c"/>
        </w:rPr>
        <w:t xml:space="preserve">: ¥100〜300万円</w:t>
      </w:r>
    </w:p>
    <w:p>
      <w:pPr>
        <w:pStyle w:val="text-91"/>
      </w:pPr>
      <w:r>
        <w:rPr>
          <w:rStyle w:val="text-91-c"/>
        </w:rPr>
        <w:t xml:space="preserve">第2層 ― 政府助成金(第1〜2段階)</w:t>
      </w:r>
    </w:p>
    <w:p>
      <w:pPr>
        <w:pStyle w:val="text-8"/>
      </w:pPr>
      <w:r>
        <w:rPr>
          <w:rStyle w:val="text-8-c"/>
        </w:rPr>
        <w:t xml:space="preserve">関連性の高い主要プログラム:</w:t>
      </w:r>
    </w:p>
    <w:p>
      <w:pPr>
        <w:pStyle w:val="text-93"/>
        <w:numPr>
          <w:ilvl w:val="0"/>
          <w:numId w:val="1"/>
        </w:numPr>
      </w:pPr>
      <w:r>
        <w:rPr>
          <w:rStyle w:val="text-93-c"/>
        </w:rPr>
        <w:t xml:space="preserve">地方創生関係交付金</w:t>
      </w:r>
      <w:r>
        <w:rPr>
          <w:rStyle w:val="text-74-c"/>
        </w:rPr>
        <w:t xml:space="preserve"> ― 内閣府所管。雇用創出と農村過疎抑制を目的とする事業向け。通常1件あたり¥500〜5,000万円。</w:t>
      </w:r>
    </w:p>
    <w:p>
      <w:pPr>
        <w:pStyle w:val="text-93"/>
        <w:numPr>
          <w:ilvl w:val="0"/>
          <w:numId w:val="1"/>
        </w:numPr>
      </w:pPr>
      <w:r>
        <w:rPr>
          <w:rStyle w:val="text-93-c"/>
        </w:rPr>
        <w:t xml:space="preserve">林野庁助成金</w:t>
      </w:r>
      <w:r>
        <w:rPr>
          <w:rStyle w:val="text-74-c"/>
        </w:rPr>
        <w:t xml:space="preserve"> ― 在来種森林再生、杉転換、林道インフラ向け</w:t>
      </w:r>
    </w:p>
    <w:p>
      <w:pPr>
        <w:pStyle w:val="text-93"/>
        <w:numPr>
          <w:ilvl w:val="0"/>
          <w:numId w:val="1"/>
        </w:numPr>
      </w:pPr>
      <w:r>
        <w:rPr>
          <w:rStyle w:val="text-93-c"/>
        </w:rPr>
        <w:t xml:space="preserve">NEDO助成金</w:t>
      </w:r>
      <w:r>
        <w:rPr>
          <w:rStyle w:val="text-74-c"/>
        </w:rPr>
        <w:t xml:space="preserve"> ― 新エネルギー・産業技術総合開発機構による再生可能エネルギーR&amp;D</w:t>
      </w:r>
    </w:p>
    <w:p>
      <w:pPr>
        <w:pStyle w:val="text-93"/>
        <w:numPr>
          <w:ilvl w:val="0"/>
          <w:numId w:val="1"/>
        </w:numPr>
      </w:pPr>
      <w:r>
        <w:rPr>
          <w:rStyle w:val="text-93-c"/>
        </w:rPr>
        <w:t xml:space="preserve">METI(経済産業省)グリーン技術助成金</w:t>
      </w:r>
      <w:r>
        <w:rPr>
          <w:rStyle w:val="text-74-c"/>
        </w:rPr>
        <w:t xml:space="preserve"> ― バイオマスおよび革新的エネルギー事業向け</w:t>
      </w:r>
    </w:p>
    <w:p>
      <w:pPr>
        <w:pStyle w:val="text-93"/>
        <w:numPr>
          <w:ilvl w:val="0"/>
          <w:numId w:val="1"/>
        </w:numPr>
      </w:pPr>
      <w:r>
        <w:rPr>
          <w:rStyle w:val="text-93-c"/>
        </w:rPr>
        <w:t xml:space="preserve">奈良県地域振興助成金</w:t>
      </w:r>
      <w:r>
        <w:rPr>
          <w:rStyle w:val="text-74-c"/>
        </w:rPr>
        <w:t xml:space="preserve"> ― 年度ごとに変動。奈良県地域創造課に確認</w:t>
      </w:r>
    </w:p>
    <w:p>
      <w:pPr>
        <w:pStyle w:val="text-93"/>
        <w:numPr>
          <w:ilvl w:val="0"/>
          <w:numId w:val="1"/>
        </w:numPr>
      </w:pPr>
      <w:r>
        <w:rPr>
          <w:rStyle w:val="text-93-c"/>
        </w:rPr>
        <w:t xml:space="preserve">御杖村独自の補助金</w:t>
      </w:r>
      <w:r>
        <w:rPr>
          <w:rStyle w:val="text-74-c"/>
        </w:rPr>
        <w:t xml:space="preserve"> ― 金額は小規模ながら政治的に意義あり</w:t>
      </w:r>
    </w:p>
    <w:p>
      <w:pPr>
        <w:pStyle w:val="text-8"/>
      </w:pPr>
      <w:r>
        <w:rPr>
          <w:rStyle w:val="text-8-c"/>
        </w:rPr>
        <w:t xml:space="preserve">推奨:</w:t>
      </w:r>
      <w:r>
        <w:rPr>
          <w:rStyle w:val="text-12-c"/>
        </w:rPr>
        <w:t xml:space="preserve"> 助成金申請に経験のある</w:t>
      </w:r>
      <w:r>
        <w:rPr>
          <w:rStyle w:val="text-8-c"/>
        </w:rPr>
        <w:t xml:space="preserve">行政書士</w:t>
      </w:r>
      <w:r>
        <w:rPr>
          <w:rStyle w:val="text-12-c"/>
        </w:rPr>
        <w:t xml:space="preserve">を起用すること。費用: 申請1件あたり¥20〜50万円。日本の政府助成金申請は要求水準が極めて高く、この投資は十分に元が取れます。</w:t>
      </w:r>
    </w:p>
    <w:p>
      <w:pPr>
        <w:pStyle w:val="text-91"/>
      </w:pPr>
      <w:r>
        <w:rPr>
          <w:rStyle w:val="text-91-c"/>
        </w:rPr>
        <w:t xml:space="preserve">第3層 ― 財団・フィランソロピー</w:t>
      </w:r>
    </w:p>
    <w:p>
      <w:pPr>
        <w:pStyle w:val="text-93"/>
        <w:numPr>
          <w:ilvl w:val="0"/>
          <w:numId w:val="1"/>
        </w:numPr>
      </w:pPr>
      <w:r>
        <w:rPr>
          <w:rStyle w:val="text-93-c"/>
        </w:rPr>
        <w:t xml:space="preserve">日本財団</w:t>
      </w:r>
      <w:r>
        <w:rPr>
          <w:rStyle w:val="text-74-c"/>
        </w:rPr>
        <w:t xml:space="preserve"> ― アジア最大級の社会課題助成団体</w:t>
      </w:r>
    </w:p>
    <w:p>
      <w:pPr>
        <w:pStyle w:val="text-93"/>
        <w:numPr>
          <w:ilvl w:val="0"/>
          <w:numId w:val="1"/>
        </w:numPr>
      </w:pPr>
      <w:r>
        <w:rPr>
          <w:rStyle w:val="text-93-c"/>
        </w:rPr>
        <w:t xml:space="preserve">地球環境基金</w:t>
      </w:r>
      <w:r>
        <w:rPr>
          <w:rStyle w:val="text-74-c"/>
        </w:rPr>
        <w:t xml:space="preserve"> ― 環境保全助成金</w:t>
      </w:r>
    </w:p>
    <w:p>
      <w:pPr>
        <w:pStyle w:val="text-93"/>
        <w:numPr>
          <w:ilvl w:val="0"/>
          <w:numId w:val="1"/>
        </w:numPr>
      </w:pPr>
      <w:r>
        <w:rPr>
          <w:rStyle w:val="text-93-c"/>
        </w:rPr>
        <w:t xml:space="preserve">国際交流基金グローバル・パートナーシップ助成金</w:t>
      </w:r>
      <w:r>
        <w:rPr>
          <w:rStyle w:val="text-74-c"/>
        </w:rPr>
        <w:t xml:space="preserve"> ― 農村再生、AI、グリーンテック</w:t>
      </w:r>
    </w:p>
    <w:p>
      <w:pPr>
        <w:pStyle w:val="text-93"/>
        <w:numPr>
          <w:ilvl w:val="0"/>
          <w:numId w:val="1"/>
        </w:numPr>
      </w:pPr>
      <w:r>
        <w:rPr>
          <w:rStyle w:val="text-93-c"/>
        </w:rPr>
        <w:t xml:space="preserve">トヨタ財団</w:t>
      </w:r>
      <w:r>
        <w:rPr>
          <w:rStyle w:val="text-74-c"/>
        </w:rPr>
        <w:t xml:space="preserve"> ― 地域・農村事業</w:t>
      </w:r>
    </w:p>
    <w:p>
      <w:pPr>
        <w:pStyle w:val="text-93"/>
        <w:numPr>
          <w:ilvl w:val="0"/>
          <w:numId w:val="1"/>
        </w:numPr>
      </w:pPr>
      <w:r>
        <w:rPr>
          <w:rStyle w:val="text-93-c"/>
        </w:rPr>
        <w:t xml:space="preserve">国際財団</w:t>
      </w:r>
      <w:r>
        <w:rPr>
          <w:rStyle w:val="text-74-c"/>
        </w:rPr>
        <w:t xml:space="preserve">: マッカーサー財団、ロックフェラー財団(可能性は低いが、伊藤穰一氏のネットワーク経由で開ける可能性あり)</w:t>
      </w:r>
    </w:p>
    <w:p>
      <w:pPr>
        <w:pStyle w:val="text-91"/>
      </w:pPr>
      <w:r>
        <w:rPr>
          <w:rStyle w:val="text-91-c"/>
        </w:rPr>
        <w:t xml:space="preserve">第4層 ― 企業提携</w:t>
      </w:r>
    </w:p>
    <w:p>
      <w:pPr>
        <w:pStyle w:val="text-93"/>
        <w:numPr>
          <w:ilvl w:val="0"/>
          <w:numId w:val="1"/>
        </w:numPr>
      </w:pPr>
      <w:r>
        <w:rPr>
          <w:rStyle w:val="text-93-c"/>
        </w:rPr>
        <w:t xml:space="preserve">日本進出オランダ企業</w:t>
      </w:r>
      <w:r>
        <w:rPr>
          <w:rStyle w:val="text-74-c"/>
        </w:rPr>
        <w:t xml:space="preserve">: フィリップス、ASML、ハイネケン、Royal HaskoningDHV(水管理専門)、Arcadis</w:t>
      </w:r>
    </w:p>
    <w:p>
      <w:pPr>
        <w:pStyle w:val="text-93"/>
        <w:numPr>
          <w:ilvl w:val="0"/>
          <w:numId w:val="1"/>
        </w:numPr>
      </w:pPr>
      <w:r>
        <w:rPr>
          <w:rStyle w:val="text-93-c"/>
        </w:rPr>
        <w:t xml:space="preserve">日本のテック企業</w:t>
      </w:r>
      <w:r>
        <w:rPr>
          <w:rStyle w:val="text-74-c"/>
        </w:rPr>
        <w:t xml:space="preserve">: ソフトバンク、NTT(データセンター・通信)、日立</w:t>
      </w:r>
    </w:p>
    <w:p>
      <w:pPr>
        <w:pStyle w:val="text-93"/>
        <w:numPr>
          <w:ilvl w:val="0"/>
          <w:numId w:val="1"/>
        </w:numPr>
      </w:pPr>
      <w:r>
        <w:rPr>
          <w:rStyle w:val="text-93-c"/>
        </w:rPr>
        <w:t xml:space="preserve">林業関連</w:t>
      </w:r>
      <w:r>
        <w:rPr>
          <w:rStyle w:val="text-74-c"/>
        </w:rPr>
        <w:t xml:space="preserve">: 住友林業、三井物産</w:t>
      </w:r>
    </w:p>
    <w:p>
      <w:pPr>
        <w:pStyle w:val="text-93"/>
        <w:numPr>
          <w:ilvl w:val="0"/>
          <w:numId w:val="1"/>
        </w:numPr>
      </w:pPr>
      <w:r>
        <w:rPr>
          <w:rStyle w:val="text-93-c"/>
        </w:rPr>
        <w:t xml:space="preserve">アプローチ</w:t>
      </w:r>
      <w:r>
        <w:rPr>
          <w:rStyle w:val="text-74-c"/>
        </w:rPr>
        <w:t xml:space="preserve">: 純粋な寄附ではなく、CSR・サステナビリティ投資として位置付け</w:t>
      </w:r>
    </w:p>
    <w:p>
      <w:pPr>
        <w:pStyle w:val="text-91"/>
      </w:pPr>
      <w:r>
        <w:rPr>
          <w:rStyle w:val="text-91-c"/>
        </w:rPr>
        <w:t xml:space="preserve">第5層 ― 自己収入(第3段階以降)</w:t>
      </w:r>
    </w:p>
    <w:p>
      <w:pPr>
        <w:pStyle w:val="text-74"/>
        <w:numPr>
          <w:ilvl w:val="0"/>
          <w:numId w:val="1"/>
        </w:numPr>
      </w:pPr>
      <w:r>
        <w:rPr>
          <w:rStyle w:val="text-74-c"/>
        </w:rPr>
        <w:t xml:space="preserve">データセンターホスティング料</w:t>
      </w:r>
    </w:p>
    <w:p>
      <w:pPr>
        <w:pStyle w:val="text-74"/>
        <w:numPr>
          <w:ilvl w:val="0"/>
          <w:numId w:val="1"/>
        </w:numPr>
      </w:pPr>
      <w:r>
        <w:rPr>
          <w:rStyle w:val="text-74-c"/>
        </w:rPr>
        <w:t xml:space="preserve">売電収入(FIT登録の場合)</w:t>
      </w:r>
    </w:p>
    <w:p>
      <w:pPr>
        <w:pStyle w:val="text-74"/>
        <w:numPr>
          <w:ilvl w:val="0"/>
          <w:numId w:val="1"/>
        </w:numPr>
      </w:pPr>
      <w:r>
        <w:rPr>
          <w:rStyle w:val="text-74-c"/>
        </w:rPr>
        <w:t xml:space="preserve">温室・地域への熱供給</w:t>
      </w:r>
    </w:p>
    <w:p>
      <w:pPr>
        <w:pStyle w:val="text-74"/>
        <w:numPr>
          <w:ilvl w:val="0"/>
          <w:numId w:val="1"/>
        </w:numPr>
      </w:pPr>
      <w:r>
        <w:rPr>
          <w:rStyle w:val="text-74-c"/>
        </w:rPr>
        <w:t xml:space="preserve">EV充電料金</w:t>
      </w:r>
    </w:p>
    <w:p>
      <w:pPr>
        <w:pStyle w:val="text-74"/>
        <w:numPr>
          <w:ilvl w:val="0"/>
          <w:numId w:val="1"/>
        </w:numPr>
      </w:pPr>
      <w:r>
        <w:rPr>
          <w:rStyle w:val="text-74-c"/>
        </w:rPr>
        <w:t xml:space="preserve">炭素クレジット(J-Credit認証)</w:t>
      </w:r>
    </w:p>
    <w:p>
      <w:pPr>
        <w:pStyle w:val="text-74"/>
        <w:numPr>
          <w:ilvl w:val="0"/>
          <w:numId w:val="1"/>
        </w:numPr>
      </w:pPr>
      <w:r>
        <w:rPr>
          <w:rStyle w:val="text-74-c"/>
        </w:rPr>
        <w:t xml:space="preserve">バイオマス以外の林産物(用材、製材)</w:t>
      </w:r>
    </w:p>
    <w:p>
      <w:pPr>
        <w:pStyle w:val="text-74"/>
        <w:numPr>
          <w:ilvl w:val="0"/>
          <w:numId w:val="1"/>
        </w:numPr>
      </w:pPr>
      <w:r>
        <w:rPr>
          <w:rStyle w:val="text-74-c"/>
        </w:rPr>
        <w:t xml:space="preserve">教育観光・コンサルティング(「手引き」の共有)</w:t>
      </w:r>
    </w:p>
    <w:p>
      <w:pPr>
        <w:pStyle w:val="text-5"/>
      </w:pPr>
      <w:r>
        <w:rPr>
          <w:rStyle w:val="text-5-c"/>
        </w:rPr>
        <w:t xml:space="preserve">最初の3年間の現実的な資金シナリオ</w:t>
      </w:r>
    </w:p>
    <w:tbl>
      <w:tblPr>
        <w:tblW w:w="5000" w:type="pct"/>
        <w:tblCellMar>
          <w:left w:w="15" w:type="dxa"/>
          <w:top w:w="15" w:type="dxa"/>
          <w:right w:w="15" w:type="dxa"/>
          <w:bottom w:w="15" w:type="dxa"/>
        </w:tblCellMar>
        <w:tblLook w:val="04A0" w:firstRow="1" w:lastRow="0" w:firstColumn="1" w:lastColumn="0" w:noHBand="0" w:noVBand="1"/>
      </w:tblPr>
      <w:tr>
        <w:tc>
          <w:tcPr>
            <w:tcW w:w="0" w:type="auto"/>
            <w:tcBorders>
              <w:bottom w:val="single" w:color="dddddd" w:sz="12" w:space="0"/>
            </w:tcBorders>
            <w:vAlign w:val="center"/>
            <w:hideMark/>
          </w:tcPr>
          <w:p>
            <w:pPr>
              <w:pStyle w:val="text-23"/>
            </w:pPr>
            <w:r>
              <w:rPr>
                <w:rStyle w:val="text-23-c"/>
              </w:rPr>
              <w:t xml:space="preserve">資金源</w:t>
            </w:r>
          </w:p>
        </w:tc>
        <w:tc>
          <w:tcPr>
            <w:tcW w:w="0" w:type="auto"/>
            <w:tcBorders>
              <w:bottom w:val="single" w:color="dddddd" w:sz="12" w:space="0"/>
            </w:tcBorders>
            <w:vAlign w:val="center"/>
            <w:hideMark/>
          </w:tcPr>
          <w:p>
            <w:pPr>
              <w:pStyle w:val="text-23"/>
            </w:pPr>
            <w:r>
              <w:rPr>
                <w:rStyle w:val="text-23-c"/>
              </w:rPr>
              <w:t xml:space="preserve">1年目</w:t>
            </w:r>
          </w:p>
        </w:tc>
        <w:tc>
          <w:tcPr>
            <w:tcW w:w="0" w:type="auto"/>
            <w:tcBorders>
              <w:bottom w:val="single" w:color="dddddd" w:sz="12" w:space="0"/>
            </w:tcBorders>
            <w:vAlign w:val="center"/>
            <w:hideMark/>
          </w:tcPr>
          <w:p>
            <w:pPr>
              <w:pStyle w:val="text-23"/>
            </w:pPr>
            <w:r>
              <w:rPr>
                <w:rStyle w:val="text-23-c"/>
              </w:rPr>
              <w:t xml:space="preserve">2年目</w:t>
            </w:r>
          </w:p>
        </w:tc>
        <w:tc>
          <w:tcPr>
            <w:tcW w:w="0" w:type="auto"/>
            <w:tcBorders>
              <w:bottom w:val="single" w:color="dddddd" w:sz="12" w:space="0"/>
            </w:tcBorders>
            <w:vAlign w:val="center"/>
            <w:hideMark/>
          </w:tcPr>
          <w:p>
            <w:pPr>
              <w:pStyle w:val="text-23"/>
            </w:pPr>
            <w:r>
              <w:rPr>
                <w:rStyle w:val="text-23-c"/>
              </w:rPr>
              <w:t xml:space="preserve">3年目</w:t>
            </w:r>
          </w:p>
        </w:tc>
      </w:tr>
      <w:tr>
        <w:tc>
          <w:tcPr>
            <w:tcW w:w="0" w:type="auto"/>
            <w:tcBorders>
              <w:top w:val="single" w:color="dddddd" w:sz="6" w:space="0"/>
            </w:tcBorders>
            <w:vAlign w:val="center"/>
            <w:hideMark/>
          </w:tcPr>
          <w:p>
            <w:pPr>
              <w:pStyle w:val="text-30"/>
            </w:pPr>
            <w:r>
              <w:rPr>
                <w:rStyle w:val="text-30-c"/>
              </w:rPr>
              <w:t xml:space="preserve">創設者・個人</w:t>
            </w:r>
          </w:p>
        </w:tc>
        <w:tc>
          <w:tcPr>
            <w:tcW w:w="0" w:type="auto"/>
            <w:tcBorders>
              <w:top w:val="single" w:color="dddddd" w:sz="6" w:space="0"/>
            </w:tcBorders>
            <w:vAlign w:val="center"/>
            <w:hideMark/>
          </w:tcPr>
          <w:p>
            <w:pPr>
              <w:pStyle w:val="text-30"/>
            </w:pPr>
            <w:r>
              <w:rPr>
                <w:rStyle w:val="text-30-c"/>
              </w:rPr>
              <w:t xml:space="preserve">¥300万</w:t>
            </w:r>
          </w:p>
        </w:tc>
        <w:tc>
          <w:tcPr>
            <w:tcW w:w="0" w:type="auto"/>
            <w:tcBorders>
              <w:top w:val="single" w:color="dddddd" w:sz="6" w:space="0"/>
            </w:tcBorders>
            <w:vAlign w:val="center"/>
            <w:hideMark/>
          </w:tcPr>
          <w:p>
            <w:pPr>
              <w:pStyle w:val="text-30"/>
            </w:pPr>
            <w:r>
              <w:rPr>
                <w:rStyle w:val="text-30-c"/>
              </w:rPr>
              <w:t xml:space="preserve">¥200万</w:t>
            </w:r>
          </w:p>
        </w:tc>
        <w:tc>
          <w:tcPr>
            <w:tcW w:w="0" w:type="auto"/>
            <w:tcBorders>
              <w:top w:val="single" w:color="dddddd" w:sz="6" w:space="0"/>
            </w:tcBorders>
            <w:vAlign w:val="center"/>
            <w:hideMark/>
          </w:tcPr>
          <w:p>
            <w:pPr>
              <w:pStyle w:val="text-30"/>
            </w:pPr>
            <w:r>
              <w:rPr>
                <w:rStyle w:val="text-30-c"/>
              </w:rPr>
              <w:t xml:space="preserve">¥100万</w:t>
            </w:r>
          </w:p>
        </w:tc>
      </w:tr>
      <w:tr>
        <w:tc>
          <w:tcPr>
            <w:tcW w:w="0" w:type="auto"/>
            <w:tcBorders>
              <w:top w:val="single" w:color="dddddd" w:sz="6" w:space="0"/>
            </w:tcBorders>
            <w:vAlign w:val="center"/>
            <w:hideMark/>
          </w:tcPr>
          <w:p>
            <w:pPr>
              <w:pStyle w:val="text-30"/>
            </w:pPr>
            <w:r>
              <w:rPr>
                <w:rStyle w:val="text-30-c"/>
              </w:rPr>
              <w:t xml:space="preserve">政府助成金</w:t>
            </w:r>
          </w:p>
        </w:tc>
        <w:tc>
          <w:tcPr>
            <w:tcW w:w="0" w:type="auto"/>
            <w:tcBorders>
              <w:top w:val="single" w:color="dddddd" w:sz="6" w:space="0"/>
            </w:tcBorders>
            <w:vAlign w:val="center"/>
            <w:hideMark/>
          </w:tcPr>
          <w:p>
            <w:pPr>
              <w:pStyle w:val="text-30"/>
            </w:pPr>
            <w:r>
              <w:rPr>
                <w:rStyle w:val="text-30-c"/>
              </w:rPr>
              <w:t xml:space="preserve">¥500万</w:t>
            </w:r>
          </w:p>
        </w:tc>
        <w:tc>
          <w:tcPr>
            <w:tcW w:w="0" w:type="auto"/>
            <w:tcBorders>
              <w:top w:val="single" w:color="dddddd" w:sz="6" w:space="0"/>
            </w:tcBorders>
            <w:vAlign w:val="center"/>
            <w:hideMark/>
          </w:tcPr>
          <w:p>
            <w:pPr>
              <w:pStyle w:val="text-30"/>
            </w:pPr>
            <w:r>
              <w:rPr>
                <w:rStyle w:val="text-30-c"/>
              </w:rPr>
              <w:t xml:space="preserve">¥3,000万</w:t>
            </w:r>
          </w:p>
        </w:tc>
        <w:tc>
          <w:tcPr>
            <w:tcW w:w="0" w:type="auto"/>
            <w:tcBorders>
              <w:top w:val="single" w:color="dddddd" w:sz="6" w:space="0"/>
            </w:tcBorders>
            <w:vAlign w:val="center"/>
            <w:hideMark/>
          </w:tcPr>
          <w:p>
            <w:pPr>
              <w:pStyle w:val="text-30"/>
            </w:pPr>
            <w:r>
              <w:rPr>
                <w:rStyle w:val="text-30-c"/>
              </w:rPr>
              <w:t xml:space="preserve">¥8,000万</w:t>
            </w:r>
          </w:p>
        </w:tc>
      </w:tr>
      <w:tr>
        <w:tc>
          <w:tcPr>
            <w:tcW w:w="0" w:type="auto"/>
            <w:tcBorders>
              <w:top w:val="single" w:color="dddddd" w:sz="6" w:space="0"/>
            </w:tcBorders>
            <w:vAlign w:val="center"/>
            <w:hideMark/>
          </w:tcPr>
          <w:p>
            <w:pPr>
              <w:pStyle w:val="text-30"/>
            </w:pPr>
            <w:r>
              <w:rPr>
                <w:rStyle w:val="text-30-c"/>
              </w:rPr>
              <w:t xml:space="preserve">財団</w:t>
            </w:r>
          </w:p>
        </w:tc>
        <w:tc>
          <w:tcPr>
            <w:tcW w:w="0" w:type="auto"/>
            <w:tcBorders>
              <w:top w:val="single" w:color="dddddd" w:sz="6" w:space="0"/>
            </w:tcBorders>
            <w:vAlign w:val="center"/>
            <w:hideMark/>
          </w:tcPr>
          <w:p>
            <w:pPr>
              <w:pStyle w:val="text-30"/>
            </w:pPr>
            <w:r>
              <w:rPr>
                <w:rStyle w:val="text-30-c"/>
              </w:rPr>
              <w:t xml:space="preserve">¥300万</w:t>
            </w:r>
          </w:p>
        </w:tc>
        <w:tc>
          <w:tcPr>
            <w:tcW w:w="0" w:type="auto"/>
            <w:tcBorders>
              <w:top w:val="single" w:color="dddddd" w:sz="6" w:space="0"/>
            </w:tcBorders>
            <w:vAlign w:val="center"/>
            <w:hideMark/>
          </w:tcPr>
          <w:p>
            <w:pPr>
              <w:pStyle w:val="text-30"/>
            </w:pPr>
            <w:r>
              <w:rPr>
                <w:rStyle w:val="text-30-c"/>
              </w:rPr>
              <w:t xml:space="preserve">¥1,000万</w:t>
            </w:r>
          </w:p>
        </w:tc>
        <w:tc>
          <w:tcPr>
            <w:tcW w:w="0" w:type="auto"/>
            <w:tcBorders>
              <w:top w:val="single" w:color="dddddd" w:sz="6" w:space="0"/>
            </w:tcBorders>
            <w:vAlign w:val="center"/>
            <w:hideMark/>
          </w:tcPr>
          <w:p>
            <w:pPr>
              <w:pStyle w:val="text-30"/>
            </w:pPr>
            <w:r>
              <w:rPr>
                <w:rStyle w:val="text-30-c"/>
              </w:rPr>
              <w:t xml:space="preserve">¥2,000万</w:t>
            </w:r>
          </w:p>
        </w:tc>
      </w:tr>
      <w:tr>
        <w:tc>
          <w:tcPr>
            <w:tcW w:w="0" w:type="auto"/>
            <w:tcBorders>
              <w:top w:val="single" w:color="dddddd" w:sz="6" w:space="0"/>
            </w:tcBorders>
            <w:vAlign w:val="center"/>
            <w:hideMark/>
          </w:tcPr>
          <w:p>
            <w:pPr>
              <w:pStyle w:val="text-30"/>
            </w:pPr>
            <w:r>
              <w:rPr>
                <w:rStyle w:val="text-30-c"/>
              </w:rPr>
              <w:t xml:space="preserve">企業提携</w:t>
            </w:r>
          </w:p>
        </w:tc>
        <w:tc>
          <w:tcPr>
            <w:tcW w:w="0" w:type="auto"/>
            <w:tcBorders>
              <w:top w:val="single" w:color="dddddd" w:sz="6" w:space="0"/>
            </w:tcBorders>
            <w:vAlign w:val="center"/>
            <w:hideMark/>
          </w:tcPr>
          <w:p>
            <w:pPr>
              <w:pStyle w:val="text-30"/>
            </w:pPr>
            <w:r>
              <w:rPr>
                <w:rStyle w:val="text-30-c"/>
              </w:rPr>
              <w:t xml:space="preserve">¥0</w:t>
            </w:r>
          </w:p>
        </w:tc>
        <w:tc>
          <w:tcPr>
            <w:tcW w:w="0" w:type="auto"/>
            <w:tcBorders>
              <w:top w:val="single" w:color="dddddd" w:sz="6" w:space="0"/>
            </w:tcBorders>
            <w:vAlign w:val="center"/>
            <w:hideMark/>
          </w:tcPr>
          <w:p>
            <w:pPr>
              <w:pStyle w:val="text-30"/>
            </w:pPr>
            <w:r>
              <w:rPr>
                <w:rStyle w:val="text-30-c"/>
              </w:rPr>
              <w:t xml:space="preserve">¥500万</w:t>
            </w:r>
          </w:p>
        </w:tc>
        <w:tc>
          <w:tcPr>
            <w:tcW w:w="0" w:type="auto"/>
            <w:tcBorders>
              <w:top w:val="single" w:color="dddddd" w:sz="6" w:space="0"/>
            </w:tcBorders>
            <w:vAlign w:val="center"/>
            <w:hideMark/>
          </w:tcPr>
          <w:p>
            <w:pPr>
              <w:pStyle w:val="text-30"/>
            </w:pPr>
            <w:r>
              <w:rPr>
                <w:rStyle w:val="text-30-c"/>
              </w:rPr>
              <w:t xml:space="preserve">¥3,000万</w:t>
            </w:r>
          </w:p>
        </w:tc>
      </w:tr>
      <w:tr>
        <w:tc>
          <w:tcPr>
            <w:tcW w:w="0" w:type="auto"/>
            <w:tcBorders>
              <w:top w:val="single" w:color="dddddd" w:sz="6" w:space="0"/>
            </w:tcBorders>
            <w:vAlign w:val="center"/>
            <w:hideMark/>
          </w:tcPr>
          <w:p>
            <w:pPr>
              <w:pStyle w:val="text-30"/>
            </w:pPr>
            <w:r>
              <w:rPr>
                <w:rStyle w:val="text-30-c"/>
              </w:rPr>
              <w:t xml:space="preserve">自己収入</w:t>
            </w:r>
          </w:p>
        </w:tc>
        <w:tc>
          <w:tcPr>
            <w:tcW w:w="0" w:type="auto"/>
            <w:tcBorders>
              <w:top w:val="single" w:color="dddddd" w:sz="6" w:space="0"/>
            </w:tcBorders>
            <w:vAlign w:val="center"/>
            <w:hideMark/>
          </w:tcPr>
          <w:p>
            <w:pPr>
              <w:pStyle w:val="text-30"/>
            </w:pPr>
            <w:r>
              <w:rPr>
                <w:rStyle w:val="text-30-c"/>
              </w:rPr>
              <w:t xml:space="preserve">¥0</w:t>
            </w:r>
          </w:p>
        </w:tc>
        <w:tc>
          <w:tcPr>
            <w:tcW w:w="0" w:type="auto"/>
            <w:tcBorders>
              <w:top w:val="single" w:color="dddddd" w:sz="6" w:space="0"/>
            </w:tcBorders>
            <w:vAlign w:val="center"/>
            <w:hideMark/>
          </w:tcPr>
          <w:p>
            <w:pPr>
              <w:pStyle w:val="text-30"/>
            </w:pPr>
            <w:r>
              <w:rPr>
                <w:rStyle w:val="text-30-c"/>
              </w:rPr>
              <w:t xml:space="preserve">¥0</w:t>
            </w:r>
          </w:p>
        </w:tc>
        <w:tc>
          <w:tcPr>
            <w:tcW w:w="0" w:type="auto"/>
            <w:tcBorders>
              <w:top w:val="single" w:color="dddddd" w:sz="6" w:space="0"/>
            </w:tcBorders>
            <w:vAlign w:val="center"/>
            <w:hideMark/>
          </w:tcPr>
          <w:p>
            <w:pPr>
              <w:pStyle w:val="text-30"/>
            </w:pPr>
            <w:r>
              <w:rPr>
                <w:rStyle w:val="text-30-c"/>
              </w:rPr>
              <w:t xml:space="preserve">¥300万</w:t>
            </w:r>
          </w:p>
        </w:tc>
      </w:tr>
      <w:tr>
        <w:tc>
          <w:tcPr>
            <w:tcW w:w="0" w:type="auto"/>
            <w:tcBorders>
              <w:top w:val="single" w:color="dddddd" w:sz="6" w:space="0"/>
            </w:tcBorders>
            <w:vAlign w:val="center"/>
            <w:hideMark/>
          </w:tcPr>
          <w:p>
            <w:pPr>
              <w:pStyle w:val="text-306"/>
            </w:pPr>
            <w:r>
              <w:rPr>
                <w:rStyle w:val="text-306-c"/>
              </w:rPr>
              <w:t xml:space="preserve">合計</w:t>
            </w:r>
          </w:p>
        </w:tc>
        <w:tc>
          <w:tcPr>
            <w:tcW w:w="0" w:type="auto"/>
            <w:tcBorders>
              <w:top w:val="single" w:color="dddddd" w:sz="6" w:space="0"/>
            </w:tcBorders>
            <w:vAlign w:val="center"/>
            <w:hideMark/>
          </w:tcPr>
          <w:p>
            <w:pPr>
              <w:pStyle w:val="text-306"/>
            </w:pPr>
            <w:r>
              <w:rPr>
                <w:rStyle w:val="text-306-c"/>
              </w:rPr>
              <w:t xml:space="preserve">¥1,100万</w:t>
            </w:r>
          </w:p>
        </w:tc>
        <w:tc>
          <w:tcPr>
            <w:tcW w:w="0" w:type="auto"/>
            <w:tcBorders>
              <w:top w:val="single" w:color="dddddd" w:sz="6" w:space="0"/>
            </w:tcBorders>
            <w:vAlign w:val="center"/>
            <w:hideMark/>
          </w:tcPr>
          <w:p>
            <w:pPr>
              <w:pStyle w:val="text-306"/>
            </w:pPr>
            <w:r>
              <w:rPr>
                <w:rStyle w:val="text-306-c"/>
              </w:rPr>
              <w:t xml:space="preserve">¥4,700万</w:t>
            </w:r>
          </w:p>
        </w:tc>
        <w:tc>
          <w:tcPr>
            <w:tcW w:w="0" w:type="auto"/>
            <w:tcBorders>
              <w:top w:val="single" w:color="dddddd" w:sz="6" w:space="0"/>
            </w:tcBorders>
            <w:vAlign w:val="center"/>
            <w:hideMark/>
          </w:tcPr>
          <w:p>
            <w:pPr>
              <w:pStyle w:val="text-306"/>
            </w:pPr>
            <w:r>
              <w:rPr>
                <w:rStyle w:val="text-306-c"/>
              </w:rPr>
              <w:t xml:space="preserve">¥1億3,400万</w:t>
            </w:r>
          </w:p>
        </w:tc>
      </w:tr>
    </w:tbl>
    <w:p>
      <w:pPr>
        <w:rPr>
          <w:rFonts w:eastAsia="Times New Roman"/>
          <w:vanish/>
          <w:sz w:val="2"/>
          <w:szCs w:val="2"/>
        </w:rPr>
      </w:pPr>
    </w:p>
    <w:p>
      <w:pPr>
        <w:pStyle w:val="text-12"/>
      </w:pPr>
      <w:r>
        <w:rPr>
          <w:rStyle w:val="text-12-c"/>
        </w:rPr>
        <w:t xml:space="preserve">これらは目標値であり、確約ではございません。実際の数値は獲得する助成金により大きく変動いたします。</w:t>
      </w:r>
    </w:p>
    <w:p>
      <w:pPr>
        <w:jc w:val="center"/>
      </w:pPr>
      <w:r>
        <mc:AlternateContent>
          <mc:Choice Requires="wpg">
            <w:drawing>
              <wp:inline xmlns:wp="http://schemas.openxmlformats.org/drawingml/2006/wordprocessingDrawing" distT="0" distB="0" distL="0" distR="0">
                <wp:extent cx="5943600" cy="0"/>
                <wp:effectExtent l="0" t="0" r="0" b="0"/>
                <wp:docPr id="9" name="Line 9"/>
                <wp:cNvGraphicFramePr/>
                <a:graphic xmlns:a="http://schemas.openxmlformats.org/drawingml/2006/main">
                  <a:graphicData uri="http://schemas.microsoft.com/office/word/2010/wordprocessingShape">
                    <wps:wsp>
                      <wps:cNvPr id="0" name=""/>
                      <wps:cNvSpPr/>
                      <wps:spPr>
                        <a:xfrm>
                          <a:off x="0" y="0"/>
                          <a:ext cx="5943600" cy="0"/>
                        </a:xfrm>
                        <a:custGeom>
                          <a:avLst/>
                          <a:gdLst/>
                          <a:ahLst/>
                          <a:cxnLst/>
                          <a:rect l="0" t="0" r="r" b="b"/>
                          <a:pathLst>
                            <a:path>
                              <a:moveTo>
                                <a:pt x="0" y="0"/>
                              </a:moveTo>
                              <a:lnTo>
                                <a:pt x="5943600" y="0"/>
                              </a:lnTo>
                            </a:path>
                          </a:pathLst>
                        </a:custGeom>
                        <a:ln w="14288">
                          <a:solidFill>
                            <a:srgbClr val="808080"/>
                          </a:solidFill>
                        </a:ln>
                        <a:scene3d>
                          <a:camera prst="orthographicFront"/>
                          <a:lightRig rig="threePt" dir="t"/>
                        </a:scene3d>
                        <a:sp3d>
                          <a:bevelT prst="angle"/>
                        </a:sp3d>
                      </wps:spPr>
                      <wps:bodyPr rot="0">
                        <a:prstTxWarp prst="textNoShape">
                          <a:avLst/>
                        </a:prstTxWarp>
                        <a:noAutofit/>
                      </wps:bodyPr>
                    </wps:wsp>
                  </a:graphicData>
                </a:graphic>
              </wp:inline>
            </w:drawing>
          </mc:Choice>
          <mc:Fallback>
            <w:pict>
              <v:shape id="shape 8" o:spid="_x0000_s8" style="width:468.00pt;height:0.00pt;mso-wrap-distance-left:0.00pt;mso-wrap-distance-top:0.00pt;mso-wrap-distance-right:0.00pt;mso-wrap-distance-bottom:0.00pt;visibility:visible;" path="m0,0l13758333,0e" coordsize="100000,100000" filled="f" strokecolor="#808080" strokeweight="1.13pt">
                <v:path textboxrect="0,0,0,0"/>
              </v:shape>
            </w:pict>
          </mc:Fallback>
        </mc:AlternateContent>
      </w:r>
    </w:p>
    <w:p>
      <w:pPr>
        <w:pStyle w:val="text-11"/>
      </w:pPr>
      <w:r>
        <w:rPr>
          <w:rStyle w:val="text-11-c"/>
        </w:rPr>
        <w:t xml:space="preserve">法務・規制チェックリスト</w:t>
      </w:r>
    </w:p>
    <w:p>
      <w:pPr>
        <w:pStyle w:val="text-5"/>
      </w:pPr>
      <w:r>
        <w:rPr>
          <w:rStyle w:val="text-5-c"/>
        </w:rPr>
        <w:t xml:space="preserve">法人・税務</w:t>
      </w:r>
    </w:p>
    <w:p>
      <w:pPr>
        <w:pStyle w:val="text-74"/>
        <w:numPr>
          <w:ilvl w:val="0"/>
          <w:numId w:val="1"/>
        </w:numPr>
      </w:pPr>
      <w:r>
        <w:rPr>
          <w:rStyle w:val="text-74-c"/>
        </w:rPr>
        <w:t xml:space="preserve">一般社団法人設立</w:t>
      </w:r>
    </w:p>
    <w:p>
      <w:pPr>
        <w:pStyle w:val="text-74"/>
        <w:numPr>
          <w:ilvl w:val="0"/>
          <w:numId w:val="1"/>
        </w:numPr>
      </w:pPr>
      <w:r>
        <w:rPr>
          <w:rStyle w:val="text-74-c"/>
        </w:rPr>
        <w:t xml:space="preserve">税務登録(法人税、消費税)</w:t>
      </w:r>
    </w:p>
    <w:p>
      <w:pPr>
        <w:pStyle w:val="text-74"/>
        <w:numPr>
          <w:ilvl w:val="0"/>
          <w:numId w:val="1"/>
        </w:numPr>
      </w:pPr>
      <w:r>
        <w:rPr>
          <w:rStyle w:val="text-74-c"/>
        </w:rPr>
        <w:t xml:space="preserve">銀行口座開設</w:t>
      </w:r>
    </w:p>
    <w:p>
      <w:pPr>
        <w:pStyle w:val="text-74"/>
        <w:numPr>
          <w:ilvl w:val="0"/>
          <w:numId w:val="1"/>
        </w:numPr>
      </w:pPr>
      <w:r>
        <w:rPr>
          <w:rStyle w:val="text-74-c"/>
        </w:rPr>
        <w:t xml:space="preserve">会計システム整備(弥生会計など)</w:t>
      </w:r>
    </w:p>
    <w:p>
      <w:pPr>
        <w:pStyle w:val="text-74"/>
        <w:numPr>
          <w:ilvl w:val="0"/>
          <w:numId w:val="1"/>
        </w:numPr>
      </w:pPr>
      <w:r>
        <w:rPr>
          <w:rStyle w:val="text-74-c"/>
        </w:rPr>
        <w:t xml:space="preserve">年次財務報告</w:t>
      </w:r>
    </w:p>
    <w:p>
      <w:pPr>
        <w:pStyle w:val="text-5"/>
      </w:pPr>
      <w:r>
        <w:rPr>
          <w:rStyle w:val="text-5-c"/>
        </w:rPr>
        <w:t xml:space="preserve">プロジェクト固有の許認可</w:t>
      </w:r>
    </w:p>
    <w:p>
      <w:pPr>
        <w:pStyle w:val="text-93"/>
        <w:numPr>
          <w:ilvl w:val="0"/>
          <w:numId w:val="1"/>
        </w:numPr>
      </w:pPr>
      <w:r>
        <w:rPr>
          <w:rStyle w:val="text-93-c"/>
        </w:rPr>
        <w:t xml:space="preserve">林業許可</w:t>
      </w:r>
      <w:r>
        <w:rPr>
          <w:rStyle w:val="text-74-c"/>
        </w:rPr>
        <w:t xml:space="preserve"> ― 森林法に基づく伐採届出</w:t>
      </w:r>
    </w:p>
    <w:p>
      <w:pPr>
        <w:pStyle w:val="text-93"/>
        <w:numPr>
          <w:ilvl w:val="0"/>
          <w:numId w:val="1"/>
        </w:numPr>
      </w:pPr>
      <w:r>
        <w:rPr>
          <w:rStyle w:val="text-93-c"/>
        </w:rPr>
        <w:t xml:space="preserve">土地利用変更</w:t>
      </w:r>
      <w:r>
        <w:rPr>
          <w:rStyle w:val="text-74-c"/>
        </w:rPr>
        <w:t xml:space="preserve"> ― 農地が含まれる場合は農業委員会との調整</w:t>
      </w:r>
    </w:p>
    <w:p>
      <w:pPr>
        <w:pStyle w:val="text-93"/>
        <w:numPr>
          <w:ilvl w:val="0"/>
          <w:numId w:val="1"/>
        </w:numPr>
      </w:pPr>
      <w:r>
        <w:rPr>
          <w:rStyle w:val="text-93-c"/>
        </w:rPr>
        <w:t xml:space="preserve">建物用途変更許可</w:t>
      </w:r>
      <w:r>
        <w:rPr>
          <w:rStyle w:val="text-74-c"/>
        </w:rPr>
        <w:t xml:space="preserve"> ― 建築基準法</w:t>
      </w:r>
    </w:p>
    <w:p>
      <w:pPr>
        <w:pStyle w:val="text-93"/>
        <w:numPr>
          <w:ilvl w:val="0"/>
          <w:numId w:val="1"/>
        </w:numPr>
      </w:pPr>
      <w:r>
        <w:rPr>
          <w:rStyle w:val="text-93-c"/>
        </w:rPr>
        <w:t xml:space="preserve">消防・安全</w:t>
      </w:r>
      <w:r>
        <w:rPr>
          <w:rStyle w:val="text-74-c"/>
        </w:rPr>
        <w:t xml:space="preserve"> ― バイオマスプラントは消防の認可が必要</w:t>
      </w:r>
    </w:p>
    <w:p>
      <w:pPr>
        <w:pStyle w:val="text-93"/>
        <w:numPr>
          <w:ilvl w:val="0"/>
          <w:numId w:val="1"/>
        </w:numPr>
      </w:pPr>
      <w:r>
        <w:rPr>
          <w:rStyle w:val="text-93-c"/>
        </w:rPr>
        <w:t xml:space="preserve">電気設備</w:t>
      </w:r>
      <w:r>
        <w:rPr>
          <w:rStyle w:val="text-74-c"/>
        </w:rPr>
        <w:t xml:space="preserve"> ― 発電に係る電気事業法への適合</w:t>
      </w:r>
    </w:p>
    <w:p>
      <w:pPr>
        <w:pStyle w:val="text-93"/>
        <w:numPr>
          <w:ilvl w:val="0"/>
          <w:numId w:val="1"/>
        </w:numPr>
      </w:pPr>
      <w:r>
        <w:rPr>
          <w:rStyle w:val="text-93-c"/>
        </w:rPr>
        <w:t xml:space="preserve">FIT/FIP登録</w:t>
      </w:r>
      <w:r>
        <w:rPr>
          <w:rStyle w:val="text-74-c"/>
        </w:rPr>
        <w:t xml:space="preserve"> ― METIによる系統連系手続</w:t>
      </w:r>
    </w:p>
    <w:p>
      <w:pPr>
        <w:pStyle w:val="text-93"/>
        <w:numPr>
          <w:ilvl w:val="0"/>
          <w:numId w:val="1"/>
        </w:numPr>
      </w:pPr>
      <w:r>
        <w:rPr>
          <w:rStyle w:val="text-93-c"/>
        </w:rPr>
        <w:t xml:space="preserve">環境影響</w:t>
      </w:r>
      <w:r>
        <w:rPr>
          <w:rStyle w:val="text-74-c"/>
        </w:rPr>
        <w:t xml:space="preserve"> ― 規模により環境アセスメントが必要となる可能性</w:t>
      </w:r>
    </w:p>
    <w:p>
      <w:pPr>
        <w:pStyle w:val="text-93"/>
        <w:numPr>
          <w:ilvl w:val="0"/>
          <w:numId w:val="1"/>
        </w:numPr>
      </w:pPr>
      <w:r>
        <w:rPr>
          <w:rStyle w:val="text-93-c"/>
        </w:rPr>
        <w:t xml:space="preserve">データセンターの法令遵守</w:t>
      </w:r>
      <w:r>
        <w:rPr>
          <w:rStyle w:val="text-74-c"/>
        </w:rPr>
        <w:t xml:space="preserve"> ― 個人情報保護法(APPI)、サイバーセキュリティ基準</w:t>
      </w:r>
    </w:p>
    <w:p>
      <w:pPr>
        <w:pStyle w:val="text-5"/>
      </w:pPr>
      <w:r>
        <w:rPr>
          <w:rStyle w:val="text-5-c"/>
        </w:rPr>
        <w:t xml:space="preserve">推奨される専門家支援</w:t>
      </w:r>
    </w:p>
    <w:p>
      <w:pPr>
        <w:pStyle w:val="text-93"/>
        <w:numPr>
          <w:ilvl w:val="0"/>
          <w:numId w:val="1"/>
        </w:numPr>
      </w:pPr>
      <w:r>
        <w:rPr>
          <w:rStyle w:val="text-93-c"/>
        </w:rPr>
        <w:t xml:space="preserve">行政書士</w:t>
      </w:r>
      <w:r>
        <w:rPr>
          <w:rStyle w:val="text-74-c"/>
        </w:rPr>
        <w:t xml:space="preserve"> ― 許認可、NPO設立、助成金申請。地元奈良所在が望ましい</w:t>
      </w:r>
    </w:p>
    <w:p>
      <w:pPr>
        <w:pStyle w:val="text-93"/>
        <w:numPr>
          <w:ilvl w:val="0"/>
          <w:numId w:val="1"/>
        </w:numPr>
      </w:pPr>
      <w:r>
        <w:rPr>
          <w:rStyle w:val="text-93-c"/>
        </w:rPr>
        <w:t xml:space="preserve">公認会計士・税理士</w:t>
      </w:r>
      <w:r>
        <w:rPr>
          <w:rStyle w:val="text-74-c"/>
        </w:rPr>
        <w:t xml:space="preserve"> ― 財務体制構築・報告</w:t>
      </w:r>
    </w:p>
    <w:p>
      <w:pPr>
        <w:pStyle w:val="text-93"/>
        <w:numPr>
          <w:ilvl w:val="0"/>
          <w:numId w:val="1"/>
        </w:numPr>
      </w:pPr>
      <w:r>
        <w:rPr>
          <w:rStyle w:val="text-93-c"/>
        </w:rPr>
        <w:t xml:space="preserve">弁護士</w:t>
      </w:r>
      <w:r>
        <w:rPr>
          <w:rStyle w:val="text-74-c"/>
        </w:rPr>
        <w:t xml:space="preserve"> ― 土地所有者契約、提携契約(常時顧問ではなく必要時の相談)</w:t>
      </w:r>
    </w:p>
    <w:p>
      <w:pPr>
        <w:pStyle w:val="text-93"/>
        <w:numPr>
          <w:ilvl w:val="0"/>
          <w:numId w:val="1"/>
        </w:numPr>
      </w:pPr>
      <w:r>
        <w:rPr>
          <w:rStyle w:val="text-93-c"/>
        </w:rPr>
        <w:t xml:space="preserve">弁理士</w:t>
      </w:r>
      <w:r>
        <w:rPr>
          <w:rStyle w:val="text-74-c"/>
        </w:rPr>
        <w:t xml:space="preserve"> ― 新規技術IPの保護が必要な場合のみ</w:t>
      </w:r>
    </w:p>
    <w:p>
      <w:pPr>
        <w:jc w:val="center"/>
      </w:pPr>
      <w:r>
        <mc:AlternateContent>
          <mc:Choice Requires="wpg">
            <w:drawing>
              <wp:inline xmlns:wp="http://schemas.openxmlformats.org/drawingml/2006/wordprocessingDrawing" distT="0" distB="0" distL="0" distR="0">
                <wp:extent cx="5943600" cy="0"/>
                <wp:effectExtent l="0" t="0" r="0" b="0"/>
                <wp:docPr id="10" name="Line 10"/>
                <wp:cNvGraphicFramePr/>
                <a:graphic xmlns:a="http://schemas.openxmlformats.org/drawingml/2006/main">
                  <a:graphicData uri="http://schemas.microsoft.com/office/word/2010/wordprocessingShape">
                    <wps:wsp>
                      <wps:cNvPr id="0" name=""/>
                      <wps:cNvSpPr/>
                      <wps:spPr>
                        <a:xfrm>
                          <a:off x="0" y="0"/>
                          <a:ext cx="5943600" cy="0"/>
                        </a:xfrm>
                        <a:custGeom>
                          <a:avLst/>
                          <a:gdLst/>
                          <a:ahLst/>
                          <a:cxnLst/>
                          <a:rect l="0" t="0" r="r" b="b"/>
                          <a:pathLst>
                            <a:path>
                              <a:moveTo>
                                <a:pt x="0" y="0"/>
                              </a:moveTo>
                              <a:lnTo>
                                <a:pt x="5943600" y="0"/>
                              </a:lnTo>
                            </a:path>
                          </a:pathLst>
                        </a:custGeom>
                        <a:ln w="14288">
                          <a:solidFill>
                            <a:srgbClr val="808080"/>
                          </a:solidFill>
                        </a:ln>
                        <a:scene3d>
                          <a:camera prst="orthographicFront"/>
                          <a:lightRig rig="threePt" dir="t"/>
                        </a:scene3d>
                        <a:sp3d>
                          <a:bevelT prst="angle"/>
                        </a:sp3d>
                      </wps:spPr>
                      <wps:bodyPr rot="0">
                        <a:prstTxWarp prst="textNoShape">
                          <a:avLst/>
                        </a:prstTxWarp>
                        <a:noAutofit/>
                      </wps:bodyPr>
                    </wps:wsp>
                  </a:graphicData>
                </a:graphic>
              </wp:inline>
            </w:drawing>
          </mc:Choice>
          <mc:Fallback>
            <w:pict>
              <v:shape id="shape 9" o:spid="_x0000_s9" style="width:468.00pt;height:0.00pt;mso-wrap-distance-left:0.00pt;mso-wrap-distance-top:0.00pt;mso-wrap-distance-right:0.00pt;mso-wrap-distance-bottom:0.00pt;visibility:visible;" path="m0,0l13758333,0e" coordsize="100000,100000" filled="f" strokecolor="#808080" strokeweight="1.13pt">
                <v:path textboxrect="0,0,0,0"/>
              </v:shape>
            </w:pict>
          </mc:Fallback>
        </mc:AlternateContent>
      </w:r>
    </w:p>
    <w:p>
      <w:pPr>
        <w:pStyle w:val="text-11"/>
      </w:pPr>
      <w:r>
        <w:rPr>
          <w:rStyle w:val="text-11-c"/>
        </w:rPr>
        <w:t xml:space="preserve">リスク管理</w:t>
      </w:r>
    </w:p>
    <w:p>
      <w:pPr>
        <w:pStyle w:val="text-5"/>
      </w:pPr>
      <w:r>
        <w:rPr>
          <w:rStyle w:val="text-5-c"/>
        </w:rPr>
        <w:t xml:space="preserve">主要リスクと対策</w:t>
      </w:r>
    </w:p>
    <w:tbl>
      <w:tblPr>
        <w:tblW w:w="5000" w:type="pct"/>
        <w:tblCellMar>
          <w:left w:w="15" w:type="dxa"/>
          <w:top w:w="15" w:type="dxa"/>
          <w:right w:w="15" w:type="dxa"/>
          <w:bottom w:w="15" w:type="dxa"/>
        </w:tblCellMar>
        <w:tblLook w:val="04A0" w:firstRow="1" w:lastRow="0" w:firstColumn="1" w:lastColumn="0" w:noHBand="0" w:noVBand="1"/>
      </w:tblPr>
      <w:tr>
        <w:tc>
          <w:tcPr>
            <w:tcW w:w="0" w:type="auto"/>
            <w:tcBorders>
              <w:bottom w:val="single" w:color="dddddd" w:sz="12" w:space="0"/>
            </w:tcBorders>
            <w:vAlign w:val="center"/>
            <w:hideMark/>
          </w:tcPr>
          <w:p>
            <w:pPr>
              <w:pStyle w:val="text-23"/>
            </w:pPr>
            <w:r>
              <w:rPr>
                <w:rStyle w:val="text-23-c"/>
              </w:rPr>
              <w:t xml:space="preserve">リスク</w:t>
            </w:r>
          </w:p>
        </w:tc>
        <w:tc>
          <w:tcPr>
            <w:tcW w:w="0" w:type="auto"/>
            <w:tcBorders>
              <w:bottom w:val="single" w:color="dddddd" w:sz="12" w:space="0"/>
            </w:tcBorders>
            <w:vAlign w:val="center"/>
            <w:hideMark/>
          </w:tcPr>
          <w:p>
            <w:pPr>
              <w:pStyle w:val="text-23"/>
            </w:pPr>
            <w:r>
              <w:rPr>
                <w:rStyle w:val="text-23-c"/>
              </w:rPr>
              <w:t xml:space="preserve">発生可能性</w:t>
            </w:r>
          </w:p>
        </w:tc>
        <w:tc>
          <w:tcPr>
            <w:tcW w:w="0" w:type="auto"/>
            <w:tcBorders>
              <w:bottom w:val="single" w:color="dddddd" w:sz="12" w:space="0"/>
            </w:tcBorders>
            <w:vAlign w:val="center"/>
            <w:hideMark/>
          </w:tcPr>
          <w:p>
            <w:pPr>
              <w:pStyle w:val="text-23"/>
            </w:pPr>
            <w:r>
              <w:rPr>
                <w:rStyle w:val="text-23-c"/>
              </w:rPr>
              <w:t xml:space="preserve">影響度</w:t>
            </w:r>
          </w:p>
        </w:tc>
        <w:tc>
          <w:tcPr>
            <w:tcW w:w="0" w:type="auto"/>
            <w:tcBorders>
              <w:bottom w:val="single" w:color="dddddd" w:sz="12" w:space="0"/>
            </w:tcBorders>
            <w:vAlign w:val="center"/>
            <w:hideMark/>
          </w:tcPr>
          <w:p>
            <w:pPr>
              <w:pStyle w:val="text-23"/>
            </w:pPr>
            <w:r>
              <w:rPr>
                <w:rStyle w:val="text-23-c"/>
              </w:rPr>
              <w:t xml:space="preserve">対策</w:t>
            </w:r>
          </w:p>
        </w:tc>
      </w:tr>
      <w:tr>
        <w:tc>
          <w:tcPr>
            <w:tcW w:w="0" w:type="auto"/>
            <w:tcBorders>
              <w:top w:val="single" w:color="dddddd" w:sz="6" w:space="0"/>
            </w:tcBorders>
            <w:vAlign w:val="center"/>
            <w:hideMark/>
          </w:tcPr>
          <w:p>
            <w:pPr>
              <w:pStyle w:val="text-30"/>
            </w:pPr>
            <w:r>
              <w:rPr>
                <w:rStyle w:val="text-30-c"/>
              </w:rPr>
              <w:t xml:space="preserve">地域社会の抵抗</w:t>
            </w:r>
          </w:p>
        </w:tc>
        <w:tc>
          <w:tcPr>
            <w:tcW w:w="0" w:type="auto"/>
            <w:tcBorders>
              <w:top w:val="single" w:color="dddddd" w:sz="6" w:space="0"/>
            </w:tcBorders>
            <w:vAlign w:val="center"/>
            <w:hideMark/>
          </w:tcPr>
          <w:p>
            <w:pPr>
              <w:pStyle w:val="text-30"/>
            </w:pPr>
            <w:r>
              <w:rPr>
                <w:rStyle w:val="text-30-c"/>
              </w:rPr>
              <w:t xml:space="preserve">中</w:t>
            </w:r>
          </w:p>
        </w:tc>
        <w:tc>
          <w:tcPr>
            <w:tcW w:w="0" w:type="auto"/>
            <w:tcBorders>
              <w:top w:val="single" w:color="dddddd" w:sz="6" w:space="0"/>
            </w:tcBorders>
            <w:vAlign w:val="center"/>
            <w:hideMark/>
          </w:tcPr>
          <w:p>
            <w:pPr>
              <w:pStyle w:val="text-30"/>
            </w:pPr>
            <w:r>
              <w:rPr>
                <w:rStyle w:val="text-30-c"/>
              </w:rPr>
              <w:t xml:space="preserve">大</w:t>
            </w:r>
          </w:p>
        </w:tc>
        <w:tc>
          <w:tcPr>
            <w:tcW w:w="0" w:type="auto"/>
            <w:tcBorders>
              <w:top w:val="single" w:color="dddddd" w:sz="6" w:space="0"/>
            </w:tcBorders>
            <w:vAlign w:val="center"/>
            <w:hideMark/>
          </w:tcPr>
          <w:p>
            <w:pPr>
              <w:pStyle w:val="text-30"/>
            </w:pPr>
            <w:r>
              <w:rPr>
                <w:rStyle w:val="text-30-c"/>
              </w:rPr>
              <w:t xml:space="preserve">公表前の第0段階での信頼構築</w:t>
            </w:r>
          </w:p>
        </w:tc>
      </w:tr>
      <w:tr>
        <w:tc>
          <w:tcPr>
            <w:tcW w:w="0" w:type="auto"/>
            <w:tcBorders>
              <w:top w:val="single" w:color="dddddd" w:sz="6" w:space="0"/>
            </w:tcBorders>
            <w:vAlign w:val="center"/>
            <w:hideMark/>
          </w:tcPr>
          <w:p>
            <w:pPr>
              <w:pStyle w:val="text-30"/>
            </w:pPr>
            <w:r>
              <w:rPr>
                <w:rStyle w:val="text-30-c"/>
              </w:rPr>
              <w:t xml:space="preserve">林業経済性の悪化</w:t>
            </w:r>
          </w:p>
        </w:tc>
        <w:tc>
          <w:tcPr>
            <w:tcW w:w="0" w:type="auto"/>
            <w:tcBorders>
              <w:top w:val="single" w:color="dddddd" w:sz="6" w:space="0"/>
            </w:tcBorders>
            <w:vAlign w:val="center"/>
            <w:hideMark/>
          </w:tcPr>
          <w:p>
            <w:pPr>
              <w:pStyle w:val="text-30"/>
            </w:pPr>
            <w:r>
              <w:rPr>
                <w:rStyle w:val="text-30-c"/>
              </w:rPr>
              <w:t xml:space="preserve">高</w:t>
            </w:r>
          </w:p>
        </w:tc>
        <w:tc>
          <w:tcPr>
            <w:tcW w:w="0" w:type="auto"/>
            <w:tcBorders>
              <w:top w:val="single" w:color="dddddd" w:sz="6" w:space="0"/>
            </w:tcBorders>
            <w:vAlign w:val="center"/>
            <w:hideMark/>
          </w:tcPr>
          <w:p>
            <w:pPr>
              <w:pStyle w:val="text-30"/>
            </w:pPr>
            <w:r>
              <w:rPr>
                <w:rStyle w:val="text-30-c"/>
              </w:rPr>
              <w:t xml:space="preserve">大</w:t>
            </w:r>
          </w:p>
        </w:tc>
        <w:tc>
          <w:tcPr>
            <w:tcW w:w="0" w:type="auto"/>
            <w:tcBorders>
              <w:top w:val="single" w:color="dddddd" w:sz="6" w:space="0"/>
            </w:tcBorders>
            <w:vAlign w:val="center"/>
            <w:hideMark/>
          </w:tcPr>
          <w:p>
            <w:pPr>
              <w:pStyle w:val="text-30"/>
            </w:pPr>
            <w:r>
              <w:rPr>
                <w:rStyle w:val="text-30-c"/>
              </w:rPr>
              <w:t xml:space="preserve">早期の独立フィージビリティスタディ。代替バイオマス源の準備</w:t>
            </w:r>
          </w:p>
        </w:tc>
      </w:tr>
      <w:tr>
        <w:tc>
          <w:tcPr>
            <w:tcW w:w="0" w:type="auto"/>
            <w:tcBorders>
              <w:top w:val="single" w:color="dddddd" w:sz="6" w:space="0"/>
            </w:tcBorders>
            <w:vAlign w:val="center"/>
            <w:hideMark/>
          </w:tcPr>
          <w:p>
            <w:pPr>
              <w:pStyle w:val="text-30"/>
            </w:pPr>
            <w:r>
              <w:rPr>
                <w:rStyle w:val="text-30-c"/>
              </w:rPr>
              <w:t xml:space="preserve">段階間の資金不足</w:t>
            </w:r>
          </w:p>
        </w:tc>
        <w:tc>
          <w:tcPr>
            <w:tcW w:w="0" w:type="auto"/>
            <w:tcBorders>
              <w:top w:val="single" w:color="dddddd" w:sz="6" w:space="0"/>
            </w:tcBorders>
            <w:vAlign w:val="center"/>
            <w:hideMark/>
          </w:tcPr>
          <w:p>
            <w:pPr>
              <w:pStyle w:val="text-30"/>
            </w:pPr>
            <w:r>
              <w:rPr>
                <w:rStyle w:val="text-30-c"/>
              </w:rPr>
              <w:t xml:space="preserve">中</w:t>
            </w:r>
          </w:p>
        </w:tc>
        <w:tc>
          <w:tcPr>
            <w:tcW w:w="0" w:type="auto"/>
            <w:tcBorders>
              <w:top w:val="single" w:color="dddddd" w:sz="6" w:space="0"/>
            </w:tcBorders>
            <w:vAlign w:val="center"/>
            <w:hideMark/>
          </w:tcPr>
          <w:p>
            <w:pPr>
              <w:pStyle w:val="text-30"/>
            </w:pPr>
            <w:r>
              <w:rPr>
                <w:rStyle w:val="text-30-c"/>
              </w:rPr>
              <w:t xml:space="preserve">大</w:t>
            </w:r>
          </w:p>
        </w:tc>
        <w:tc>
          <w:tcPr>
            <w:tcW w:w="0" w:type="auto"/>
            <w:tcBorders>
              <w:top w:val="single" w:color="dddddd" w:sz="6" w:space="0"/>
            </w:tcBorders>
            <w:vAlign w:val="center"/>
            <w:hideMark/>
          </w:tcPr>
          <w:p>
            <w:pPr>
              <w:pStyle w:val="text-30"/>
            </w:pPr>
            <w:r>
              <w:rPr>
                <w:rStyle w:val="text-30-c"/>
              </w:rPr>
              <w:t xml:space="preserve">多角化、単一依存の回避、保守的な予算編成</w:t>
            </w:r>
          </w:p>
        </w:tc>
      </w:tr>
      <w:tr>
        <w:tc>
          <w:tcPr>
            <w:tcW w:w="0" w:type="auto"/>
            <w:tcBorders>
              <w:top w:val="single" w:color="dddddd" w:sz="6" w:space="0"/>
            </w:tcBorders>
            <w:vAlign w:val="center"/>
            <w:hideMark/>
          </w:tcPr>
          <w:p>
            <w:pPr>
              <w:pStyle w:val="text-30"/>
            </w:pPr>
            <w:r>
              <w:rPr>
                <w:rStyle w:val="text-30-c"/>
              </w:rPr>
              <w:t xml:space="preserve">ロブ氏への依存</w:t>
            </w:r>
          </w:p>
        </w:tc>
        <w:tc>
          <w:tcPr>
            <w:tcW w:w="0" w:type="auto"/>
            <w:tcBorders>
              <w:top w:val="single" w:color="dddddd" w:sz="6" w:space="0"/>
            </w:tcBorders>
            <w:vAlign w:val="center"/>
            <w:hideMark/>
          </w:tcPr>
          <w:p>
            <w:pPr>
              <w:pStyle w:val="text-30"/>
            </w:pPr>
            <w:r>
              <w:rPr>
                <w:rStyle w:val="text-30-c"/>
              </w:rPr>
              <w:t xml:space="preserve">中</w:t>
            </w:r>
          </w:p>
        </w:tc>
        <w:tc>
          <w:tcPr>
            <w:tcW w:w="0" w:type="auto"/>
            <w:tcBorders>
              <w:top w:val="single" w:color="dddddd" w:sz="6" w:space="0"/>
            </w:tcBorders>
            <w:vAlign w:val="center"/>
            <w:hideMark/>
          </w:tcPr>
          <w:p>
            <w:pPr>
              <w:pStyle w:val="text-30"/>
            </w:pPr>
            <w:r>
              <w:rPr>
                <w:rStyle w:val="text-30-c"/>
              </w:rPr>
              <w:t xml:space="preserve">大</w:t>
            </w:r>
          </w:p>
        </w:tc>
        <w:tc>
          <w:tcPr>
            <w:tcW w:w="0" w:type="auto"/>
            <w:tcBorders>
              <w:top w:val="single" w:color="dddddd" w:sz="6" w:space="0"/>
            </w:tcBorders>
            <w:vAlign w:val="center"/>
            <w:hideMark/>
          </w:tcPr>
          <w:p>
            <w:pPr>
              <w:pStyle w:val="text-30"/>
            </w:pPr>
            <w:r>
              <w:rPr>
                <w:rStyle w:val="text-30-c"/>
              </w:rPr>
              <w:t xml:space="preserve">強力な共同創設者、文書化されたプロセス、後継計画</w:t>
            </w:r>
          </w:p>
        </w:tc>
      </w:tr>
      <w:tr>
        <w:tc>
          <w:tcPr>
            <w:tcW w:w="0" w:type="auto"/>
            <w:tcBorders>
              <w:top w:val="single" w:color="dddddd" w:sz="6" w:space="0"/>
            </w:tcBorders>
            <w:vAlign w:val="center"/>
            <w:hideMark/>
          </w:tcPr>
          <w:p>
            <w:pPr>
              <w:pStyle w:val="text-30"/>
            </w:pPr>
            <w:r>
              <w:rPr>
                <w:rStyle w:val="text-30-c"/>
              </w:rPr>
              <w:t xml:space="preserve">データセンターに不適な建物</w:t>
            </w:r>
          </w:p>
        </w:tc>
        <w:tc>
          <w:tcPr>
            <w:tcW w:w="0" w:type="auto"/>
            <w:tcBorders>
              <w:top w:val="single" w:color="dddddd" w:sz="6" w:space="0"/>
            </w:tcBorders>
            <w:vAlign w:val="center"/>
            <w:hideMark/>
          </w:tcPr>
          <w:p>
            <w:pPr>
              <w:pStyle w:val="text-30"/>
            </w:pPr>
            <w:r>
              <w:rPr>
                <w:rStyle w:val="text-30-c"/>
              </w:rPr>
              <w:t xml:space="preserve">低</w:t>
            </w:r>
          </w:p>
        </w:tc>
        <w:tc>
          <w:tcPr>
            <w:tcW w:w="0" w:type="auto"/>
            <w:tcBorders>
              <w:top w:val="single" w:color="dddddd" w:sz="6" w:space="0"/>
            </w:tcBorders>
            <w:vAlign w:val="center"/>
            <w:hideMark/>
          </w:tcPr>
          <w:p>
            <w:pPr>
              <w:pStyle w:val="text-30"/>
            </w:pPr>
            <w:r>
              <w:rPr>
                <w:rStyle w:val="text-30-c"/>
              </w:rPr>
              <w:t xml:space="preserve">大</w:t>
            </w:r>
          </w:p>
        </w:tc>
        <w:tc>
          <w:tcPr>
            <w:tcW w:w="0" w:type="auto"/>
            <w:tcBorders>
              <w:top w:val="single" w:color="dddddd" w:sz="6" w:space="0"/>
            </w:tcBorders>
            <w:vAlign w:val="center"/>
            <w:hideMark/>
          </w:tcPr>
          <w:p>
            <w:pPr>
              <w:pStyle w:val="text-30"/>
            </w:pPr>
            <w:r>
              <w:rPr>
                <w:rStyle w:val="text-30-c"/>
              </w:rPr>
              <w:t xml:space="preserve">第1段階での早期構造評価</w:t>
            </w:r>
          </w:p>
        </w:tc>
      </w:tr>
      <w:tr>
        <w:tc>
          <w:tcPr>
            <w:tcW w:w="0" w:type="auto"/>
            <w:tcBorders>
              <w:top w:val="single" w:color="dddddd" w:sz="6" w:space="0"/>
            </w:tcBorders>
            <w:vAlign w:val="center"/>
            <w:hideMark/>
          </w:tcPr>
          <w:p>
            <w:pPr>
              <w:pStyle w:val="text-30"/>
            </w:pPr>
            <w:r>
              <w:rPr>
                <w:rStyle w:val="text-30-c"/>
              </w:rPr>
              <w:t xml:space="preserve">通信容量不足</w:t>
            </w:r>
          </w:p>
        </w:tc>
        <w:tc>
          <w:tcPr>
            <w:tcW w:w="0" w:type="auto"/>
            <w:tcBorders>
              <w:top w:val="single" w:color="dddddd" w:sz="6" w:space="0"/>
            </w:tcBorders>
            <w:vAlign w:val="center"/>
            <w:hideMark/>
          </w:tcPr>
          <w:p>
            <w:pPr>
              <w:pStyle w:val="text-30"/>
            </w:pPr>
            <w:r>
              <w:rPr>
                <w:rStyle w:val="text-30-c"/>
              </w:rPr>
              <w:t xml:space="preserve">中</w:t>
            </w:r>
          </w:p>
        </w:tc>
        <w:tc>
          <w:tcPr>
            <w:tcW w:w="0" w:type="auto"/>
            <w:tcBorders>
              <w:top w:val="single" w:color="dddddd" w:sz="6" w:space="0"/>
            </w:tcBorders>
            <w:vAlign w:val="center"/>
            <w:hideMark/>
          </w:tcPr>
          <w:p>
            <w:pPr>
              <w:pStyle w:val="text-30"/>
            </w:pPr>
            <w:r>
              <w:rPr>
                <w:rStyle w:val="text-30-c"/>
              </w:rPr>
              <w:t xml:space="preserve">中</w:t>
            </w:r>
          </w:p>
        </w:tc>
        <w:tc>
          <w:tcPr>
            <w:tcW w:w="0" w:type="auto"/>
            <w:tcBorders>
              <w:top w:val="single" w:color="dddddd" w:sz="6" w:space="0"/>
            </w:tcBorders>
            <w:vAlign w:val="center"/>
            <w:hideMark/>
          </w:tcPr>
          <w:p>
            <w:pPr>
              <w:pStyle w:val="text-30"/>
            </w:pPr>
            <w:r>
              <w:rPr>
                <w:rStyle w:val="text-30-c"/>
              </w:rPr>
              <w:t xml:space="preserve">NTTとの早期協議。衛星・マイクロ波予備回線の検討</w:t>
            </w:r>
          </w:p>
        </w:tc>
      </w:tr>
      <w:tr>
        <w:tc>
          <w:tcPr>
            <w:tcW w:w="0" w:type="auto"/>
            <w:tcBorders>
              <w:top w:val="single" w:color="dddddd" w:sz="6" w:space="0"/>
            </w:tcBorders>
            <w:vAlign w:val="center"/>
            <w:hideMark/>
          </w:tcPr>
          <w:p>
            <w:pPr>
              <w:pStyle w:val="text-30"/>
            </w:pPr>
            <w:r>
              <w:rPr>
                <w:rStyle w:val="text-30-c"/>
              </w:rPr>
              <w:t xml:space="preserve">規制遅延</w:t>
            </w:r>
          </w:p>
        </w:tc>
        <w:tc>
          <w:tcPr>
            <w:tcW w:w="0" w:type="auto"/>
            <w:tcBorders>
              <w:top w:val="single" w:color="dddddd" w:sz="6" w:space="0"/>
            </w:tcBorders>
            <w:vAlign w:val="center"/>
            <w:hideMark/>
          </w:tcPr>
          <w:p>
            <w:pPr>
              <w:pStyle w:val="text-30"/>
            </w:pPr>
            <w:r>
              <w:rPr>
                <w:rStyle w:val="text-30-c"/>
              </w:rPr>
              <w:t xml:space="preserve">高</w:t>
            </w:r>
          </w:p>
        </w:tc>
        <w:tc>
          <w:tcPr>
            <w:tcW w:w="0" w:type="auto"/>
            <w:tcBorders>
              <w:top w:val="single" w:color="dddddd" w:sz="6" w:space="0"/>
            </w:tcBorders>
            <w:vAlign w:val="center"/>
            <w:hideMark/>
          </w:tcPr>
          <w:p>
            <w:pPr>
              <w:pStyle w:val="text-30"/>
            </w:pPr>
            <w:r>
              <w:rPr>
                <w:rStyle w:val="text-30-c"/>
              </w:rPr>
              <w:t xml:space="preserve">中</w:t>
            </w:r>
          </w:p>
        </w:tc>
        <w:tc>
          <w:tcPr>
            <w:tcW w:w="0" w:type="auto"/>
            <w:tcBorders>
              <w:top w:val="single" w:color="dddddd" w:sz="6" w:space="0"/>
            </w:tcBorders>
            <w:vAlign w:val="center"/>
            <w:hideMark/>
          </w:tcPr>
          <w:p>
            <w:pPr>
              <w:pStyle w:val="text-30"/>
            </w:pPr>
            <w:r>
              <w:rPr>
                <w:rStyle w:val="text-30-c"/>
              </w:rPr>
              <w:t xml:space="preserve">早期の許認可手続き開始。日程に余裕を確保</w:t>
            </w:r>
          </w:p>
        </w:tc>
      </w:tr>
      <w:tr>
        <w:tc>
          <w:tcPr>
            <w:tcW w:w="0" w:type="auto"/>
            <w:tcBorders>
              <w:top w:val="single" w:color="dddddd" w:sz="6" w:space="0"/>
            </w:tcBorders>
            <w:vAlign w:val="center"/>
            <w:hideMark/>
          </w:tcPr>
          <w:p>
            <w:pPr>
              <w:pStyle w:val="text-30"/>
            </w:pPr>
            <w:r>
              <w:rPr>
                <w:rStyle w:val="text-30-c"/>
              </w:rPr>
              <w:t xml:space="preserve">チーム内対立・使命の希薄化</w:t>
            </w:r>
          </w:p>
        </w:tc>
        <w:tc>
          <w:tcPr>
            <w:tcW w:w="0" w:type="auto"/>
            <w:tcBorders>
              <w:top w:val="single" w:color="dddddd" w:sz="6" w:space="0"/>
            </w:tcBorders>
            <w:vAlign w:val="center"/>
            <w:hideMark/>
          </w:tcPr>
          <w:p>
            <w:pPr>
              <w:pStyle w:val="text-30"/>
            </w:pPr>
            <w:r>
              <w:rPr>
                <w:rStyle w:val="text-30-c"/>
              </w:rPr>
              <w:t xml:space="preserve">中</w:t>
            </w:r>
          </w:p>
        </w:tc>
        <w:tc>
          <w:tcPr>
            <w:tcW w:w="0" w:type="auto"/>
            <w:tcBorders>
              <w:top w:val="single" w:color="dddddd" w:sz="6" w:space="0"/>
            </w:tcBorders>
            <w:vAlign w:val="center"/>
            <w:hideMark/>
          </w:tcPr>
          <w:p>
            <w:pPr>
              <w:pStyle w:val="text-30"/>
            </w:pPr>
            <w:r>
              <w:rPr>
                <w:rStyle w:val="text-30-c"/>
              </w:rPr>
              <w:t xml:space="preserve">大</w:t>
            </w:r>
          </w:p>
        </w:tc>
        <w:tc>
          <w:tcPr>
            <w:tcW w:w="0" w:type="auto"/>
            <w:tcBorders>
              <w:top w:val="single" w:color="dddddd" w:sz="6" w:space="0"/>
            </w:tcBorders>
            <w:vAlign w:val="center"/>
            <w:hideMark/>
          </w:tcPr>
          <w:p>
            <w:pPr>
              <w:pStyle w:val="text-30"/>
            </w:pPr>
            <w:r>
              <w:rPr>
                <w:rStyle w:val="text-30-c"/>
              </w:rPr>
              <w:t xml:space="preserve">明確な憲章、定期的見直し、任期制</w:t>
            </w:r>
          </w:p>
        </w:tc>
      </w:tr>
    </w:tbl>
    <w:p>
      <w:pPr>
        <w:rPr>
          <w:rFonts w:eastAsia="Times New Roman"/>
          <w:vanish/>
          <w:sz w:val="2"/>
          <w:szCs w:val="2"/>
        </w:rPr>
      </w:pPr>
    </w:p>
    <w:p>
      <w:pPr>
        <w:jc w:val="center"/>
      </w:pPr>
      <w:r>
        <mc:AlternateContent>
          <mc:Choice Requires="wpg">
            <w:drawing>
              <wp:inline xmlns:wp="http://schemas.openxmlformats.org/drawingml/2006/wordprocessingDrawing" distT="0" distB="0" distL="0" distR="0">
                <wp:extent cx="5943600" cy="0"/>
                <wp:effectExtent l="0" t="0" r="0" b="0"/>
                <wp:docPr id="11" name="Line 11"/>
                <wp:cNvGraphicFramePr/>
                <a:graphic xmlns:a="http://schemas.openxmlformats.org/drawingml/2006/main">
                  <a:graphicData uri="http://schemas.microsoft.com/office/word/2010/wordprocessingShape">
                    <wps:wsp>
                      <wps:cNvPr id="0" name=""/>
                      <wps:cNvSpPr/>
                      <wps:spPr>
                        <a:xfrm>
                          <a:off x="0" y="0"/>
                          <a:ext cx="5943600" cy="0"/>
                        </a:xfrm>
                        <a:custGeom>
                          <a:avLst/>
                          <a:gdLst/>
                          <a:ahLst/>
                          <a:cxnLst/>
                          <a:rect l="0" t="0" r="r" b="b"/>
                          <a:pathLst>
                            <a:path>
                              <a:moveTo>
                                <a:pt x="0" y="0"/>
                              </a:moveTo>
                              <a:lnTo>
                                <a:pt x="5943600" y="0"/>
                              </a:lnTo>
                            </a:path>
                          </a:pathLst>
                        </a:custGeom>
                        <a:ln w="14288">
                          <a:solidFill>
                            <a:srgbClr val="808080"/>
                          </a:solidFill>
                        </a:ln>
                        <a:scene3d>
                          <a:camera prst="orthographicFront"/>
                          <a:lightRig rig="threePt" dir="t"/>
                        </a:scene3d>
                        <a:sp3d>
                          <a:bevelT prst="angle"/>
                        </a:sp3d>
                      </wps:spPr>
                      <wps:bodyPr rot="0">
                        <a:prstTxWarp prst="textNoShape">
                          <a:avLst/>
                        </a:prstTxWarp>
                        <a:noAutofit/>
                      </wps:bodyPr>
                    </wps:wsp>
                  </a:graphicData>
                </a:graphic>
              </wp:inline>
            </w:drawing>
          </mc:Choice>
          <mc:Fallback>
            <w:pict>
              <v:shape id="shape 10" o:spid="_x0000_s10" style="width:468.00pt;height:0.00pt;mso-wrap-distance-left:0.00pt;mso-wrap-distance-top:0.00pt;mso-wrap-distance-right:0.00pt;mso-wrap-distance-bottom:0.00pt;visibility:visible;" path="m0,0l13758333,0e" coordsize="100000,100000" filled="f" strokecolor="#808080" strokeweight="1.13pt">
                <v:path textboxrect="0,0,0,0"/>
              </v:shape>
            </w:pict>
          </mc:Fallback>
        </mc:AlternateContent>
      </w:r>
    </w:p>
    <w:p>
      <w:pPr>
        <w:pStyle w:val="text-11"/>
      </w:pPr>
      <w:r>
        <w:rPr>
          <w:rStyle w:val="text-11-c"/>
        </w:rPr>
        <w:t xml:space="preserve">直近30日間の行動事項</w:t>
      </w:r>
    </w:p>
    <w:p>
      <w:pPr>
        <w:pStyle w:val="text-58"/>
        <w:numPr>
          <w:ilvl w:val="0"/>
          <w:numId w:val="4"/>
        </w:numPr>
      </w:pPr>
      <w:r>
        <w:rPr>
          <w:rStyle w:val="text-58-c"/>
        </w:rPr>
        <w:t xml:space="preserve">日本人共同創設者の特定と接触</w:t>
      </w:r>
      <w:r>
        <w:rPr>
          <w:rStyle w:val="text-59-c"/>
        </w:rPr>
        <w:t xml:space="preserve"> ― 最も重要な単一の決定事項</w:t>
      </w:r>
    </w:p>
    <w:p>
      <w:pPr>
        <w:pStyle w:val="text-388"/>
        <w:numPr>
          <w:ilvl w:val="0"/>
          <w:numId w:val="4"/>
        </w:numPr>
      </w:pPr>
      <w:r>
        <w:rPr>
          <w:rStyle w:val="text-59-c"/>
        </w:rPr>
        <w:t xml:space="preserve">御杖村長との非公式面談の設定</w:t>
      </w:r>
    </w:p>
    <w:p>
      <w:pPr>
        <w:pStyle w:val="text-388"/>
        <w:numPr>
          <w:ilvl w:val="0"/>
          <w:numId w:val="4"/>
        </w:numPr>
      </w:pPr>
      <w:r>
        <w:rPr>
          <w:rStyle w:val="text-59-c"/>
        </w:rPr>
        <w:t xml:space="preserve">奈良県内の候補となる行政書士1〜2名への初回相談</w:t>
      </w:r>
    </w:p>
    <w:p>
      <w:pPr>
        <w:pStyle w:val="text-388"/>
        <w:numPr>
          <w:ilvl w:val="0"/>
          <w:numId w:val="4"/>
        </w:numPr>
      </w:pPr>
      <w:r>
        <w:rPr>
          <w:rStyle w:val="text-59-c"/>
        </w:rPr>
        <w:t xml:space="preserve">日本語と英語の2ページ憲章草案の作成</w:t>
      </w:r>
    </w:p>
    <w:p>
      <w:pPr>
        <w:pStyle w:val="text-388"/>
        <w:numPr>
          <w:ilvl w:val="0"/>
          <w:numId w:val="4"/>
        </w:numPr>
      </w:pPr>
      <w:r>
        <w:rPr>
          <w:rStyle w:val="text-59-c"/>
        </w:rPr>
        <w:t xml:space="preserve">伊藤穰一氏とレイ・オジー氏からの顧問就任の書面確認(非公式でも可)</w:t>
      </w:r>
    </w:p>
    <w:p>
      <w:pPr>
        <w:pStyle w:val="text-388"/>
        <w:numPr>
          <w:ilvl w:val="0"/>
          <w:numId w:val="4"/>
        </w:numPr>
      </w:pPr>
      <w:r>
        <w:rPr>
          <w:rStyle w:val="text-59-c"/>
        </w:rPr>
        <w:t xml:space="preserve">サンドラ・ペレグロム氏・オランダ総領事館からの支持表明意思の確認</w:t>
      </w:r>
    </w:p>
    <w:p>
      <w:pPr>
        <w:pStyle w:val="text-388"/>
        <w:numPr>
          <w:ilvl w:val="0"/>
          <w:numId w:val="4"/>
        </w:numPr>
      </w:pPr>
      <w:r>
        <w:rPr>
          <w:rStyle w:val="text-59-c"/>
        </w:rPr>
        <w:t xml:space="preserve">創設チーム用のSlack・Signal・メーリングリストの開設</w:t>
      </w:r>
    </w:p>
    <w:p>
      <w:pPr>
        <w:jc w:val="center"/>
      </w:pPr>
      <w:r>
        <mc:AlternateContent>
          <mc:Choice Requires="wpg">
            <w:drawing>
              <wp:inline xmlns:wp="http://schemas.openxmlformats.org/drawingml/2006/wordprocessingDrawing" distT="0" distB="0" distL="0" distR="0">
                <wp:extent cx="5943600" cy="0"/>
                <wp:effectExtent l="0" t="0" r="0" b="0"/>
                <wp:docPr id="12" name="Line 12"/>
                <wp:cNvGraphicFramePr/>
                <a:graphic xmlns:a="http://schemas.openxmlformats.org/drawingml/2006/main">
                  <a:graphicData uri="http://schemas.microsoft.com/office/word/2010/wordprocessingShape">
                    <wps:wsp>
                      <wps:cNvPr id="0" name=""/>
                      <wps:cNvSpPr/>
                      <wps:spPr>
                        <a:xfrm>
                          <a:off x="0" y="0"/>
                          <a:ext cx="5943600" cy="0"/>
                        </a:xfrm>
                        <a:custGeom>
                          <a:avLst/>
                          <a:gdLst/>
                          <a:ahLst/>
                          <a:cxnLst/>
                          <a:rect l="0" t="0" r="r" b="b"/>
                          <a:pathLst>
                            <a:path>
                              <a:moveTo>
                                <a:pt x="0" y="0"/>
                              </a:moveTo>
                              <a:lnTo>
                                <a:pt x="5943600" y="0"/>
                              </a:lnTo>
                            </a:path>
                          </a:pathLst>
                        </a:custGeom>
                        <a:ln w="14288">
                          <a:solidFill>
                            <a:srgbClr val="808080"/>
                          </a:solidFill>
                        </a:ln>
                        <a:scene3d>
                          <a:camera prst="orthographicFront"/>
                          <a:lightRig rig="threePt" dir="t"/>
                        </a:scene3d>
                        <a:sp3d>
                          <a:bevelT prst="angle"/>
                        </a:sp3d>
                      </wps:spPr>
                      <wps:bodyPr rot="0">
                        <a:prstTxWarp prst="textNoShape">
                          <a:avLst/>
                        </a:prstTxWarp>
                        <a:noAutofit/>
                      </wps:bodyPr>
                    </wps:wsp>
                  </a:graphicData>
                </a:graphic>
              </wp:inline>
            </w:drawing>
          </mc:Choice>
          <mc:Fallback>
            <w:pict>
              <v:shape id="shape 11" o:spid="_x0000_s11" style="width:468.00pt;height:0.00pt;mso-wrap-distance-left:0.00pt;mso-wrap-distance-top:0.00pt;mso-wrap-distance-right:0.00pt;mso-wrap-distance-bottom:0.00pt;visibility:visible;" path="m0,0l13758333,0e" coordsize="100000,100000" filled="f" strokecolor="#808080" strokeweight="1.13pt">
                <v:path textboxrect="0,0,0,0"/>
              </v:shape>
            </w:pict>
          </mc:Fallback>
        </mc:AlternateContent>
      </w:r>
    </w:p>
    <w:p>
      <w:pPr>
        <w:pStyle w:val="text-11"/>
      </w:pPr>
      <w:r>
        <w:rPr>
          <w:rStyle w:val="text-11-c"/>
        </w:rPr>
        <w:t xml:space="preserve">推奨参考資料</w:t>
      </w:r>
    </w:p>
    <w:p>
      <w:pPr>
        <w:pStyle w:val="text-93"/>
        <w:numPr>
          <w:ilvl w:val="0"/>
          <w:numId w:val="1"/>
        </w:numPr>
      </w:pPr>
      <w:r>
        <w:rPr>
          <w:rStyle w:val="text-93-c"/>
        </w:rPr>
        <w:t xml:space="preserve">日本NPOセンター</w:t>
      </w:r>
      <w:r>
        <w:rPr>
          <w:rStyle w:val="text-74-c"/>
        </w:rPr>
        <w:t xml:space="preserve">(jnpoc.ne.jp) ― NPO設立の主要情報源</w:t>
      </w:r>
    </w:p>
    <w:p>
      <w:pPr>
        <w:pStyle w:val="text-93"/>
        <w:numPr>
          <w:ilvl w:val="0"/>
          <w:numId w:val="1"/>
        </w:numPr>
      </w:pPr>
      <w:r>
        <w:rPr>
          <w:rStyle w:val="text-93-c"/>
        </w:rPr>
        <w:t xml:space="preserve">林野庁</w:t>
      </w:r>
      <w:r>
        <w:rPr>
          <w:rStyle w:val="text-74-c"/>
        </w:rPr>
        <w:t xml:space="preserve">ウェブサイト ― 林業助成金と規制</w:t>
      </w:r>
    </w:p>
    <w:p>
      <w:pPr>
        <w:pStyle w:val="text-93"/>
        <w:numPr>
          <w:ilvl w:val="0"/>
          <w:numId w:val="1"/>
        </w:numPr>
      </w:pPr>
      <w:r>
        <w:rPr>
          <w:rStyle w:val="text-93-c"/>
        </w:rPr>
        <w:t xml:space="preserve">NEDO</w:t>
      </w:r>
      <w:r>
        <w:rPr>
          <w:rStyle w:val="text-74-c"/>
        </w:rPr>
        <w:t xml:space="preserve"> ― 再生可能エネルギー助成プログラム</w:t>
      </w:r>
    </w:p>
    <w:p>
      <w:pPr>
        <w:pStyle w:val="text-93"/>
        <w:numPr>
          <w:ilvl w:val="0"/>
          <w:numId w:val="1"/>
        </w:numPr>
      </w:pPr>
      <w:r>
        <w:rPr>
          <w:rStyle w:val="text-93-c"/>
        </w:rPr>
        <w:t xml:space="preserve">日本財団</w:t>
      </w:r>
      <w:r>
        <w:rPr>
          <w:rStyle w:val="text-74-c"/>
        </w:rPr>
        <w:t xml:space="preserve"> ― 社会的取り組みへの主要助成団体</w:t>
      </w:r>
    </w:p>
    <w:p>
      <w:pPr>
        <w:pStyle w:val="text-93"/>
        <w:numPr>
          <w:ilvl w:val="0"/>
          <w:numId w:val="1"/>
        </w:numPr>
      </w:pPr>
      <w:r>
        <w:rPr>
          <w:rStyle w:val="text-93-c"/>
        </w:rPr>
        <w:t xml:space="preserve">METI(経済産業省)</w:t>
      </w:r>
      <w:r>
        <w:rPr>
          <w:rStyle w:val="text-74-c"/>
        </w:rPr>
        <w:t xml:space="preserve"> ― バイオマスおよびFIT/FIP規制</w:t>
      </w:r>
    </w:p>
    <w:p>
      <w:pPr>
        <w:pStyle w:val="text-93"/>
        <w:numPr>
          <w:ilvl w:val="0"/>
          <w:numId w:val="1"/>
        </w:numPr>
      </w:pPr>
      <w:r>
        <w:rPr>
          <w:rStyle w:val="text-93-c"/>
        </w:rPr>
        <w:t xml:space="preserve">内閣府地方創生ポータル</w:t>
      </w:r>
      <w:r>
        <w:rPr>
          <w:rStyle w:val="text-74-c"/>
        </w:rPr>
        <w:t xml:space="preserve">(chisou.go.jp)</w:t>
      </w:r>
    </w:p>
    <w:p>
      <w:pPr>
        <w:jc w:val="center"/>
      </w:pPr>
      <w:r>
        <mc:AlternateContent>
          <mc:Choice Requires="wpg">
            <w:drawing>
              <wp:inline xmlns:wp="http://schemas.openxmlformats.org/drawingml/2006/wordprocessingDrawing" distT="0" distB="0" distL="0" distR="0">
                <wp:extent cx="5943600" cy="0"/>
                <wp:effectExtent l="0" t="0" r="0" b="0"/>
                <wp:docPr id="13" name="Line 13"/>
                <wp:cNvGraphicFramePr/>
                <a:graphic xmlns:a="http://schemas.openxmlformats.org/drawingml/2006/main">
                  <a:graphicData uri="http://schemas.microsoft.com/office/word/2010/wordprocessingShape">
                    <wps:wsp>
                      <wps:cNvPr id="0" name=""/>
                      <wps:cNvSpPr/>
                      <wps:spPr>
                        <a:xfrm>
                          <a:off x="0" y="0"/>
                          <a:ext cx="5943600" cy="0"/>
                        </a:xfrm>
                        <a:custGeom>
                          <a:avLst/>
                          <a:gdLst/>
                          <a:ahLst/>
                          <a:cxnLst/>
                          <a:rect l="0" t="0" r="r" b="b"/>
                          <a:pathLst>
                            <a:path>
                              <a:moveTo>
                                <a:pt x="0" y="0"/>
                              </a:moveTo>
                              <a:lnTo>
                                <a:pt x="5943600" y="0"/>
                              </a:lnTo>
                            </a:path>
                          </a:pathLst>
                        </a:custGeom>
                        <a:ln w="14288">
                          <a:solidFill>
                            <a:srgbClr val="808080"/>
                          </a:solidFill>
                        </a:ln>
                        <a:scene3d>
                          <a:camera prst="orthographicFront"/>
                          <a:lightRig rig="threePt" dir="t"/>
                        </a:scene3d>
                        <a:sp3d>
                          <a:bevelT prst="angle"/>
                        </a:sp3d>
                      </wps:spPr>
                      <wps:bodyPr rot="0">
                        <a:prstTxWarp prst="textNoShape">
                          <a:avLst/>
                        </a:prstTxWarp>
                        <a:noAutofit/>
                      </wps:bodyPr>
                    </wps:wsp>
                  </a:graphicData>
                </a:graphic>
              </wp:inline>
            </w:drawing>
          </mc:Choice>
          <mc:Fallback>
            <w:pict>
              <v:shape id="shape 12" o:spid="_x0000_s12" style="width:468.00pt;height:0.00pt;mso-wrap-distance-left:0.00pt;mso-wrap-distance-top:0.00pt;mso-wrap-distance-right:0.00pt;mso-wrap-distance-bottom:0.00pt;visibility:visible;" path="m0,0l13758333,0e" coordsize="100000,100000" filled="f" strokecolor="#808080" strokeweight="1.13pt">
                <v:path textboxrect="0,0,0,0"/>
              </v:shape>
            </w:pict>
          </mc:Fallback>
        </mc:AlternateContent>
      </w:r>
    </w:p>
    <w:p>
      <w:pPr>
        <w:pStyle w:val="text-11"/>
      </w:pPr>
      <w:r>
        <w:rPr>
          <w:rStyle w:val="text-11-c"/>
        </w:rPr>
        <w:t xml:space="preserve">結びに</w:t>
      </w:r>
    </w:p>
    <w:p>
      <w:pPr>
        <w:pStyle w:val="text-12"/>
      </w:pPr>
      <w:r>
        <w:rPr>
          <w:rStyle w:val="text-12-c"/>
        </w:rPr>
        <w:t xml:space="preserve">本計画は、進度においては意図的に保守的に、ビジョンにおいては野心的に設計いたしました。同種プロジェクトが犯す最大の誤りは、地域の社会的承認を確保する前に公の場で先行しすぎ、応えきれない期待の重みに耐えかねて崩壊することにあります。</w:t>
      </w:r>
    </w:p>
    <w:p>
      <w:pPr>
        <w:pStyle w:val="text-12"/>
      </w:pPr>
      <w:r>
        <w:rPr>
          <w:rStyle w:val="text-12-c"/>
        </w:rPr>
        <w:t xml:space="preserve">御杖プロジェクトの強みは、25年という長期視点にあります。1年目に急ぐ必要はありません。25年目が成功となるか失敗となるかを決定づける、信頼、体制、能力を、長く慎重に積み上げていく時間があるのです。</w:t>
      </w:r>
    </w:p>
    <w:p>
      <w:pPr>
        <w:pStyle w:val="text-8"/>
      </w:pPr>
      <w:r>
        <w:rPr>
          <w:rStyle w:val="text-8-c"/>
        </w:rPr>
        <w:t xml:space="preserve">ゆっくりが滑らかに。滑らかが速さに。</w:t>
      </w:r>
    </w:p>
    <w:p>
      <w:pPr>
        <w:jc w:val="center"/>
      </w:pPr>
      <w:r>
        <mc:AlternateContent>
          <mc:Choice Requires="wpg">
            <w:drawing>
              <wp:inline xmlns:wp="http://schemas.openxmlformats.org/drawingml/2006/wordprocessingDrawing" distT="0" distB="0" distL="0" distR="0">
                <wp:extent cx="5943600" cy="0"/>
                <wp:effectExtent l="0" t="0" r="0" b="0"/>
                <wp:docPr id="14" name="Line 14"/>
                <wp:cNvGraphicFramePr/>
                <a:graphic xmlns:a="http://schemas.openxmlformats.org/drawingml/2006/main">
                  <a:graphicData uri="http://schemas.microsoft.com/office/word/2010/wordprocessingShape">
                    <wps:wsp>
                      <wps:cNvPr id="0" name=""/>
                      <wps:cNvSpPr/>
                      <wps:spPr>
                        <a:xfrm>
                          <a:off x="0" y="0"/>
                          <a:ext cx="5943600" cy="0"/>
                        </a:xfrm>
                        <a:custGeom>
                          <a:avLst/>
                          <a:gdLst/>
                          <a:ahLst/>
                          <a:cxnLst/>
                          <a:rect l="0" t="0" r="r" b="b"/>
                          <a:pathLst>
                            <a:path>
                              <a:moveTo>
                                <a:pt x="0" y="0"/>
                              </a:moveTo>
                              <a:lnTo>
                                <a:pt x="5943600" y="0"/>
                              </a:lnTo>
                            </a:path>
                          </a:pathLst>
                        </a:custGeom>
                        <a:ln w="14288">
                          <a:solidFill>
                            <a:srgbClr val="808080"/>
                          </a:solidFill>
                        </a:ln>
                        <a:scene3d>
                          <a:camera prst="orthographicFront"/>
                          <a:lightRig rig="threePt" dir="t"/>
                        </a:scene3d>
                        <a:sp3d>
                          <a:bevelT prst="angle"/>
                        </a:sp3d>
                      </wps:spPr>
                      <wps:bodyPr rot="0">
                        <a:prstTxWarp prst="textNoShape">
                          <a:avLst/>
                        </a:prstTxWarp>
                        <a:noAutofit/>
                      </wps:bodyPr>
                    </wps:wsp>
                  </a:graphicData>
                </a:graphic>
              </wp:inline>
            </w:drawing>
          </mc:Choice>
          <mc:Fallback>
            <w:pict>
              <v:shape id="shape 13" o:spid="_x0000_s13" style="width:468.00pt;height:0.00pt;mso-wrap-distance-left:0.00pt;mso-wrap-distance-top:0.00pt;mso-wrap-distance-right:0.00pt;mso-wrap-distance-bottom:0.00pt;visibility:visible;" path="m0,0l13758333,0e" coordsize="100000,100000" filled="f" strokecolor="#808080" strokeweight="1.13pt">
                <v:path textboxrect="0,0,0,0"/>
              </v:shape>
            </w:pict>
          </mc:Fallback>
        </mc:AlternateContent>
      </w:r>
    </w:p>
    <w:p>
      <w:pPr>
        <w:pStyle w:val="text-412"/>
      </w:pPr>
      <w:r>
        <w:rPr>
          <w:rStyle w:val="text-412-c"/>
        </w:rPr>
        <w:t xml:space="preserve">ロブ・アウデンダイク ― YR-Design / Safecast</w:t>
      </w:r>
      <w:r>
        <w:br/>
      </w:r>
      <w:r>
        <w:rPr>
          <w:rStyle w:val="text-12-c"/>
        </w:rPr>
        <w:br/>
      </w:r>
      <w:r>
        <w:rPr>
          <w:rStyle w:val="text-412-c"/>
        </w:rPr>
        <w:t xml:space="preserve">奈良県宇陀郡御杖村</w:t>
      </w:r>
      <w:r>
        <w:br/>
      </w:r>
      <w:r>
        <w:rPr>
          <w:rStyle w:val="text-12-c"/>
        </w:rPr>
        <w:br/>
      </w:r>
      <w:r>
        <w:rPr>
          <w:rStyle w:val="text-412-c"/>
        </w:rPr>
        <w:t xml:space="preserve">2026年4月</w:t>
      </w:r>
    </w:p>
    <w:sectPr>
      <w:pgSz w:h="15840" w:w="122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10000000000000000"/>
  </w:font>
  <w:font w:name="Courier New">
    <w:panose1 w:val="02070309020205020404"/>
  </w:font>
  <w:font w:name="Symbol">
    <w:panose1 w:val="05010000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lvl w:ilvl="0">
      <w:isLgl w:val="false"/>
      <w:lvlJc w:val="left"/>
      <w:lvlText w:val="·"/>
      <w:numFmt w:val="bullet"/>
      <w:pPr>
        <w:ind w:hanging="360" w:left="720"/>
      </w:pPr>
      <w:rPr>
        <w:rFonts w:ascii="Symbol" w:hAnsi="Symbol" w:eastAsia="Symbol" w:cs="Symbol"/>
      </w:rPr>
      <w:start w:val="1"/>
      <w:suff w:val="tab"/>
    </w:lvl>
    <w:lvl w:ilvl="1">
      <w:isLgl w:val="false"/>
      <w:lvlJc w:val="left"/>
      <w:lvlText w:val="o"/>
      <w:numFmt w:val="bullet"/>
      <w:pPr>
        <w:ind w:hanging="360" w:left="1440"/>
      </w:pPr>
      <w:rPr>
        <w:rFonts w:ascii="Courier New" w:hAnsi="Courier New" w:eastAsia="Courier New" w:cs="Courier New"/>
      </w:rPr>
      <w:start w:val="1"/>
      <w:suff w:val="tab"/>
    </w:lvl>
    <w:lvl w:ilvl="2">
      <w:isLgl w:val="false"/>
      <w:lvlJc w:val="left"/>
      <w:lvlText w:val="§"/>
      <w:numFmt w:val="bullet"/>
      <w:pPr>
        <w:ind w:hanging="360" w:left="2160"/>
      </w:pPr>
      <w:rPr>
        <w:rFonts w:ascii="Wingdings" w:hAnsi="Wingdings" w:eastAsia="Wingdings" w:cs="Wingdings"/>
      </w:rPr>
      <w:start w:val="1"/>
      <w:suff w:val="tab"/>
    </w:lvl>
    <w:lvl w:ilvl="3">
      <w:isLgl w:val="false"/>
      <w:lvlJc w:val="left"/>
      <w:lvlText w:val="·"/>
      <w:numFmt w:val="bullet"/>
      <w:pPr>
        <w:ind w:hanging="360" w:left="2880"/>
      </w:pPr>
      <w:rPr>
        <w:rFonts w:ascii="Symbol" w:hAnsi="Symbol" w:eastAsia="Symbol" w:cs="Symbol"/>
      </w:rPr>
      <w:start w:val="1"/>
      <w:suff w:val="tab"/>
    </w:lvl>
    <w:lvl w:ilvl="4">
      <w:isLgl w:val="false"/>
      <w:lvlJc w:val="left"/>
      <w:lvlText w:val="o"/>
      <w:numFmt w:val="bullet"/>
      <w:pPr>
        <w:ind w:hanging="360" w:left="3600"/>
      </w:pPr>
      <w:rPr>
        <w:rFonts w:ascii="Courier New" w:hAnsi="Courier New" w:eastAsia="Courier New" w:cs="Courier New"/>
      </w:rPr>
      <w:start w:val="1"/>
      <w:suff w:val="tab"/>
    </w:lvl>
    <w:lvl w:ilvl="5">
      <w:isLgl w:val="false"/>
      <w:lvlJc w:val="left"/>
      <w:lvlText w:val="§"/>
      <w:numFmt w:val="bullet"/>
      <w:pPr>
        <w:ind w:hanging="360" w:left="4320"/>
      </w:pPr>
      <w:rPr>
        <w:rFonts w:ascii="Wingdings" w:hAnsi="Wingdings" w:eastAsia="Wingdings" w:cs="Wingdings"/>
      </w:rPr>
      <w:start w:val="1"/>
      <w:suff w:val="tab"/>
    </w:lvl>
    <w:lvl w:ilvl="6">
      <w:isLgl w:val="false"/>
      <w:lvlJc w:val="left"/>
      <w:lvlText w:val="·"/>
      <w:numFmt w:val="bullet"/>
      <w:pPr>
        <w:ind w:hanging="360" w:left="5040"/>
      </w:pPr>
      <w:rPr>
        <w:rFonts w:ascii="Symbol" w:hAnsi="Symbol" w:eastAsia="Symbol" w:cs="Symbol"/>
      </w:rPr>
      <w:start w:val="1"/>
      <w:suff w:val="tab"/>
    </w:lvl>
    <w:lvl w:ilvl="7">
      <w:isLgl w:val="false"/>
      <w:lvlJc w:val="left"/>
      <w:lvlText w:val="o"/>
      <w:numFmt w:val="bullet"/>
      <w:pPr>
        <w:ind w:hanging="360" w:left="5760"/>
      </w:pPr>
      <w:rPr>
        <w:rFonts w:ascii="Courier New" w:hAnsi="Courier New" w:eastAsia="Courier New" w:cs="Courier New"/>
      </w:rPr>
      <w:start w:val="1"/>
      <w:suff w:val="tab"/>
    </w:lvl>
    <w:lvl w:ilvl="8">
      <w:isLgl w:val="false"/>
      <w:lvlJc w:val="left"/>
      <w:lvlText w:val="§"/>
      <w:numFmt w:val="bullet"/>
      <w:pPr>
        <w:ind w:hanging="360" w:left="6480"/>
      </w:pPr>
      <w:rPr>
        <w:rFonts w:ascii="Wingdings" w:hAnsi="Wingdings" w:eastAsia="Wingdings" w:cs="Wingdings"/>
      </w:rPr>
      <w:start w:val="1"/>
      <w:suff w:val="tab"/>
    </w:lvl>
  </w:abstractNum>
  <w:abstractNum w:abstractNumId="1">
    <w:multiLevelType w:val="hybridMultilevel"/>
    <w:lvl w:ilvl="0">
      <w:isLgl w:val="false"/>
      <w:lvlJc w:val="left"/>
      <w:lvlText w:val="%1."/>
      <w:numFmt w:val="decimal"/>
      <w:pPr>
        <w:ind w:hanging="360" w:left="709"/>
      </w:pPr>
      <w:start w:val="1"/>
      <w:suff w:val="tab"/>
    </w:lvl>
    <w:lvl w:ilvl="1">
      <w:isLgl w:val="false"/>
      <w:lvlJc w:val="left"/>
      <w:lvlText w:val="%2."/>
      <w:numFmt w:val="decimal"/>
      <w:pPr>
        <w:ind w:hanging="360" w:left="1429"/>
      </w:pPr>
      <w:start w:val="1"/>
      <w:suff w:val="tab"/>
    </w:lvl>
    <w:lvl w:ilvl="2">
      <w:isLgl w:val="false"/>
      <w:lvlJc w:val="right"/>
      <w:lvlText w:val="%3."/>
      <w:numFmt w:val="decimal"/>
      <w:pPr>
        <w:ind w:hanging="180" w:left="2149"/>
      </w:pPr>
      <w:start w:val="1"/>
      <w:suff w:val="tab"/>
    </w:lvl>
    <w:lvl w:ilvl="3">
      <w:isLgl w:val="false"/>
      <w:lvlJc w:val="left"/>
      <w:lvlText w:val="%4."/>
      <w:numFmt w:val="decimal"/>
      <w:pPr>
        <w:ind w:hanging="360" w:left="2869"/>
      </w:pPr>
      <w:start w:val="1"/>
      <w:suff w:val="tab"/>
    </w:lvl>
    <w:lvl w:ilvl="4">
      <w:isLgl w:val="false"/>
      <w:lvlJc w:val="left"/>
      <w:lvlText w:val="%5."/>
      <w:numFmt w:val="decimal"/>
      <w:pPr>
        <w:ind w:hanging="360" w:left="3589"/>
      </w:pPr>
      <w:start w:val="1"/>
      <w:suff w:val="tab"/>
    </w:lvl>
    <w:lvl w:ilvl="5">
      <w:isLgl w:val="false"/>
      <w:lvlJc w:val="right"/>
      <w:lvlText w:val="%6."/>
      <w:numFmt w:val="decimal"/>
      <w:pPr>
        <w:ind w:hanging="180" w:left="4309"/>
      </w:pPr>
      <w:start w:val="1"/>
      <w:suff w:val="tab"/>
    </w:lvl>
    <w:lvl w:ilvl="6">
      <w:isLgl w:val="false"/>
      <w:lvlJc w:val="left"/>
      <w:lvlText w:val="%7."/>
      <w:numFmt w:val="decimal"/>
      <w:pPr>
        <w:ind w:hanging="360" w:left="5029"/>
      </w:pPr>
      <w:start w:val="1"/>
      <w:suff w:val="tab"/>
    </w:lvl>
    <w:lvl w:ilvl="7">
      <w:isLgl w:val="false"/>
      <w:lvlJc w:val="left"/>
      <w:lvlText w:val="%8."/>
      <w:numFmt w:val="decimal"/>
      <w:pPr>
        <w:ind w:hanging="360" w:left="5749"/>
      </w:pPr>
      <w:start w:val="1"/>
      <w:suff w:val="tab"/>
    </w:lvl>
    <w:lvl w:ilvl="8">
      <w:isLgl w:val="false"/>
      <w:lvlJc w:val="right"/>
      <w:lvlText w:val="%9."/>
      <w:numFmt w:val="decimal"/>
      <w:pPr>
        <w:ind w:hanging="180" w:left="6469"/>
      </w:pPr>
      <w:start w:val="1"/>
      <w:suff w:val="tab"/>
    </w:lvl>
  </w:abstractNum>
  <w:abstractNum w:abstractNumId="2">
    <w:multiLevelType w:val="hybridMultilevel"/>
    <w:lvl w:ilvl="0">
      <w:isLgl w:val="false"/>
      <w:lvlJc w:val="left"/>
      <w:lvlText w:val="%1."/>
      <w:numFmt w:val="decimal"/>
      <w:pPr>
        <w:ind w:hanging="360" w:left="709"/>
      </w:pPr>
      <w:start w:val="1"/>
      <w:suff w:val="tab"/>
    </w:lvl>
    <w:lvl w:ilvl="1">
      <w:isLgl w:val="false"/>
      <w:lvlJc w:val="left"/>
      <w:lvlText w:val="%2."/>
      <w:numFmt w:val="decimal"/>
      <w:pPr>
        <w:ind w:hanging="360" w:left="1429"/>
      </w:pPr>
      <w:start w:val="1"/>
      <w:suff w:val="tab"/>
    </w:lvl>
    <w:lvl w:ilvl="2">
      <w:isLgl w:val="false"/>
      <w:lvlJc w:val="right"/>
      <w:lvlText w:val="%3."/>
      <w:numFmt w:val="decimal"/>
      <w:pPr>
        <w:ind w:hanging="180" w:left="2149"/>
      </w:pPr>
      <w:start w:val="1"/>
      <w:suff w:val="tab"/>
    </w:lvl>
    <w:lvl w:ilvl="3">
      <w:isLgl w:val="false"/>
      <w:lvlJc w:val="left"/>
      <w:lvlText w:val="%4."/>
      <w:numFmt w:val="decimal"/>
      <w:pPr>
        <w:ind w:hanging="360" w:left="2869"/>
      </w:pPr>
      <w:start w:val="1"/>
      <w:suff w:val="tab"/>
    </w:lvl>
    <w:lvl w:ilvl="4">
      <w:isLgl w:val="false"/>
      <w:lvlJc w:val="left"/>
      <w:lvlText w:val="%5."/>
      <w:numFmt w:val="decimal"/>
      <w:pPr>
        <w:ind w:hanging="360" w:left="3589"/>
      </w:pPr>
      <w:start w:val="1"/>
      <w:suff w:val="tab"/>
    </w:lvl>
    <w:lvl w:ilvl="5">
      <w:isLgl w:val="false"/>
      <w:lvlJc w:val="right"/>
      <w:lvlText w:val="%6."/>
      <w:numFmt w:val="decimal"/>
      <w:pPr>
        <w:ind w:hanging="180" w:left="4309"/>
      </w:pPr>
      <w:start w:val="1"/>
      <w:suff w:val="tab"/>
    </w:lvl>
    <w:lvl w:ilvl="6">
      <w:isLgl w:val="false"/>
      <w:lvlJc w:val="left"/>
      <w:lvlText w:val="%7."/>
      <w:numFmt w:val="decimal"/>
      <w:pPr>
        <w:ind w:hanging="360" w:left="5029"/>
      </w:pPr>
      <w:start w:val="1"/>
      <w:suff w:val="tab"/>
    </w:lvl>
    <w:lvl w:ilvl="7">
      <w:isLgl w:val="false"/>
      <w:lvlJc w:val="left"/>
      <w:lvlText w:val="%8."/>
      <w:numFmt w:val="decimal"/>
      <w:pPr>
        <w:ind w:hanging="360" w:left="5749"/>
      </w:pPr>
      <w:start w:val="1"/>
      <w:suff w:val="tab"/>
    </w:lvl>
    <w:lvl w:ilvl="8">
      <w:isLgl w:val="false"/>
      <w:lvlJc w:val="right"/>
      <w:lvlText w:val="%9."/>
      <w:numFmt w:val="decimal"/>
      <w:pPr>
        <w:ind w:hanging="180" w:left="6469"/>
      </w:pPr>
      <w:start w:val="1"/>
      <w:suff w:val="tab"/>
    </w:lvl>
  </w:abstractNum>
  <w:abstractNum w:abstractNumId="3">
    <w:multiLevelType w:val="hybridMultilevel"/>
    <w:lvl w:ilvl="0">
      <w:isLgl w:val="false"/>
      <w:lvlJc w:val="left"/>
      <w:lvlText w:val="%1."/>
      <w:numFmt w:val="decimal"/>
      <w:pPr>
        <w:ind w:hanging="360" w:left="709"/>
      </w:pPr>
      <w:start w:val="1"/>
      <w:suff w:val="tab"/>
    </w:lvl>
    <w:lvl w:ilvl="1">
      <w:isLgl w:val="false"/>
      <w:lvlJc w:val="left"/>
      <w:lvlText w:val="%2."/>
      <w:numFmt w:val="decimal"/>
      <w:pPr>
        <w:ind w:hanging="360" w:left="1429"/>
      </w:pPr>
      <w:start w:val="1"/>
      <w:suff w:val="tab"/>
    </w:lvl>
    <w:lvl w:ilvl="2">
      <w:isLgl w:val="false"/>
      <w:lvlJc w:val="right"/>
      <w:lvlText w:val="%3."/>
      <w:numFmt w:val="decimal"/>
      <w:pPr>
        <w:ind w:hanging="180" w:left="2149"/>
      </w:pPr>
      <w:start w:val="1"/>
      <w:suff w:val="tab"/>
    </w:lvl>
    <w:lvl w:ilvl="3">
      <w:isLgl w:val="false"/>
      <w:lvlJc w:val="left"/>
      <w:lvlText w:val="%4."/>
      <w:numFmt w:val="decimal"/>
      <w:pPr>
        <w:ind w:hanging="360" w:left="2869"/>
      </w:pPr>
      <w:start w:val="1"/>
      <w:suff w:val="tab"/>
    </w:lvl>
    <w:lvl w:ilvl="4">
      <w:isLgl w:val="false"/>
      <w:lvlJc w:val="left"/>
      <w:lvlText w:val="%5."/>
      <w:numFmt w:val="decimal"/>
      <w:pPr>
        <w:ind w:hanging="360" w:left="3589"/>
      </w:pPr>
      <w:start w:val="1"/>
      <w:suff w:val="tab"/>
    </w:lvl>
    <w:lvl w:ilvl="5">
      <w:isLgl w:val="false"/>
      <w:lvlJc w:val="right"/>
      <w:lvlText w:val="%6."/>
      <w:numFmt w:val="decimal"/>
      <w:pPr>
        <w:ind w:hanging="180" w:left="4309"/>
      </w:pPr>
      <w:start w:val="1"/>
      <w:suff w:val="tab"/>
    </w:lvl>
    <w:lvl w:ilvl="6">
      <w:isLgl w:val="false"/>
      <w:lvlJc w:val="left"/>
      <w:lvlText w:val="%7."/>
      <w:numFmt w:val="decimal"/>
      <w:pPr>
        <w:ind w:hanging="360" w:left="5029"/>
      </w:pPr>
      <w:start w:val="1"/>
      <w:suff w:val="tab"/>
    </w:lvl>
    <w:lvl w:ilvl="7">
      <w:isLgl w:val="false"/>
      <w:lvlJc w:val="left"/>
      <w:lvlText w:val="%8."/>
      <w:numFmt w:val="decimal"/>
      <w:pPr>
        <w:ind w:hanging="360" w:left="5749"/>
      </w:pPr>
      <w:start w:val="1"/>
      <w:suff w:val="tab"/>
    </w:lvl>
    <w:lvl w:ilvl="8">
      <w:isLgl w:val="false"/>
      <w:lvlJc w:val="right"/>
      <w:lvlText w:val="%9."/>
      <w:numFmt w:val="decimal"/>
      <w:pPr>
        <w:ind w:hanging="180" w:left="6469"/>
      </w:pPr>
      <w:start w:val="1"/>
      <w:suff w:val="tab"/>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08"/>
  <w:characterSpacingControl w:val="doNotCompress"/>
  <w:footnotePr>
    <w:pos w:val="pageBottom"/>
    <w:numFmt w:val="decimal"/>
    <w:numStart w:val="1"/>
    <w:numRestart w:val="continuous"/>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normal" w:default="1">
    <w:name w:val="Normal"/>
    <w:qFormat/>
    <w:rPr>
      <w:rFonts w:eastAsiaTheme="minorEastAsia"/>
      <w:sz w:val="24"/>
      <w:szCs w:val="24"/>
    </w:rPr>
  </w:style>
  <w:style w:type="paragraph" w:styleId="li">
    <w:name w:val="List Paragraph"/>
    <w:basedOn w:val="normal"/>
    <w:uiPriority w:val="34"/>
    <w:qFormat/>
    <w:pPr>
      <w:ind w:left="720"/>
      <w:contextualSpacing w:val="true"/>
    </w:pPr>
  </w:style>
  <w:style w:type="character" w:styleId="a">
    <w:name w:val="Hyperlink"/>
    <w:uiPriority w:val="99"/>
    <w:unhideWhenUsed/>
    <w:rPr>
      <w:color w:val="0000ff" w:themeColor="hyperlink"/>
      <w:u w:val="single"/>
    </w:rPr>
  </w:style>
  <w:style w:type="character" w:styleId="footnote">
    <w:name w:val="footnote reference"/>
    <w:uiPriority w:val="99"/>
    <w:unhideWhenUsed/>
    <w:rPr>
      <w:vertAlign w:val="superscript"/>
    </w:rPr>
  </w:style>
  <w:style w:type="paragraph" w:styleId="footnote-p">
    <w:name w:val="footnote text"/>
    <w:basedOn w:val="normal"/>
    <w:link w:val="footnote-c"/>
    <w:uiPriority w:val="99"/>
    <w:semiHidden/>
    <w:unhideWhenUsed/>
    <w:pPr>
      <w:spacing w:after="40" w:line="240" w:lineRule="auto"/>
    </w:pPr>
    <w:rPr>
      <w:sz w:val="18"/>
    </w:rPr>
  </w:style>
  <w:style w:type="character" w:styleId="footnote-c" w:customStyle="1">
    <w:name w:val="footnote text character"/>
    <w:link w:val="footnote-p"/>
    <w:uiPriority w:val="99"/>
    <w:rPr>
      <w:sz w:val="18"/>
    </w:rPr>
  </w:style>
  <w:style w:type="paragraph" w:styleId="normal-web">
    <w:name w:val="Normal (Web)"/>
    <w:basedOn w:val="normal"/>
    <w:uiPriority w:val="99"/>
    <w:semiHidden/>
    <w:unhideWhenUsed/>
    <w:pPr>
      <w:spacing w:after="100" w:afterAutospacing="1" w:before="100" w:beforeAutospacing="1"/>
    </w:pPr>
  </w:style>
  <w:style w:type="paragraph" w:styleId="h1">
    <w:name w:val="Heading 1"/>
    <w:basedOn w:val="normal"/>
    <w:link w:val="h1-c"/>
    <w:pPr>
      <w:spacing w:after="100" w:afterAutospacing="1" w:before="100" w:beforeAutospacing="1"/>
      <w:outlineLvl w:val="0"/>
    </w:pPr>
  </w:style>
  <w:style w:type="paragraph" w:styleId="text-3" w:customStyle="1">
    <w:name w:val="text-3"/>
    <w:basedOn w:val="h1"/>
    <w:qFormat/>
    <w:pPr>
      <w:spacing w:after="80" w:afterAutospacing="1" w:before="360" w:beforeAutospacing="1"/>
    </w:pPr>
  </w:style>
  <w:style w:type="character" w:styleId="h1-c" w:customStyle="1">
    <w:name w:val="Heading 1 Sign"/>
    <w:link w:val="h1"/>
    <w:uiPriority w:val="9"/>
    <w:rPr>
      <w:b/>
      <w:bCs/>
      <w:kern w:val="36"/>
      <w:sz w:val="48"/>
      <w:szCs w:val="48"/>
    </w:rPr>
  </w:style>
  <w:style w:type="character" w:styleId="text-3-c" w:customStyle="1">
    <w:name w:val="text-3-c"/>
    <w:basedOn w:val="h1-c"/>
    <w:rPr>
      <w:rFonts w:ascii="Arial" w:hAnsi="Arial" w:eastAsia="Arial" w:cs="Arial"/>
      <w:color w:val="0f4761"/>
      <w:sz w:val="40"/>
      <w:szCs w:val="40"/>
    </w:rPr>
  </w:style>
  <w:style w:type="paragraph" w:styleId="h3">
    <w:name w:val="Heading 3"/>
    <w:basedOn w:val="normal"/>
    <w:link w:val="h3-c"/>
    <w:pPr>
      <w:spacing w:after="100" w:afterAutospacing="1" w:before="100" w:beforeAutospacing="1"/>
      <w:outlineLvl w:val="2"/>
    </w:pPr>
  </w:style>
  <w:style w:type="paragraph" w:styleId="text-5" w:customStyle="1">
    <w:name w:val="text-5"/>
    <w:basedOn w:val="h3"/>
    <w:qFormat/>
    <w:pPr>
      <w:spacing w:after="80" w:afterAutospacing="1" w:before="160" w:beforeAutospacing="1"/>
    </w:pPr>
  </w:style>
  <w:style w:type="character" w:styleId="h3-c" w:customStyle="1">
    <w:name w:val="Heading 3 Sign"/>
    <w:link w:val="h3"/>
    <w:uiPriority w:val="9"/>
    <w:unhideWhenUsed/>
    <w:rPr>
      <w:b/>
      <w:bCs/>
      <w:sz w:val="27"/>
      <w:szCs w:val="27"/>
    </w:rPr>
  </w:style>
  <w:style w:type="character" w:styleId="text-5-c" w:customStyle="1">
    <w:name w:val="text-5-c"/>
    <w:basedOn w:val="h3-c"/>
    <w:rPr>
      <w:rFonts w:ascii="Arial" w:hAnsi="Arial" w:eastAsia="Arial" w:cs="Arial"/>
      <w:color w:val="0f4761"/>
      <w:sz w:val="28"/>
      <w:szCs w:val="28"/>
    </w:rPr>
  </w:style>
  <w:style w:type="paragraph" w:styleId="text-8" w:customStyle="1">
    <w:name w:val="text-8"/>
    <w:qFormat/>
    <w:pPr>
      <w:spacing w:after="150" w:afterAutospacing="1"/>
    </w:pPr>
  </w:style>
  <w:style w:type="character" w:styleId="text-8-c" w:customStyle="1">
    <w:name w:val="text-8-c"/>
    <w:rPr>
      <w:rFonts w:ascii="Arial" w:hAnsi="Arial" w:eastAsia="Arial" w:cs="Arial"/>
      <w:b/>
      <w:bCs/>
      <w:color w:val="000000"/>
    </w:rPr>
  </w:style>
  <w:style w:type="paragraph" w:styleId="h2">
    <w:name w:val="Heading 2"/>
    <w:basedOn w:val="normal"/>
    <w:link w:val="h2-c"/>
    <w:pPr>
      <w:spacing w:after="100" w:afterAutospacing="1" w:before="100" w:beforeAutospacing="1"/>
      <w:outlineLvl w:val="1"/>
    </w:pPr>
  </w:style>
  <w:style w:type="paragraph" w:styleId="text-11" w:customStyle="1">
    <w:name w:val="text-11"/>
    <w:basedOn w:val="h2"/>
    <w:qFormat/>
    <w:pPr>
      <w:spacing w:after="80" w:afterAutospacing="1" w:before="160" w:beforeAutospacing="1"/>
    </w:pPr>
  </w:style>
  <w:style w:type="character" w:styleId="h2-c" w:customStyle="1">
    <w:name w:val="Heading 2 Sign"/>
    <w:link w:val="h2"/>
    <w:uiPriority w:val="9"/>
    <w:unhideWhenUsed/>
    <w:rPr>
      <w:b/>
      <w:bCs/>
      <w:sz w:val="36"/>
      <w:szCs w:val="36"/>
    </w:rPr>
  </w:style>
  <w:style w:type="character" w:styleId="text-11-c" w:customStyle="1">
    <w:name w:val="text-11-c"/>
    <w:basedOn w:val="h2-c"/>
    <w:rPr>
      <w:rFonts w:ascii="Arial" w:hAnsi="Arial" w:eastAsia="Arial" w:cs="Arial"/>
      <w:color w:val="0f4761"/>
      <w:sz w:val="32"/>
      <w:szCs w:val="32"/>
    </w:rPr>
  </w:style>
  <w:style w:type="paragraph" w:styleId="text-12" w:customStyle="1">
    <w:name w:val="text-12"/>
    <w:qFormat/>
    <w:pPr>
      <w:spacing w:after="150" w:afterAutospacing="1"/>
    </w:pPr>
  </w:style>
  <w:style w:type="character" w:styleId="text-12-c" w:customStyle="1">
    <w:name w:val="text-12-c"/>
    <w:rPr>
      <w:rFonts w:ascii="Arial" w:hAnsi="Arial" w:eastAsia="Arial" w:cs="Arial"/>
      <w:color w:val="000000"/>
    </w:rPr>
  </w:style>
  <w:style w:type="paragraph" w:styleId="text-23" w:customStyle="1">
    <w:name w:val="text-23"/>
    <w:qFormat/>
    <w:pPr>
      <w:spacing w:after="300" w:afterAutospacing="1"/>
      <w:jc w:val="center"/>
    </w:pPr>
  </w:style>
  <w:style w:type="character" w:styleId="text-23-c" w:customStyle="1">
    <w:name w:val="text-23-c"/>
    <w:rPr>
      <w:rFonts w:ascii="Arial" w:hAnsi="Arial" w:eastAsia="Arial" w:cs="Arial"/>
      <w:b/>
      <w:bCs/>
      <w:color w:val="000000"/>
    </w:rPr>
  </w:style>
  <w:style w:type="paragraph" w:styleId="text-30" w:customStyle="1">
    <w:name w:val="text-30"/>
    <w:qFormat/>
    <w:pPr>
      <w:spacing w:after="300" w:afterAutospacing="1" w:line="1" w:lineRule="atLeast"/>
    </w:pPr>
  </w:style>
  <w:style w:type="character" w:styleId="text-30-c" w:customStyle="1">
    <w:name w:val="text-30-c"/>
    <w:rPr>
      <w:rFonts w:ascii="Arial" w:hAnsi="Arial" w:eastAsia="Arial" w:cs="Arial"/>
      <w:color w:val="000000"/>
    </w:rPr>
  </w:style>
  <w:style w:type="paragraph" w:styleId="text-58" w:customStyle="1">
    <w:name w:val="text-58"/>
    <w:qFormat/>
    <w:pPr>
      <w:spacing w:after="100" w:afterAutospacing="1" w:before="100" w:beforeAutospacing="1"/>
    </w:pPr>
  </w:style>
  <w:style w:type="character" w:styleId="text-58-c" w:customStyle="1">
    <w:name w:val="text-58-c"/>
    <w:rPr>
      <w:rFonts w:ascii="Arial" w:hAnsi="Arial" w:eastAsia="Arial" w:cs="Arial"/>
      <w:b/>
      <w:bCs/>
      <w:color w:val="000000"/>
    </w:rPr>
  </w:style>
  <w:style w:type="character" w:styleId="text-59-c" w:customStyle="1">
    <w:name w:val="text-59-c"/>
    <w:rPr>
      <w:rFonts w:ascii="Arial" w:hAnsi="Arial" w:eastAsia="Arial" w:cs="Arial"/>
      <w:color w:val="000000"/>
    </w:rPr>
  </w:style>
  <w:style w:type="character" w:styleId="text-70-c" w:customStyle="1">
    <w:name w:val="text-70-c"/>
    <w:rPr>
      <w:rFonts w:ascii="Arial" w:hAnsi="Arial" w:eastAsia="Arial" w:cs="Arial"/>
      <w:b/>
      <w:bCs/>
      <w:color w:val="000000"/>
      <w:sz w:val="28"/>
      <w:szCs w:val="28"/>
    </w:rPr>
  </w:style>
  <w:style w:type="paragraph" w:styleId="li">
    <w:name w:val="List Paragraph"/>
    <w:basedOn w:val="normal"/>
    <w:uiPriority w:val="34"/>
    <w:pPr>
      <w:ind w:left="720"/>
      <w:contextualSpacing w:val="true"/>
    </w:pPr>
  </w:style>
  <w:style w:type="paragraph" w:styleId="text-74" w:customStyle="1">
    <w:name w:val="text-74"/>
    <w:basedOn w:val="li"/>
    <w:qFormat/>
    <w:pPr>
      <w:spacing w:after="150" w:afterAutospacing="1"/>
    </w:pPr>
  </w:style>
  <w:style w:type="character" w:styleId="text-74-c" w:customStyle="1">
    <w:name w:val="text-74-c"/>
    <w:rPr>
      <w:rFonts w:ascii="Arial" w:hAnsi="Arial" w:eastAsia="Arial" w:cs="Arial"/>
      <w:color w:val="000000"/>
    </w:rPr>
  </w:style>
  <w:style w:type="paragraph" w:styleId="h4">
    <w:name w:val="Heading 4"/>
    <w:basedOn w:val="normal"/>
    <w:link w:val="h4-c"/>
    <w:pPr>
      <w:spacing w:after="100" w:afterAutospacing="1" w:before="100" w:beforeAutospacing="1"/>
      <w:outlineLvl w:val="3"/>
    </w:pPr>
  </w:style>
  <w:style w:type="paragraph" w:styleId="text-91" w:customStyle="1">
    <w:name w:val="text-91"/>
    <w:basedOn w:val="h4"/>
    <w:qFormat/>
    <w:pPr>
      <w:spacing w:after="40" w:afterAutospacing="1" w:before="80" w:beforeAutospacing="1"/>
    </w:pPr>
  </w:style>
  <w:style w:type="character" w:styleId="h4-c" w:customStyle="1">
    <w:name w:val="Heading 4 Sign"/>
    <w:link w:val="h4"/>
    <w:uiPriority w:val="9"/>
    <w:unhideWhenUsed/>
    <w:rPr>
      <w:b/>
      <w:bCs/>
      <w:sz w:val="24"/>
      <w:szCs w:val="24"/>
    </w:rPr>
  </w:style>
  <w:style w:type="character" w:styleId="text-91-c" w:customStyle="1">
    <w:name w:val="text-91-c"/>
    <w:basedOn w:val="h4-c"/>
    <w:rPr>
      <w:rFonts w:ascii="Arial" w:hAnsi="Arial" w:eastAsia="Arial" w:cs="Arial"/>
      <w:i/>
      <w:iCs/>
      <w:color w:val="0f4761"/>
    </w:rPr>
  </w:style>
  <w:style w:type="paragraph" w:styleId="text-93" w:customStyle="1">
    <w:name w:val="text-93"/>
    <w:qFormat/>
    <w:pPr>
      <w:spacing w:after="150" w:afterAutospacing="1"/>
    </w:pPr>
  </w:style>
  <w:style w:type="character" w:styleId="text-93-c" w:customStyle="1">
    <w:name w:val="text-93-c"/>
    <w:rPr>
      <w:rFonts w:ascii="Arial" w:hAnsi="Arial" w:eastAsia="Arial" w:cs="Arial"/>
      <w:b/>
      <w:bCs/>
      <w:color w:val="000000"/>
    </w:rPr>
  </w:style>
  <w:style w:type="paragraph" w:styleId="text-306" w:customStyle="1">
    <w:name w:val="text-306"/>
    <w:qFormat/>
    <w:pPr>
      <w:spacing w:after="300" w:afterAutospacing="1" w:line="1" w:lineRule="atLeast"/>
    </w:pPr>
  </w:style>
  <w:style w:type="character" w:styleId="text-306-c" w:customStyle="1">
    <w:name w:val="text-306-c"/>
    <w:rPr>
      <w:rFonts w:ascii="Arial" w:hAnsi="Arial" w:eastAsia="Arial" w:cs="Arial"/>
      <w:b/>
      <w:bCs/>
      <w:color w:val="000000"/>
    </w:rPr>
  </w:style>
  <w:style w:type="paragraph" w:styleId="text-388" w:customStyle="1">
    <w:name w:val="text-388"/>
    <w:basedOn w:val="li"/>
    <w:qFormat/>
    <w:pPr>
      <w:spacing w:after="100" w:afterAutospacing="1" w:before="100" w:beforeAutospacing="1"/>
    </w:pPr>
  </w:style>
  <w:style w:type="paragraph" w:styleId="text-412" w:customStyle="1">
    <w:name w:val="text-412"/>
    <w:qFormat/>
    <w:pPr>
      <w:spacing w:after="150" w:afterAutospacing="1"/>
    </w:pPr>
  </w:style>
  <w:style w:type="character" w:styleId="text-412-c" w:customStyle="1">
    <w:name w:val="text-412-c"/>
    <w:rPr>
      <w:rFonts w:ascii="Arial" w:hAnsi="Arial" w:eastAsia="Arial" w:cs="Arial"/>
      <w:i/>
      <w:iCs/>
      <w:color w:val="000000"/>
    </w:rPr>
  </w:style>
</w:styles>
</file>

<file path=word/webSettings.xml><?xml version="1.0" encoding="utf-8"?>
<w:webSetting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Times New Roman"/>
        <a:ea typeface="Times New Roman"/>
        <a:cs typeface="Times New Roman"/>
      </a:majorFont>
      <a:minorFont>
        <a:latin typeface="Times New Roman"/>
        <a:ea typeface="Times New Roman"/>
        <a:cs typeface="Times New Roman"/>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coreProperties>
</file>