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DragonWings Power Availability</w:t>
        <w:br/>
        <w:t>Profile Forecaster</w:t>
      </w:r>
    </w:p>
    <w:p>
      <w:pPr>
        <w:pStyle w:val="Subtitle"/>
      </w:pPr>
      <w:r>
        <w:t>Final Capstone Report Section B</w:t>
      </w:r>
    </w:p>
    <w:p>
      <w:r>
        <w:t>Shawn Cunningham</w:t>
        <w:br/>
        <w:t>Carnegie Mellon University and ExecOnline Agentic AI Program</w:t>
        <w:br/>
        <w:t>September 7, 2026</w:t>
      </w:r>
    </w:p>
    <w:p>
      <w:pPr>
        <w:pStyle w:val="Heading1"/>
      </w:pPr>
      <w:r>
        <w:t>Project summary</w:t>
      </w:r>
    </w:p>
    <w:p>
      <w:r>
        <w:t>DragonWings PAP is a working, read-only agent service that estimates additional solar power available over the next 12 hours. It combines real MySolArk telemetry, deterministic calculations, durable workflow state, retrieved memory, and bounded model roles. The MVP demonstrates integration and inspectable decisions. Its present evidence supports implementation correctness and bounded execution, while forecast accuracy and model quality still require broader evaluation.</w:t>
      </w:r>
    </w:p>
    <w:p>
      <w:pPr>
        <w:pStyle w:val="Heading1"/>
      </w:pPr>
      <w:r>
        <w:t>Problem and intended user</w:t>
      </w:r>
    </w:p>
    <w:p>
      <w:r>
        <w:t>An operator of a portable solar and battery system needs to decide whether additional electrical load is reasonable. A current power reading cannot establish future availability because solar generation and existing demand change. A fluent language-model answer is insufficient: the answer requires fresh measurements, consistent units, explicit constraints, and a record of how the calculation was produced.</w:t>
      </w:r>
    </w:p>
    <w:p>
      <w:r>
        <w:t>The intended users are DragonWings operators and engineers reviewing optional-load plans. PAP presents an interval profile, supporting evidence, and guidance or a withholding reason. The operator retains responsibility for equipment decisions. The service has no path for commanding an inverter, battery, generator, or connected load.</w:t>
      </w:r>
    </w:p>
    <w:p>
      <w:pPr>
        <w:pStyle w:val="Heading1"/>
      </w:pPr>
      <w:r>
        <w:t>Goal scope and evaluation criteria</w:t>
      </w:r>
    </w:p>
    <w:p>
      <w:r>
        <w:t>The goal is an explainable 12-hour profile of additional power in kW and interval energy in kWh. After an operator requests a run, the workflow autonomously acquires evidence, validates it, calculates availability, selects any needed model interpretation, and publishes or withholds. Outcome evaluation and memory indexing are explicit operator actions.</w:t>
      </w:r>
    </w:p>
    <w:p>
      <w:r>
        <w:t>The smallest working scope uses the latest persisted DW 1.24 MySolArk scrape, synthetic hourly solar factors, constant measured demand, and zero battery-discharge allowance. It provides evaluation guidance, with live equipment capability still unconfigured. Success criteria are correct arithmetic and units, rejection of stale evidence and observed voltage-floor violations, bounded model execution, durable inspection records, and reproducible local browser behavior. Forecast error and the optional third agent are evaluated separately. [R1, R2]</w:t>
      </w:r>
    </w:p>
    <w:p>
      <w:r>
        <w:br w:type="page"/>
      </w:r>
    </w:p>
    <w:p>
      <w:pPr>
        <w:pStyle w:val="Heading1"/>
      </w:pPr>
      <w:r>
        <w:t>Final architecture and major components</w:t>
      </w:r>
    </w:p>
    <w:p>
      <w:r>
        <w:t>LangGraph coordinates one typed workflow. PostgreSQL stores canonical telemetry, forecasts, outcomes, provenance, and audit records. The official PostgreSQL checkpointer stores workflow references and control state, allowing execution to resume without treating checkpoint data as a second source of operational facts.</w:t>
      </w:r>
    </w:p>
    <w:p>
      <w:r>
        <w:t>T1 and T2 expose two read-only Model Context Protocol tools for telemetry and weather inputs. T3 validates schemas, units, UTC scrape freshness, and the weather horizon. Deterministic Python implements T4 forecasting, T5 availability arithmetic, and T6 constraints. Available power is nonnegative solar surplus, subject to an equipment cap when configured. Energy integrates each interval once.</w:t>
      </w:r>
    </w:p>
    <w:p>
      <w:r>
        <w:t>The routine route can proceed without model generation. Recorded solar overestimation above a demonstration threshold of 0.25 kW triggers selective search. T9 retrieves qualified memory. LangChain create_agent nodes generate and critique structured guidance using the same evidence. Python prunes candidates, controls the search, and retains numerical authority. T7 rechecks freshness and constraints before publishing or withholding. T8 compares later observations with the forecast and stores feedback for subsequent runs. [R2]</w:t>
      </w:r>
    </w:p>
    <w:p>
      <w:pPr>
        <w:pStyle w:val="Heading1"/>
      </w:pPr>
      <w:r>
        <w:t>Implementation approach</w:t>
      </w:r>
    </w:p>
    <w:p>
      <w:r>
        <w:t>The native command-line application uses Python, FastAPI, LangGraph, LangChain, PostgreSQL with pgvector, and Ollama. Gemma 3 4B supplies local model responses, while nomic-embed-text supplies 768-dimensional memory vectors. Exact cosine retrieval considers five candidates and admits at most three after source, model-version, expiry, relevance, and duplicate checks. Similarity scores are ranking aids, not probabilities.</w:t>
      </w:r>
    </w:p>
    <w:p>
      <w:r>
        <w:t>The HTML, CSS, and JavaScript console follows the conversation-and-inspector idea in Agent-with-Subagent, without Gradio. Context, Memory, Tools, Subagent, Trace, and Health expose inputs, schemas, evidence, calls, selected branches, and stop reasons. Twelve small PRs built the vertical slice, each with a terse teaching lesson. Docker and Deep Agents are excluded. [R1, R2]</w:t>
      </w:r>
    </w:p>
    <w:p>
      <w:r>
        <w:br w:type="page"/>
      </w:r>
    </w:p>
    <w:p>
      <w:pPr>
        <w:pStyle w:val="Heading1"/>
      </w:pPr>
      <w:r>
        <w:t>Design evolution across checkpoints</w:t>
      </w:r>
    </w:p>
    <w:p>
      <w:r>
        <w:t>Each checkpoint added a capability and clarified its authority. The final implementation narrows several early design ambitions so the full workflow can be demonstrated locally. [C1]</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Checkpoint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Refinement and reason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1  Problem framing</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Defined an interval availability forecast for operators because a single present-state reading cannot answer a planning question.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2  Tools and memory</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Introduced a ReAct-inspired evidence and feedback cycle. The implementation uses explicit graph steps and persistent records for repeatability.</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3  Retrieval</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Added searchable validated history and guidance. Retrieval changes context and advice while current measurements and calculations remain authoritative.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4  Selective search</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Reserved alternative generation for grounded ambiguity. A small beam and explicit stopping rules limit unnecessary model work.</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5  Coordination</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Separated generator and critic roles. The MVP adds an optional interpretation role, disabled by default, for a controlled comparison.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6  Safety and oversight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Layered input, numerical, runtime, and publication checks. Failed checks produce visible withholding and an opportunity for human review.</w:t>
            </w:r>
          </w:p>
        </w:tc>
      </w:tr>
    </w:tbl>
    <w:p>
      <w:pPr>
        <w:spacing w:after="0"/>
      </w:pPr>
    </w:p>
    <w:p>
      <w:r>
        <w:t>Implementation choices include a 12-hour horizon, voltage instead of measured SOC, synthetic weather factors, and no battery discharge. LangGraph owns orchestration, MCP owns the bounded source interface, and model nodes interpret evidence. This keeps one functioning system within the capstone's minimal scope.</w:t>
      </w:r>
    </w:p>
    <w:p>
      <w:pPr>
        <w:pStyle w:val="Heading1"/>
      </w:pPr>
      <w:r>
        <w:t>Safety reliability and human oversight</w:t>
      </w:r>
    </w:p>
    <w:p>
      <w:r>
        <w:t>A scan of 6,527 MySolArk records found 305.2–394.3 V. The user designated 305.2 V as the fixed battery floor, corresponding to their approximate 30% reserve policy. PAP withholds at or below that reading and never lowers the floor automatically. This is an operating assumption, not a measured SOC conversion or a guarantee of future voltage.</w:t>
      </w:r>
    </w:p>
    <w:p>
      <w:r>
        <w:t>All model roles receive zero tools and schema-checked outputs with evidence citations. Search permits three children per parent, a beam of two, one refinement, and at most eight shared model attempts. Each call has a 45-second limit and no retry. Durable attempt reservations prevent checkpoint recovery from repeating a call. Operators inspect the evidence and request a new validated run when needed. Approval of prose cannot override hard checks. [R1, R2]</w:t>
      </w:r>
    </w:p>
    <w:p>
      <w:r>
        <w:br w:type="page"/>
      </w:r>
    </w:p>
    <w:p>
      <w:pPr>
        <w:pStyle w:val="Heading1"/>
      </w:pPr>
      <w:r>
        <w:t>Evaluation methods and results</w:t>
      </w:r>
    </w:p>
    <w:p>
      <w:r>
        <w:t>Deterministic model doubles make required tests reproducible. Separate live Playwright runs exercise actual MySolArk data and Ollama. These are different evidence classes and do not establish an operational success rate.</w:t>
      </w:r>
    </w:p>
    <w:tbl>
      <w:tblPr>
        <w:tblW w:type="auto" w:w="0"/>
        <w:jc w:val="center"/>
        <w:tblLayout w:type="fixed"/>
        <w:tblLook w:firstColumn="1" w:firstRow="1" w:lastColumn="0" w:lastRow="0" w:noHBand="0" w:noVBand="1" w:val="04A0"/>
      </w:tblPr>
      <w:tblGrid>
        <w:gridCol w:w="1872"/>
        <w:gridCol w:w="4464"/>
        <w:gridCol w:w="3600"/>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Evaluation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Observed result</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C53"/>
          </w:tcPr>
          <w:p>
            <w:pPr>
              <w:spacing w:after="0" w:line="250" w:lineRule="auto"/>
            </w:pPr>
            <w:r>
              <w:rPr>
                <w:b/>
                <w:color w:val="FFFFFF"/>
                <w:sz w:val="19"/>
              </w:rPr>
              <w:t>Interpretation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Local verification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40 unit/integration tests and 10 Chromium Playwright checks passed</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Supports tested behavior and UI integration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One real outcome sample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0.410 kW solar overestimation and 0.076 kW availability error</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Point-power comparison, not hourly energy accuracy</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One actual model pair</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Two roles: 4 calls, 53.035 s, valid. Three roles: 6 calls, 70.223 s, withheld</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7F9"/>
          </w:tcPr>
          <w:p>
            <w:pPr>
              <w:spacing w:after="0" w:line="250" w:lineRule="auto"/>
            </w:pPr>
            <w:r>
              <w:rPr>
                <w:b w:val="0"/>
                <w:color w:val="000000"/>
                <w:sz w:val="19"/>
              </w:rPr>
              <w:t>Calculated kW/kWh stayed identical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One semantic query</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Reserve guidance ranked first at cosine 0.618</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0" w:lineRule="auto"/>
            </w:pPr>
            <w:r>
              <w:rPr>
                <w:b w:val="0"/>
                <w:color w:val="000000"/>
                <w:sz w:val="19"/>
              </w:rPr>
              <w:t>Illustrative retrieval behavior, not retrieval accuracy</w:t>
            </w:r>
          </w:p>
        </w:tc>
      </w:tr>
    </w:tbl>
    <w:p>
      <w:pPr>
        <w:spacing w:after="0"/>
      </w:pPr>
    </w:p>
    <w:p>
      <w:r>
        <w:t>The paired comparison reuses one evidence snapshot, but its sequential order and tiny sample leave warm-up and model variability unresolved. It demonstrates added cost, without establishing a quality benefit from the third role. The flag therefore remains off by default. A final live browser run completed with five bounded model calls and a withheld result, with all six inspection panels verified. Withholding is an observable outcome rather than proof of correct advice. [R3–R6]</w:t>
      </w:r>
    </w:p>
    <w:p>
      <w:pPr>
        <w:pStyle w:val="Heading1"/>
      </w:pPr>
      <w:r>
        <w:t>Limitations and next improvements</w:t>
      </w:r>
    </w:p>
    <w:p>
      <w:r>
        <w:t>Synthetic weather, constant demand, unknown live equipment capability, and the absence of a battery model limit forecast usefulness. Source timestamps represent persisted scrapes rather than verified device measurement times. Free-text advice can still be wrong despite valid schemas and citations. Optional LangSmith summary export is tested with a fake client, with no remote export claimed.</w:t>
      </w:r>
    </w:p>
    <w:p>
      <w:r>
        <w:t>Next work should validate a real weather source and equipment limits, collect held-out forecast outcomes across changing conditions, and run repeated, order-balanced agent comparisons. Operator review should evaluate whether explanations help decisions. Physical control remains outside scope.</w:t>
      </w:r>
    </w:p>
    <w:p>
      <w:pPr>
        <w:pStyle w:val="Heading1"/>
      </w:pPr>
      <w:r>
        <w:t>Repository and review instructions</w:t>
      </w:r>
    </w:p>
    <w:p>
      <w:r>
        <w:t xml:space="preserve">Repository: </w:t>
      </w:r>
      <w:hyperlink r:id="rId10">
        <w:r>
          <w:rPr>
            <w:color w:val="174B70"/>
          </w:rPr>
          <w:t>https://github.com/roboyak/PAP-Agent</w:t>
        </w:r>
      </w:hyperlink>
      <w:r>
        <w:t>. The README explains setup and use. Core code, migrations, tests, the final architecture, and PR evidence support technical review. After installing the documented native prerequisites, run make bootstrap, PAP_PROFILE=macmini-replay make run for a synthetic source, and make verify for the local gate. Real data requires the authorized local source database. [R1]</w:t>
      </w:r>
    </w:p>
    <w:p>
      <w:pPr>
        <w:pStyle w:val="Heading1"/>
      </w:pPr>
      <w:r>
        <w:t>Evidence sources</w:t>
      </w:r>
    </w:p>
    <w:p>
      <w:pPr>
        <w:spacing w:after="40"/>
      </w:pPr>
      <w:r>
        <w:rPr>
          <w:sz w:val="18"/>
        </w:rPr>
        <w:t xml:space="preserve">R1  </w:t>
      </w:r>
      <w:hyperlink r:id="rId11">
        <w:r>
          <w:rPr>
            <w:color w:val="174B70"/>
          </w:rPr>
          <w:t>Project README and reproducible commands</w:t>
        </w:r>
      </w:hyperlink>
    </w:p>
    <w:p>
      <w:pPr>
        <w:spacing w:after="40"/>
      </w:pPr>
      <w:r>
        <w:rPr>
          <w:sz w:val="18"/>
        </w:rPr>
        <w:t xml:space="preserve">R2  </w:t>
      </w:r>
      <w:hyperlink r:id="rId12">
        <w:r>
          <w:rPr>
            <w:color w:val="174B70"/>
          </w:rPr>
          <w:t>Final MVP architecture and boundaries</w:t>
        </w:r>
      </w:hyperlink>
    </w:p>
    <w:p>
      <w:pPr>
        <w:spacing w:after="40"/>
      </w:pPr>
      <w:r>
        <w:rPr>
          <w:sz w:val="18"/>
        </w:rPr>
        <w:t xml:space="preserve">R3  </w:t>
      </w:r>
      <w:hyperlink r:id="rId13">
        <w:r>
          <w:rPr>
            <w:color w:val="174B70"/>
          </w:rPr>
          <w:t>PR07 observed point-power evaluation</w:t>
        </w:r>
      </w:hyperlink>
    </w:p>
    <w:p>
      <w:pPr>
        <w:spacing w:after="40"/>
      </w:pPr>
      <w:r>
        <w:rPr>
          <w:sz w:val="18"/>
        </w:rPr>
        <w:t xml:space="preserve">R4  </w:t>
      </w:r>
      <w:hyperlink r:id="rId14">
        <w:r>
          <w:rPr>
            <w:color w:val="174B70"/>
          </w:rPr>
          <w:t>PR08 actual local semantic retrieval check</w:t>
        </w:r>
      </w:hyperlink>
    </w:p>
    <w:p>
      <w:pPr>
        <w:spacing w:after="40"/>
      </w:pPr>
      <w:r>
        <w:rPr>
          <w:sz w:val="18"/>
        </w:rPr>
        <w:t xml:space="preserve">R5  </w:t>
      </w:r>
      <w:hyperlink r:id="rId15">
        <w:r>
          <w:rPr>
            <w:color w:val="174B70"/>
          </w:rPr>
          <w:t>PR11 actual two-role and three-role comparison</w:t>
        </w:r>
      </w:hyperlink>
    </w:p>
    <w:p>
      <w:pPr>
        <w:spacing w:after="40"/>
      </w:pPr>
      <w:r>
        <w:rPr>
          <w:sz w:val="18"/>
        </w:rPr>
        <w:t xml:space="preserve">R6  </w:t>
      </w:r>
      <w:hyperlink r:id="rId16">
        <w:r>
          <w:rPr>
            <w:color w:val="174B70"/>
          </w:rPr>
          <w:t>PR12 final verification and live browser evidence</w:t>
        </w:r>
      </w:hyperlink>
    </w:p>
    <w:p>
      <w:pPr>
        <w:spacing w:after="40"/>
      </w:pPr>
      <w:r>
        <w:rPr>
          <w:sz w:val="18"/>
        </w:rPr>
        <w:t xml:space="preserve">C1  </w:t>
      </w:r>
      <w:hyperlink r:id="rId17">
        <w:r>
          <w:rPr>
            <w:color w:val="174B70"/>
          </w:rPr>
          <w:t>Earlier report with checkpoint 1–6 source record</w:t>
        </w:r>
      </w:hyperlink>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oboyak/PAP-Agent" TargetMode="External"/><Relationship Id="rId11" Type="http://schemas.openxmlformats.org/officeDocument/2006/relationships/hyperlink" Target="https://github.com/roboyak/PAP-Agent/blob/74cc759/README.md" TargetMode="External"/><Relationship Id="rId12" Type="http://schemas.openxmlformats.org/officeDocument/2006/relationships/hyperlink" Target="https://github.com/roboyak/PAP-Agent/blob/74cc759/docs/architecture/FINAL_MVP.md" TargetMode="External"/><Relationship Id="rId13" Type="http://schemas.openxmlformats.org/officeDocument/2006/relationships/hyperlink" Target="https://github.com/roboyak/PAP-Agent/blob/74cc759/docs/pr/PR-07.md" TargetMode="External"/><Relationship Id="rId14" Type="http://schemas.openxmlformats.org/officeDocument/2006/relationships/hyperlink" Target="https://github.com/roboyak/PAP-Agent/blob/74cc759/docs/pr/PR-08.md" TargetMode="External"/><Relationship Id="rId15" Type="http://schemas.openxmlformats.org/officeDocument/2006/relationships/hyperlink" Target="https://github.com/roboyak/PAP-Agent/blob/74cc759/docs/pr/PR-11.md" TargetMode="External"/><Relationship Id="rId16" Type="http://schemas.openxmlformats.org/officeDocument/2006/relationships/hyperlink" Target="https://github.com/roboyak/PAP-Agent/blob/74cc759/docs/pr/PR-12.md" TargetMode="External"/><Relationship Id="rId17" Type="http://schemas.openxmlformats.org/officeDocument/2006/relationships/hyperlink" Target="https://github.com/roboyak/PAP-Agent/blob/74cc759/20260907_151637_UTC_Final_Capstone_Report_DragonWings_PAP_Section_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DragonWings Power Availability Profile Forecaster</dc:title>
  <dc:subject>Final Capstone Project Report and Presentation Section B</dc:subject>
  <dc:creator>Shawn Cunningham</dc:creator>
  <cp:keywords/>
  <dc:description>generated by python-docx</dc:description>
  <cp:lastModifiedBy/>
  <cp:revision>1</cp:revision>
  <dcterms:created xsi:type="dcterms:W3CDTF">2013-12-23T23:15:00Z</dcterms:created>
  <dcterms:modified xsi:type="dcterms:W3CDTF">2013-12-23T23:15:00Z</dcterms:modified>
  <cp:category/>
</cp:coreProperties>
</file>