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Meta"/>
      </w:pPr>
      <w:r>
        <w:rPr>
          <w:b/>
          <w:sz w:val="18"/>
        </w:rPr>
        <w:t>AUSTRALIAN PRUDENTIAL REGULATION AUTHORITY</w:t>
      </w:r>
    </w:p>
    <w:p>
      <w:pPr>
        <w:pStyle w:val="DocTitle"/>
        <w:pBdr>
          <w:bottom w:val="single" w:sz="8" w:space="4" w:color="1B335F"/>
        </w:pBdr>
      </w:pPr>
      <w:r>
        <w:t>Prudential Standard CPS XXXX</w:t>
      </w:r>
    </w:p>
    <w:p>
      <w:pPr>
        <w:pStyle w:val="DocSubtitle"/>
      </w:pPr>
      <w:r>
        <w:rPr>
          <w:b/>
        </w:rPr>
        <w:t>Model Risk Management</w:t>
      </w:r>
    </w:p>
    <w:p>
      <w:pPr>
        <w:pStyle w:val="DocMeta"/>
      </w:pPr>
      <w:r>
        <w:t>Draft cross-industry prudential standard</w:t>
      </w:r>
    </w:p>
    <w:p>
      <w:pPr>
        <w:pStyle w:val="DocMeta"/>
      </w:pPr>
      <w:r>
        <w:t>Policy development version — information verified to 25 July 2026</w:t>
      </w:r>
    </w:p>
    <w:p>
      <w:pPr>
        <w:pStyle w:val="DocMeta"/>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70" w:type="dxa"/>
          <w:left w:w="140" w:type="dxa"/>
          <w:bottom w:w="70" w:type="dxa"/>
          <w:right w:w="140" w:type="dxa"/>
        </w:tblCellMar>
      </w:tblPr>
      <w:tblGrid>
        <w:gridCol w:w="9412"/>
      </w:tblGrid>
      <w:tr>
        <w:tc>
          <w:tcPr>
            <w:tcW w:type="dxa" w:w="9411"/>
            <w:shd w:val="clear" w:color="auto" w:fill="1B335F"/>
          </w:tcPr>
          <w:p>
            <w:pPr>
              <w:jc w:val="center"/>
            </w:pPr>
            <w:r>
              <w:rPr>
                <w:rFonts w:ascii="Arial" w:hAnsi="Arial"/>
                <w:b/>
                <w:color w:val="FFFFFF"/>
                <w:sz w:val="18"/>
              </w:rPr>
              <w:t>POLICY DEVELOPMENT DRAFT — NOT IN FORCE</w:t>
            </w:r>
          </w:p>
        </w:tc>
      </w:tr>
    </w:tbl>
    <w:p>
      <w:pPr>
        <w:pStyle w:val="DocMeta"/>
      </w:pP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Status and legal review</w:t>
            </w:r>
          </w:p>
          <w:p>
            <w:pPr/>
            <w:r>
              <w:rPr>
                <w:rFonts w:ascii="Arial" w:hAnsi="Arial"/>
                <w:sz w:val="19"/>
              </w:rPr>
              <w:t>This document is a policy-development draft and is not in force. It has no legal effect. APRA Legal and the Office of Parliamentary Counsel must settle the enabling provisions, sectoral application, instrument numbering, definitions, commencement, transition, enforcement powers and interaction with existing CPS and SPS instruments before consultation or issue. Annex F records the decisions required. The number 'CPS XXXX' is a placeholder adopted for drafting convenience and does not indicate an allocated instrument number.</w:t>
            </w:r>
          </w:p>
        </w:tc>
      </w:tr>
    </w:tbl>
    <w:p>
      <w:pPr>
        <w:pStyle w:val="DocMeta"/>
      </w:pPr>
    </w:p>
    <w:p>
      <w:pPr>
        <w:pStyle w:val="Heading1"/>
      </w:pPr>
      <w:r>
        <w:t>Objectives and key requirements</w:t>
      </w:r>
    </w:p>
    <w:p>
      <w:pPr>
        <w:pStyle w:val="Guidance"/>
      </w:pPr>
      <w:r>
        <w:t>The objective of this Prudential Standard is to ensure that an APRA-regulated entity identifies the models it relies upon, manages the risk that those models are wrong or are used incorrectly, and can demonstrate that reliance on models is consistent with its prudential obligations.</w:t>
      </w:r>
    </w:p>
    <w:p>
      <w:pPr>
        <w:pStyle w:val="Guidance"/>
      </w:pPr>
      <w:r>
        <w:t>Models determine regulatory capital, provisions, valuations, insurance liabilities, unit prices, credit and pricing decisions, fraud interventions and member outcomes. Model risk is the risk of adverse consequences from decisions based on incorrect or misused model outputs. It is a distinct prudential risk and is not adequately managed as a subset of the risks the models themselves measure.</w:t>
      </w:r>
    </w:p>
    <w:p>
      <w:pPr>
        <w:pStyle w:val="Guidance"/>
      </w:pPr>
      <w:r>
        <w:t>This Prudential Standard is intended to operate alongside CPS 220 or SPS 220, CPS 230 and CPS 234, and alongside the model requirements in the capital, actuarial and investment governance standards. It does not displace those requirements, nor obligations under other Commonwealth, State or Territory laws or the responsibilities of other regulators.</w:t>
      </w:r>
    </w:p>
    <w:p>
      <w:pPr>
        <w:pStyle w:val="Guidance"/>
      </w:pPr>
      <w:r>
        <w:t>The key requirements of this Prudential Standard are that an APRA-regulated entity must:</w:t>
      </w:r>
    </w:p>
    <w:p>
      <w:pPr>
        <w:pStyle w:val="Bullet"/>
      </w:pPr>
      <w:r>
        <w:t>• identify the models it uses and maintain an accurate enterprise inventory;</w:t>
      </w:r>
    </w:p>
    <w:p>
      <w:pPr>
        <w:pStyle w:val="Bullet"/>
      </w:pPr>
      <w:r>
        <w:t>• classify models by risk and apply controls of an intensity that matches that classification;</w:t>
      </w:r>
    </w:p>
    <w:p>
      <w:pPr>
        <w:pStyle w:val="Bullet"/>
      </w:pPr>
      <w:r>
        <w:t>• govern models across their full lifecycle, from development through to decommissioning;</w:t>
      </w:r>
    </w:p>
    <w:p>
      <w:pPr>
        <w:pStyle w:val="Bullet"/>
      </w:pPr>
      <w:r>
        <w:t>• subject models to independent validation and to effective challenge;</w:t>
      </w:r>
    </w:p>
    <w:p>
      <w:pPr>
        <w:pStyle w:val="Bullet"/>
      </w:pPr>
      <w:r>
        <w:t>• control how models are used, changed and adjusted;</w:t>
      </w:r>
    </w:p>
    <w:p>
      <w:pPr>
        <w:pStyle w:val="Bullet"/>
      </w:pPr>
      <w:r>
        <w:t>• monitor model performance and act on deterioration;</w:t>
      </w:r>
    </w:p>
    <w:p>
      <w:pPr>
        <w:pStyle w:val="Bullet"/>
      </w:pPr>
      <w:r>
        <w:t>• manage model risk arising from third parties and from artificial intelligence techniques;</w:t>
      </w:r>
    </w:p>
    <w:p>
      <w:pPr>
        <w:pStyle w:val="Bullet"/>
      </w:pPr>
      <w:r>
        <w:t>• assess model risk in aggregate and report it to the Board; and</w:t>
      </w:r>
    </w:p>
    <w:p>
      <w:pPr>
        <w:pStyle w:val="Bullet"/>
      </w:pPr>
      <w:r>
        <w:t>• maintain records and obtain independent assurance sufficient to demonstrate compliance.</w:t>
      </w:r>
    </w:p>
    <w:p>
      <w:pPr>
        <w:pStyle w:val="Heading1"/>
      </w:pPr>
      <w:r>
        <w:t>Interpretation</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How to read this Prudential Standard</w:t>
            </w:r>
          </w:p>
          <w:p>
            <w:pPr/>
            <w:r>
              <w:rPr>
                <w:rFonts w:ascii="Arial" w:hAnsi="Arial"/>
                <w:sz w:val="19"/>
              </w:rPr>
              <w:t>Every numbered paragraph set in bold is a proposed mandatory requirement. Text that is not bold is explanatory and does not itself impose an obligation. Each requirement is followed by explanatory text and by a cross-reference to the paragraphs of CPG XXXX Model Risk Management that provide guidance on meeting it.</w:t>
            </w:r>
          </w:p>
        </w:tc>
      </w:tr>
    </w:tbl>
    <w:p>
      <w:pPr>
        <w:pStyle w:val="DocMeta"/>
      </w:pPr>
    </w:p>
    <w:p>
      <w:pPr>
        <w:pStyle w:val="Guidance"/>
      </w:pPr>
      <w:r>
        <w:t>Proportionality. References in this Prudential Standard to materiality, risk, complexity and criticality are cumulative considerations, applied to the circumstances of the entity and of the individual model.</w:t>
      </w:r>
    </w:p>
    <w:p>
      <w:pPr>
        <w:pStyle w:val="Guidance"/>
      </w:pPr>
      <w:r>
        <w:t>Interaction with other standards. Where a model is also subject to a requirement in a capital, actuarial or investment governance standard, that requirement continues to apply. Where a model failure is also an operational risk incident or an information security incident, the notification requirements of CPS 230 and CPS 234 apply and this Prudential Standard does not create a separate deadline.</w:t>
      </w:r>
    </w:p>
    <w:p>
      <w:pPr>
        <w:pStyle w:val="Guidance"/>
      </w:pPr>
      <w:r>
        <w:t>Exercise of APRA powers. Where this Prudential Standard provides for APRA to determine, approve, require or adjust anything, that power is to be exercised in writing. The procedural requirements attaching to each such power are matters for legal settlement and are recorded in Annex F.</w:t>
      </w:r>
    </w:p>
    <w:p>
      <w:pPr>
        <w:pStyle w:val="Guidance"/>
      </w:pPr>
      <w:r>
        <w:t>Terms defined in Annex A have the meaning given in that Annex.</w:t>
      </w:r>
    </w:p>
    <w:p>
      <w:pPr>
        <w:pStyle w:val="Heading1"/>
      </w:pPr>
      <w:r>
        <w:t>Authority, application and commencement</w:t>
      </w:r>
    </w:p>
    <w:p>
      <w:pPr>
        <w:pStyle w:val="Heading3"/>
      </w:pPr>
      <w:r>
        <w:t>A1 — Authority</w:t>
      </w:r>
    </w:p>
    <w:p>
      <w:pPr>
        <w:pStyle w:val="Requirement"/>
      </w:pPr>
      <w:r>
        <w:rPr>
          <w:b/>
        </w:rPr>
        <w:t>A1. This Prudential Standard is made under the enabling provisions of the Banking Act 1959, the Insurance Act 1973, the Life Insurance Act 1995, the Private Health Insurance (Prudential Supervision) Act 2015 and the Superannuation Industry (Supervision) Act 1993, as applicable to each class of APRA-regulated entity.</w:t>
      </w:r>
    </w:p>
    <w:p>
      <w:pPr>
        <w:pStyle w:val="Guidance"/>
      </w:pPr>
      <w:r>
        <w:t>The precise enabling sections, and whether a single cross-industry instrument can be made for all classes of APRA-regulated entity or whether companion instruments are required, must be settled by APRA Legal and the Office of Parliamentary Counsel. Annex F records this.</w:t>
      </w:r>
    </w:p>
    <w:p>
      <w:pPr>
        <w:pStyle w:val="Heading3"/>
      </w:pPr>
      <w:r>
        <w:t>A2 — Application</w:t>
      </w:r>
    </w:p>
    <w:p>
      <w:pPr>
        <w:pStyle w:val="Requirement"/>
      </w:pPr>
      <w:r>
        <w:rPr>
          <w:b/>
        </w:rPr>
        <w:t>A2. This Prudential Standard applies to all APRA-regulated entities, in accordance with the classes specified in this paragraph and subject to any adjustment or exclusion determined under paragraph A5.</w:t>
      </w:r>
    </w:p>
    <w:p>
      <w:pPr>
        <w:pStyle w:val="Guidance"/>
      </w:pPr>
      <w:r>
        <w:t>The classes to which this Prudential Standard applies, including the treatment of foreign ADIs and branches, non-operating holding companies, private health insurers and application at Level 1, Level 2 and Level 3, require settlement before consultation.</w:t>
      </w:r>
    </w:p>
    <w:p>
      <w:pPr>
        <w:pStyle w:val="Guidance"/>
      </w:pPr>
      <w:r>
        <w:t>An APRA-regulated entity that is a member of a group must comply with this Prudential Standard both as an individual entity and, where APRA so determines, on a group basis.</w:t>
      </w:r>
    </w:p>
    <w:p>
      <w:pPr>
        <w:pStyle w:val="Heading3"/>
      </w:pPr>
      <w:r>
        <w:t>A3 — Commencement</w:t>
      </w:r>
    </w:p>
    <w:p>
      <w:pPr>
        <w:pStyle w:val="Requirement"/>
      </w:pPr>
      <w:r>
        <w:rPr>
          <w:b/>
        </w:rPr>
        <w:t>A3. This Prudential Standard commences on a date to be determined.</w:t>
      </w:r>
    </w:p>
    <w:p>
      <w:pPr>
        <w:pStyle w:val="Guidance"/>
      </w:pPr>
      <w:r>
        <w:t>Commencement and any transitional arrangements are matters for settlement. Given the uplift required in model identification, inventory completeness and validation coverage, staged commencement with earlier milestones for inventory and tiering than for validation would be consistent with the transition periods adopted by comparable authorities.</w:t>
      </w:r>
    </w:p>
    <w:p>
      <w:pPr>
        <w:pStyle w:val="Heading3"/>
      </w:pPr>
      <w:r>
        <w:t>A4 — Transitional arrangements</w:t>
      </w:r>
    </w:p>
    <w:p>
      <w:pPr>
        <w:pStyle w:val="Requirement"/>
      </w:pPr>
      <w:r>
        <w:rPr>
          <w:b/>
        </w:rPr>
        <w:t>A4. An APRA-regulated entity must comply with the framework, governance and identification requirements of this Prudential Standard from commencement, and must bring each model that is in use at commencement into compliance with the remaining requirements in accordance with a documented remediation plan approved by the Board or a Board committee, within the period determined by APRA.</w:t>
      </w:r>
    </w:p>
    <w:p>
      <w:pPr>
        <w:pStyle w:val="Guidance"/>
      </w:pPr>
      <w:r>
        <w:t>The two limbs address different problems. Entity-level obligations — the framework, the accountable executive, policies, appetite and the inventory — can be met from commencement and are the foundation for everything else. Model-level obligations expressed as a bar on use, such as pre-implementation testing and independent validation, would on commencement prohibit the continued use of models the entity is already relying on, which is not the intended effect.</w:t>
      </w:r>
    </w:p>
    <w:p>
      <w:pPr>
        <w:pStyle w:val="Guidance"/>
      </w:pPr>
      <w:r>
        <w:t>The remediation plan should sequence by model risk tier rather than by convenience, and should identify the models the entity cannot bring into compliance within the period and what it proposes to do about them.</w:t>
      </w:r>
    </w:p>
    <w:p>
      <w:pPr>
        <w:pStyle w:val="Heading3"/>
      </w:pPr>
      <w:r>
        <w:t>A5 — Adjustments and exclusions</w:t>
      </w:r>
    </w:p>
    <w:p>
      <w:pPr>
        <w:pStyle w:val="Requirement"/>
      </w:pPr>
      <w:r>
        <w:rPr>
          <w:b/>
        </w:rPr>
        <w:t>A5. APRA may, by notice in writing to an APRA-regulated entity, adjust or exclude a specific requirement in this Prudential Standard in relation to that entity.</w:t>
      </w:r>
    </w:p>
    <w:p>
      <w:pPr>
        <w:pStyle w:val="Guidance"/>
      </w:pPr>
      <w:r>
        <w:t>This mirrors the adjustment power in the other cross-industry prudential standards. It is the route by which a requirement can be varied for an individual entity, and its absence would make this Prudential Standard less flexible than the instruments it sits alongside.</w:t>
      </w:r>
    </w:p>
    <w:p>
      <w:pPr>
        <w:pStyle w:val="Guidance"/>
      </w:pPr>
      <w:r>
        <w:t>The scope of the power, and the procedural requirements attaching to its exercise, require legal settlement.</w:t>
      </w:r>
    </w:p>
    <w:p>
      <w:pPr>
        <w:pStyle w:val="Heading3"/>
      </w:pPr>
      <w:r>
        <w:t>A6 — Interpretation, defined terms and foreign ADIs</w:t>
      </w:r>
    </w:p>
    <w:p>
      <w:pPr>
        <w:pStyle w:val="Requirement"/>
      </w:pPr>
      <w:r>
        <w:rPr>
          <w:b/>
        </w:rPr>
        <w:t>A6. Terms defined in Annex A have the meaning given in that Annex; a term not so defined has the meaning given in Prudential Standard CPS 001 Defined Terms; a reference to a prudential standard is a reference to that standard as in force from time to time; and, for a foreign ADI, a reference to the Board is a reference to the senior officer outside Australia to whom authority has been delegated, and this Prudential Standard applies in respect of the models used in or affecting its Australian operations.</w:t>
      </w:r>
    </w:p>
    <w:p>
      <w:pPr>
        <w:pStyle w:val="Guidance"/>
      </w:pPr>
      <w:r>
        <w:t>Where an artificial intelligence system meets the definition of a model, this Prudential Standard applies to it. The interaction with any separate prudential standard on artificial intelligence risk management is addressed in M35 and is a matter for settlement once the numbering and scope of that instrument are known.</w:t>
      </w:r>
    </w:p>
    <w:p>
      <w:pPr>
        <w:pStyle w:val="Guidance"/>
      </w:pPr>
      <w:r>
        <w:t>The read-down for foreign ADIs follows the approach taken in the other cross-industry standards. Without it, every governance obligation expressed in terms of the Board would be incapable of performance by a branch.</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Front matter is drafting scaffolding</w:t>
            </w:r>
          </w:p>
          <w:p>
            <w:pPr/>
            <w:r>
              <w:rPr>
                <w:rFonts w:ascii="Arial" w:hAnsi="Arial"/>
                <w:sz w:val="19"/>
              </w:rPr>
              <w:t>Paragraphs A1 to A6 set out the instrument mechanics that every APRA prudential standard carries. They are drafted here so that the standard is structurally complete and can be read as an instrument, but the enabling provisions, application classes, commencement, transition period and the scope of the adjustment power are all matters for APRA Legal and the Office of Parliamentary Counsel. Annex F records each of them.</w:t>
            </w:r>
          </w:p>
        </w:tc>
      </w:tr>
    </w:tbl>
    <w:p>
      <w:pPr>
        <w:pStyle w:val="DocMeta"/>
      </w:pPr>
    </w:p>
    <w:p>
      <w:pPr>
        <w:pStyle w:val="Heading1"/>
      </w:pPr>
      <w:r>
        <w:t>Contents</w:t>
      </w:r>
    </w:p>
    <w:p>
      <w:pPr>
        <w:pStyle w:val="ContentsHead"/>
      </w:pPr>
      <w:r>
        <w:t>Authority, application and commencement  (A1–A6)</w:t>
      </w:r>
    </w:p>
    <w:p>
      <w:pPr>
        <w:pStyle w:val="ContentsHead"/>
      </w:pPr>
      <w:r>
        <w:t>Part A — Application and interpretation</w:t>
      </w:r>
    </w:p>
    <w:p>
      <w:pPr>
        <w:pStyle w:val="ContentsItem"/>
      </w:pPr>
      <w:r>
        <w:t>1. Application and scope  (M01–M03)</w:t>
      </w:r>
    </w:p>
    <w:p>
      <w:pPr>
        <w:pStyle w:val="ContentsItem"/>
      </w:pPr>
      <w:r>
        <w:t>2. Proportionality  (M04–M05)</w:t>
      </w:r>
    </w:p>
    <w:p>
      <w:pPr>
        <w:pStyle w:val="ContentsHead"/>
      </w:pPr>
      <w:r>
        <w:t>Part B — Governance and accountability</w:t>
      </w:r>
    </w:p>
    <w:p>
      <w:pPr>
        <w:pStyle w:val="ContentsItem"/>
      </w:pPr>
      <w:r>
        <w:t>3. Board and senior management  (M06–M08)</w:t>
      </w:r>
    </w:p>
    <w:p>
      <w:pPr>
        <w:pStyle w:val="ContentsItem"/>
      </w:pPr>
      <w:r>
        <w:t>4. Capability and independence  (M09)</w:t>
      </w:r>
    </w:p>
    <w:p>
      <w:pPr>
        <w:pStyle w:val="ContentsHead"/>
      </w:pPr>
      <w:r>
        <w:t>Part C — Framework, appetite and policy</w:t>
      </w:r>
    </w:p>
    <w:p>
      <w:pPr>
        <w:pStyle w:val="ContentsItem"/>
      </w:pPr>
      <w:r>
        <w:t>5. Model risk management framework  (M10–M12)</w:t>
      </w:r>
    </w:p>
    <w:p>
      <w:pPr>
        <w:pStyle w:val="ContentsItem"/>
      </w:pPr>
      <w:r>
        <w:t>6. Reporting and escalation  (M13)</w:t>
      </w:r>
    </w:p>
    <w:p>
      <w:pPr>
        <w:pStyle w:val="ContentsHead"/>
      </w:pPr>
      <w:r>
        <w:t>Part D — Identification, inventory and tiering</w:t>
      </w:r>
    </w:p>
    <w:p>
      <w:pPr>
        <w:pStyle w:val="ContentsItem"/>
      </w:pPr>
      <w:r>
        <w:t>7. Inventory  (M14)</w:t>
      </w:r>
    </w:p>
    <w:p>
      <w:pPr>
        <w:pStyle w:val="ContentsItem"/>
      </w:pPr>
      <w:r>
        <w:t>8. Tiering  (M15–M16)</w:t>
      </w:r>
    </w:p>
    <w:p>
      <w:pPr>
        <w:pStyle w:val="ContentsHead"/>
      </w:pPr>
      <w:r>
        <w:t>Part E — Development, data and documentation</w:t>
      </w:r>
    </w:p>
    <w:p>
      <w:pPr>
        <w:pStyle w:val="ContentsItem"/>
      </w:pPr>
      <w:r>
        <w:t>9. Development  (M17)</w:t>
      </w:r>
    </w:p>
    <w:p>
      <w:pPr>
        <w:pStyle w:val="ContentsItem"/>
      </w:pPr>
      <w:r>
        <w:t>10. Data  (M18)</w:t>
      </w:r>
    </w:p>
    <w:p>
      <w:pPr>
        <w:pStyle w:val="ContentsItem"/>
      </w:pPr>
      <w:r>
        <w:t>11. Documentation  (M19)</w:t>
      </w:r>
    </w:p>
    <w:p>
      <w:pPr>
        <w:pStyle w:val="ContentsHead"/>
      </w:pPr>
      <w:r>
        <w:t>Part F — Testing, validation and approval</w:t>
      </w:r>
    </w:p>
    <w:p>
      <w:pPr>
        <w:pStyle w:val="ContentsItem"/>
      </w:pPr>
      <w:r>
        <w:t>12. Testing before use  (M20)</w:t>
      </w:r>
    </w:p>
    <w:p>
      <w:pPr>
        <w:pStyle w:val="ContentsItem"/>
      </w:pPr>
      <w:r>
        <w:t>13. Independent validation  (M21–M23)</w:t>
      </w:r>
    </w:p>
    <w:p>
      <w:pPr>
        <w:pStyle w:val="ContentsItem"/>
      </w:pPr>
      <w:r>
        <w:t>14. Approval  (M24)</w:t>
      </w:r>
    </w:p>
    <w:p>
      <w:pPr>
        <w:pStyle w:val="ContentsHead"/>
      </w:pPr>
      <w:r>
        <w:t>Part G — Implementation, use and change</w:t>
      </w:r>
    </w:p>
    <w:p>
      <w:pPr>
        <w:pStyle w:val="ContentsItem"/>
      </w:pPr>
      <w:r>
        <w:t>15. Implementation  (M25)</w:t>
      </w:r>
    </w:p>
    <w:p>
      <w:pPr>
        <w:pStyle w:val="ContentsItem"/>
      </w:pPr>
      <w:r>
        <w:t>16. Change  (M26)</w:t>
      </w:r>
    </w:p>
    <w:p>
      <w:pPr>
        <w:pStyle w:val="ContentsItem"/>
      </w:pPr>
      <w:r>
        <w:t>17. Use  (M27–M28)</w:t>
      </w:r>
    </w:p>
    <w:p>
      <w:pPr>
        <w:pStyle w:val="ContentsItem"/>
      </w:pPr>
      <w:r>
        <w:t>18. Monitoring  (M29–M30)</w:t>
      </w:r>
    </w:p>
    <w:p>
      <w:pPr>
        <w:pStyle w:val="ContentsItem"/>
      </w:pPr>
      <w:r>
        <w:t>19. Retirement  (M31)</w:t>
      </w:r>
    </w:p>
    <w:p>
      <w:pPr>
        <w:pStyle w:val="ContentsHead"/>
      </w:pPr>
      <w:r>
        <w:t>Part H — Third-party and AI models</w:t>
      </w:r>
    </w:p>
    <w:p>
      <w:pPr>
        <w:pStyle w:val="ContentsItem"/>
      </w:pPr>
      <w:r>
        <w:t>20. Third-party models  (M32–M33)</w:t>
      </w:r>
    </w:p>
    <w:p>
      <w:pPr>
        <w:pStyle w:val="ContentsItem"/>
      </w:pPr>
      <w:r>
        <w:t>21. AI and machine learning models  (M34–M35)</w:t>
      </w:r>
    </w:p>
    <w:p>
      <w:pPr>
        <w:pStyle w:val="ContentsHead"/>
      </w:pPr>
      <w:r>
        <w:t>Part I — Specialist model classes</w:t>
      </w:r>
    </w:p>
    <w:p>
      <w:pPr>
        <w:pStyle w:val="ContentsItem"/>
      </w:pPr>
      <w:r>
        <w:t>22. Regulatory capital models  (M36)</w:t>
      </w:r>
    </w:p>
    <w:p>
      <w:pPr>
        <w:pStyle w:val="ContentsItem"/>
      </w:pPr>
      <w:r>
        <w:t>23. Valuation and financial reporting models  (M37)</w:t>
      </w:r>
    </w:p>
    <w:p>
      <w:pPr>
        <w:pStyle w:val="ContentsItem"/>
      </w:pPr>
      <w:r>
        <w:t>23A. Expected credit loss and provisioning models  (M38)</w:t>
      </w:r>
    </w:p>
    <w:p>
      <w:pPr>
        <w:pStyle w:val="ContentsItem"/>
      </w:pPr>
      <w:r>
        <w:t>24. Actuarial and insurance models  (M39)</w:t>
      </w:r>
    </w:p>
    <w:p>
      <w:pPr>
        <w:pStyle w:val="ContentsItem"/>
      </w:pPr>
      <w:r>
        <w:t>25. Superannuation models  (M40)</w:t>
      </w:r>
    </w:p>
    <w:p>
      <w:pPr>
        <w:pStyle w:val="ContentsItem"/>
      </w:pPr>
      <w:r>
        <w:t>26. Stress testing and scenario models  (M41)</w:t>
      </w:r>
    </w:p>
    <w:p>
      <w:pPr>
        <w:pStyle w:val="ContentsHead"/>
      </w:pPr>
      <w:r>
        <w:t>Part J — Aggregate risk, records and assurance</w:t>
      </w:r>
    </w:p>
    <w:p>
      <w:pPr>
        <w:pStyle w:val="ContentsItem"/>
      </w:pPr>
      <w:r>
        <w:t>27. Aggregate model risk  (M42)</w:t>
      </w:r>
    </w:p>
    <w:p>
      <w:pPr>
        <w:pStyle w:val="ContentsItem"/>
      </w:pPr>
      <w:r>
        <w:t>28. Records  (M43)</w:t>
      </w:r>
    </w:p>
    <w:p>
      <w:pPr>
        <w:pStyle w:val="ContentsItem"/>
      </w:pPr>
      <w:r>
        <w:t>29. Assurance  (M44)</w:t>
      </w:r>
    </w:p>
    <w:p>
      <w:pPr>
        <w:pStyle w:val="ContentsItem"/>
      </w:pPr>
      <w:r>
        <w:t>30. APRA engagement  (M45)</w:t>
      </w:r>
    </w:p>
    <w:p>
      <w:pPr>
        <w:pStyle w:val="DocMeta"/>
      </w:pPr>
    </w:p>
    <w:p>
      <w:pPr>
        <w:pStyle w:val="ContentsHead"/>
      </w:pPr>
      <w:r>
        <w:t>Annex A — Definitions</w:t>
      </w:r>
    </w:p>
    <w:p>
      <w:pPr>
        <w:pStyle w:val="ContentsHead"/>
      </w:pPr>
      <w:r>
        <w:t>Annex B — Minimum model inventory fields</w:t>
      </w:r>
    </w:p>
    <w:p>
      <w:pPr>
        <w:pStyle w:val="ContentsHead"/>
      </w:pPr>
      <w:r>
        <w:t>Annex C — Model risk tiering indicators</w:t>
      </w:r>
    </w:p>
    <w:p>
      <w:pPr>
        <w:pStyle w:val="ContentsHead"/>
      </w:pPr>
      <w:r>
        <w:t>Annex D — International comparison of model risk requirements</w:t>
      </w:r>
    </w:p>
    <w:p>
      <w:pPr>
        <w:pStyle w:val="ContentsHead"/>
      </w:pPr>
      <w:r>
        <w:t>Annex E — Source register</w:t>
      </w:r>
    </w:p>
    <w:p>
      <w:pPr>
        <w:pStyle w:val="ContentsHead"/>
      </w:pPr>
      <w:r>
        <w:t>Annex F — Matters requiring legal and policy settlement</w:t>
      </w:r>
    </w:p>
    <w:p>
      <w:pPr>
        <w:pStyle w:val="ContentsHead"/>
      </w:pPr>
      <w:r>
        <w:t>Annex G — Expected credit loss models: review focus areas</w:t>
      </w:r>
    </w:p>
    <w:p>
      <w:pPr>
        <w:pStyle w:val="DocMeta"/>
      </w:pPr>
      <w:r>
        <w:br w:type="page"/>
      </w:r>
    </w:p>
    <w:p>
      <w:pPr>
        <w:pStyle w:val="Heading1"/>
      </w:pPr>
      <w:r>
        <w:t>Part A — Application and interpretation</w:t>
      </w:r>
    </w:p>
    <w:p>
      <w:pPr>
        <w:pStyle w:val="Heading2"/>
      </w:pPr>
      <w:r>
        <w:t>1. Application and scope</w:t>
      </w:r>
    </w:p>
    <w:p>
      <w:pPr>
        <w:pStyle w:val="Heading3"/>
      </w:pPr>
      <w:r>
        <w:t>M01 — Enterprise-wide application and retained accountability</w:t>
      </w:r>
    </w:p>
    <w:p>
      <w:pPr>
        <w:pStyle w:val="Requirement"/>
      </w:pPr>
      <w:r>
        <w:rPr>
          <w:b/>
        </w:rPr>
        <w:t>M01. An APRA-regulated entity must identify, assess, manage, monitor and report model risk arising from every model that it develops, acquires, configures, deploys or relies upon, whether the model is built internally, supplied by a third party or embedded within another system, and remains accountable for that model risk irrespective of who developed or operates the model.</w:t>
      </w:r>
    </w:p>
    <w:p>
      <w:pPr>
        <w:pStyle w:val="Guidance"/>
      </w:pPr>
      <w:r>
        <w:t>Model risk arises from the use of a model, not from its authorship. An entity that buys a model, licenses a platform containing one, inherits one through an acquisition or relies on a service provider's model is exposed to the consequences of that model being wrong or being used incorrectly, and cannot transfer that exposure by contract.</w:t>
      </w:r>
    </w:p>
    <w:p>
      <w:pPr>
        <w:pStyle w:val="Guidance"/>
      </w:pPr>
      <w:r>
        <w:t>Enterprise-wide means across all business lines, legal entities within the APRA-regulated group, and functions — including models used in finance, treasury, actuarial, capital, credit, markets, operations and compliance — and across all purposes, whether or not the model produces a regulatory number.</w:t>
      </w:r>
    </w:p>
    <w:p>
      <w:pPr>
        <w:pStyle w:val="CrossRef"/>
      </w:pPr>
      <w:r>
        <w:rPr>
          <w:i/>
        </w:rPr>
        <w:t>→ Guidance: CPG XXXX paragraphs 15–16.</w:t>
      </w:r>
    </w:p>
    <w:p>
      <w:pPr>
        <w:pStyle w:val="Heading3"/>
      </w:pPr>
      <w:r>
        <w:t>M02 — Definition of a model and of model risk</w:t>
      </w:r>
    </w:p>
    <w:p>
      <w:pPr>
        <w:pStyle w:val="Requirement"/>
      </w:pPr>
      <w:r>
        <w:rPr>
          <w:b/>
        </w:rPr>
        <w:t>M02. An APRA-regulated entity must apply a documented definition of a model that captures any quantitative method, system or approach that applies statistical, economic, financial, actuarial or mathematical theories, techniques or assumptions to process input data into quantitative estimates, and must treat model risk as the potential for adverse consequences from decisions based on incorrect or misused model outputs.</w:t>
      </w:r>
    </w:p>
    <w:p>
      <w:pPr>
        <w:pStyle w:val="Guidance"/>
      </w:pPr>
      <w:r>
        <w:t>The definition is deliberately function-based rather than technology-based. Whether the processing is a regression, a decision tree, a deterministic actuarial formula or a neural network does not change the analysis. It is also deliberately broad: it captures deterministic actuarial and financial calculations, which the current United States guidance excludes, because in an Australian cross-industry context such calculations determine insurance liabilities and unit prices and carry model risk of the first order.</w:t>
      </w:r>
    </w:p>
    <w:p>
      <w:pPr>
        <w:pStyle w:val="Guidance"/>
      </w:pPr>
      <w:r>
        <w:t>Model risk has two principal sources: a model may have fundamental errors and produce inaccurate outputs relative to its design objective and intended use; or a model may be used incorrectly or inappropriately, including outside the purpose for which it was approved. Both must be managed.</w:t>
      </w:r>
    </w:p>
    <w:p>
      <w:pPr>
        <w:pStyle w:val="Guidance"/>
      </w:pPr>
      <w:r>
        <w:t>Applying the definition should not become an exercise in avoiding scope. Where it is genuinely unclear whether a tool is a model, the entity should record the determination and the reasoning, and should manage the residual risk under this Prudential Standard or under an equivalent control.</w:t>
      </w:r>
    </w:p>
    <w:p>
      <w:pPr>
        <w:pStyle w:val="CrossRef"/>
      </w:pPr>
      <w:r>
        <w:rPr>
          <w:i/>
        </w:rPr>
        <w:t>→ Guidance: CPG XXXX paragraphs 8–12.</w:t>
      </w:r>
    </w:p>
    <w:p>
      <w:pPr>
        <w:pStyle w:val="Heading3"/>
      </w:pPr>
      <w:r>
        <w:t>M03 — Quantitative tools that are not models</w:t>
      </w:r>
    </w:p>
    <w:p>
      <w:pPr>
        <w:pStyle w:val="Requirement"/>
      </w:pPr>
      <w:r>
        <w:rPr>
          <w:b/>
        </w:rPr>
        <w:t>M03. An APRA-regulated entity must identify material quantitative decision tools that fall outside its model definition — being tools whose output is fully determined by their inputs and documented rules, without estimation, statistical inference or an embedded assumption about an uncertain quantity, and whose output does not determine a regulatory figure, a reported valuation or an amount attributable to a customer or beneficiary — record them, and apply controls proportionate to the risk they present.</w:t>
      </w:r>
    </w:p>
    <w:p>
      <w:pPr>
        <w:pStyle w:val="Guidance"/>
      </w:pPr>
      <w:r>
        <w:t>Deterministic calculators, complex spreadsheets, rules engines, allocation keys and end-user computing tools can drive material decisions and can be wrong in exactly the ways a model can be wrong, without meeting the definition of a model. Excluding them from the definition should not exclude them from control.</w:t>
      </w:r>
    </w:p>
    <w:p>
      <w:pPr>
        <w:pStyle w:val="Guidance"/>
      </w:pPr>
      <w:r>
        <w:t>The controls need not be the full model lifecycle. Ownership, documentation, change control, access control, periodic review and a check that the tool still does what it is meant to do will usually be sufficient for tools that are not material.</w:t>
      </w:r>
    </w:p>
    <w:p>
      <w:pPr>
        <w:pStyle w:val="CrossRef"/>
      </w:pPr>
      <w:r>
        <w:rPr>
          <w:i/>
        </w:rPr>
        <w:t>→ Guidance: CPG XXXX paragraphs 12–14.</w:t>
      </w:r>
    </w:p>
    <w:p>
      <w:pPr>
        <w:pStyle w:val="Heading2"/>
      </w:pPr>
      <w:r>
        <w:t>2. Proportionality</w:t>
      </w:r>
    </w:p>
    <w:p>
      <w:pPr>
        <w:pStyle w:val="Heading3"/>
      </w:pPr>
      <w:r>
        <w:t>M04 — Proportionality and controlled exceptions</w:t>
      </w:r>
    </w:p>
    <w:p>
      <w:pPr>
        <w:pStyle w:val="Requirement"/>
      </w:pPr>
      <w:r>
        <w:rPr>
          <w:b/>
        </w:rPr>
        <w:t>M04. An APRA-regulated entity must apply this Prudential Standard in a manner proportionate to the materiality, complexity, autonomy and criticality of each model and to the size and business mix of the entity, must be able to demonstrate that the intensity of controls applied to each model reflects its model risk tier and that models of equivalent tier are treated consistently, and must document, time-bound, approve at an authority commensurate with the risk and periodically review any departure from its own model risk policies and standards.</w:t>
      </w:r>
    </w:p>
    <w:p>
      <w:pPr>
        <w:pStyle w:val="Guidance"/>
      </w:pPr>
      <w:r>
        <w:t>Proportionality changes the depth, frequency and formality of controls. It does not permit an entity to except itself from a requirement of this Prudential Standard. Only APRA may adjust or exclude a requirement, under paragraph A5.</w:t>
      </w:r>
    </w:p>
    <w:p>
      <w:pPr>
        <w:pStyle w:val="Guidance"/>
      </w:pPr>
      <w:r>
        <w:t>A small entity with a handful of vendor models has a materially different obligation from a large entity operating hundreds of internally developed models across several regulated businesses. Both must be able to demonstrate that the difference reflects risk rather than convenience.</w:t>
      </w:r>
    </w:p>
    <w:p>
      <w:pPr>
        <w:pStyle w:val="Guidance"/>
      </w:pPr>
      <w:r>
        <w:t>An exception register that grows without expiry dates is itself an indicator of framework weakness.</w:t>
      </w:r>
    </w:p>
    <w:p>
      <w:pPr>
        <w:pStyle w:val="CrossRef"/>
      </w:pPr>
      <w:r>
        <w:rPr>
          <w:i/>
        </w:rPr>
        <w:t>→ Guidance: CPG XXXX paragraphs 17, 28–29.</w:t>
      </w:r>
    </w:p>
    <w:p>
      <w:pPr>
        <w:pStyle w:val="Heading3"/>
      </w:pPr>
      <w:r>
        <w:t>M05 — De minimis models</w:t>
      </w:r>
    </w:p>
    <w:p>
      <w:pPr>
        <w:pStyle w:val="Requirement"/>
      </w:pPr>
      <w:r>
        <w:rPr>
          <w:b/>
        </w:rPr>
        <w:t>M05. An APRA-regulated entity may determine that a model is de minimis, and apply to that model only the identification, inventory, ownership, classification and reassessment requirements of this Prudential Standard, where the entity has assessed and documented that an error in, or misuse of, the model could not have a material effect on its financial position, its regulatory obligations, its critical operations, or amounts or entitlements attributable to its customers or beneficiaries. The entity must record the determination and the reasoning for it, approve it at an authority commensurate with the risk, assess whether models individually determined to be de minimis are material in aggregate, and reassess each determination on the occurrence of a trigger event and at a frequency set out in its model risk policy.</w:t>
      </w:r>
    </w:p>
    <w:p>
      <w:pPr>
        <w:pStyle w:val="Guidance"/>
      </w:pPr>
      <w:r>
        <w:t>A de minimis determination is a conclusion about consequence, not about size, complexity or cost. The question is whether the entity could be materially wrong, or materially unfair to a customer or beneficiary, if the model were wrong and no one noticed.</w:t>
      </w:r>
    </w:p>
    <w:p>
      <w:pPr>
        <w:pStyle w:val="Guidance"/>
      </w:pPr>
      <w:r>
        <w:t>A de minimis model remains within the framework. It must still be identified, recorded in the inventory, owned and classified, and its determination must still be reassessed. Without those obligations an entity could not demonstrate that anything is de minimis, and the exception would become a route out of the inventory rather than a route to lighter controls.</w:t>
      </w:r>
    </w:p>
    <w:p>
      <w:pPr>
        <w:pStyle w:val="Guidance"/>
      </w:pPr>
      <w:r>
        <w:t>A model must not be determined to be de minimis where it is used to determine a regulatory capital requirement, a provision, a technical or insurance liability, a valuation reported in the financial statements, a unit price or another amount attributable to a customer or beneficiary, or where it supports a critical operation.</w:t>
      </w:r>
    </w:p>
    <w:p>
      <w:pPr>
        <w:pStyle w:val="Guidance"/>
      </w:pPr>
      <w:r>
        <w:t>The aggregate test matters. A single immaterial model is immaterial; two hundred of them, feeding the same process or sharing the same flawed assumption, may not be. An entity should be able to show that it has examined the population and not only the individual determinations.</w:t>
      </w:r>
    </w:p>
    <w:p>
      <w:pPr>
        <w:pStyle w:val="Guidance"/>
      </w:pPr>
      <w:r>
        <w:t>A model must not be disaggregated into components in order to bring those components below the threshold, and a determination made for one use does not carry over to another use of the same model.</w:t>
      </w:r>
    </w:p>
    <w:p>
      <w:pPr>
        <w:pStyle w:val="CrossRef"/>
      </w:pPr>
      <w:r>
        <w:rPr>
          <w:i/>
        </w:rPr>
        <w:t>→ Guidance: CPG XXXX paragraphs 22–27.</w:t>
      </w:r>
    </w:p>
    <w:p>
      <w:pPr>
        <w:pStyle w:val="Heading1"/>
      </w:pPr>
      <w:r>
        <w:t>Part B — Governance and accountability</w:t>
      </w:r>
    </w:p>
    <w:p>
      <w:pPr>
        <w:pStyle w:val="Heading2"/>
      </w:pPr>
      <w:r>
        <w:t>3. Board and senior management</w:t>
      </w:r>
    </w:p>
    <w:p>
      <w:pPr>
        <w:pStyle w:val="Heading3"/>
      </w:pPr>
      <w:r>
        <w:t>M06 — Board oversight of model risk</w:t>
      </w:r>
    </w:p>
    <w:p>
      <w:pPr>
        <w:pStyle w:val="Requirement"/>
      </w:pPr>
      <w:r>
        <w:rPr>
          <w:b/>
        </w:rPr>
        <w:t>M06. The Board of an APRA-regulated entity must approve the model risk management framework and the entity's appetite for model risk, and must satisfy itself that model risk is being managed within that appetite and that it receives information sufficient to form that judgement.</w:t>
      </w:r>
    </w:p>
    <w:p>
      <w:pPr>
        <w:pStyle w:val="Guidance"/>
      </w:pPr>
      <w:r>
        <w:t>The Board is not expected to understand the mathematics of individual models. It is expected to understand what the entity relies on models to do, where reliance is greatest, what could go wrong, how the entity would know, and what would happen next.</w:t>
      </w:r>
    </w:p>
    <w:p>
      <w:pPr>
        <w:pStyle w:val="Guidance"/>
      </w:pPr>
      <w:r>
        <w:t>Board reporting should be decision-useful rather than descriptive: aggregate exposure to model risk, movement in the tiering profile, validation coverage and overdue validations, unresolved high-severity findings, material limitations accepted, overlays in force and their size, and incidents.</w:t>
      </w:r>
    </w:p>
    <w:p>
      <w:pPr>
        <w:pStyle w:val="Guidance"/>
      </w:pPr>
      <w:r>
        <w:t>A Board that receives only a model count and a traffic-light summary is unlikely to be positioned to provide effective challenge.</w:t>
      </w:r>
    </w:p>
    <w:p>
      <w:pPr>
        <w:pStyle w:val="CrossRef"/>
      </w:pPr>
      <w:r>
        <w:rPr>
          <w:i/>
        </w:rPr>
        <w:t>→ Guidance: CPG XXXX paragraphs 32–33, 35.</w:t>
      </w:r>
    </w:p>
    <w:p>
      <w:pPr>
        <w:pStyle w:val="Heading3"/>
      </w:pPr>
      <w:r>
        <w:t>M07 — Senior accountability for the framework</w:t>
      </w:r>
    </w:p>
    <w:p>
      <w:pPr>
        <w:pStyle w:val="Requirement"/>
      </w:pPr>
      <w:r>
        <w:rPr>
          <w:b/>
        </w:rPr>
        <w:t>M07. An APRA-regulated entity must assign accountability for the design, implementation and effectiveness of the model risk management framework to a named senior executive with sufficient authority, independence from model development and business sponsorship, and resources to discharge it.</w:t>
      </w:r>
    </w:p>
    <w:p>
      <w:pPr>
        <w:pStyle w:val="Guidance"/>
      </w:pPr>
      <w:r>
        <w:t>One accountable executive for the framework does not displace accountability for individual models. It ensures that someone owns the framework itself — its coverage, its consistency and its failures.</w:t>
      </w:r>
    </w:p>
    <w:p>
      <w:pPr>
        <w:pStyle w:val="Guidance"/>
      </w:pPr>
      <w:r>
        <w:t>The designation should be recorded in the entity's accountability arrangements and should be consistent with its obligations under the applicable accountability regime.</w:t>
      </w:r>
    </w:p>
    <w:p>
      <w:pPr>
        <w:pStyle w:val="CrossRef"/>
      </w:pPr>
      <w:r>
        <w:rPr>
          <w:i/>
        </w:rPr>
        <w:t>→ Guidance: CPG XXXX paragraphs 36–37.</w:t>
      </w:r>
    </w:p>
    <w:p>
      <w:pPr>
        <w:pStyle w:val="Heading3"/>
      </w:pPr>
      <w:r>
        <w:t>M08 — Model ownership and defined lifecycle roles</w:t>
      </w:r>
    </w:p>
    <w:p>
      <w:pPr>
        <w:pStyle w:val="Requirement"/>
      </w:pPr>
      <w:r>
        <w:rPr>
          <w:b/>
        </w:rPr>
        <w:t>M08. An APRA-regulated entity must assign, for each model, a model owner accountable for the model throughout its lifecycle, and must define the roles, responsibilities and required independence of developers, validators, approvers, users and those responsible for monitoring. Where development, validation, approval or monitoring is performed by another member of the entity's group or by a related body corporate, the entity must satisfy itself that the work meets the requirements of this Prudential Standard and must retain the ability to direct, challenge and obtain evidence of it.</w:t>
      </w:r>
    </w:p>
    <w:p>
      <w:pPr>
        <w:pStyle w:val="Guidance"/>
      </w:pPr>
      <w:r>
        <w:t>The model owner is accountable for the model being fit for its approved purpose, for its documentation being current, for its performance being monitored, for its limitations being disclosed to users, and for remediation of findings. Ownership that exists only in the inventory is not ownership.</w:t>
      </w:r>
    </w:p>
    <w:p>
      <w:pPr>
        <w:pStyle w:val="Guidance"/>
      </w:pPr>
      <w:r>
        <w:t>Where a model is used by more than one business, the entity should be explicit about who owns the model and who owns each use of it, because the two can fail independently.</w:t>
      </w:r>
    </w:p>
    <w:p>
      <w:pPr>
        <w:pStyle w:val="CrossRef"/>
      </w:pPr>
      <w:r>
        <w:rPr>
          <w:i/>
        </w:rPr>
        <w:t>→ Guidance: CPG XXXX paragraphs 38–39.</w:t>
      </w:r>
    </w:p>
    <w:p>
      <w:pPr>
        <w:pStyle w:val="Heading2"/>
      </w:pPr>
      <w:r>
        <w:t>4. Capability and independence</w:t>
      </w:r>
    </w:p>
    <w:p>
      <w:pPr>
        <w:pStyle w:val="Heading3"/>
      </w:pPr>
      <w:r>
        <w:t>M09 — Capability, resourcing and independence</w:t>
      </w:r>
    </w:p>
    <w:p>
      <w:pPr>
        <w:pStyle w:val="Requirement"/>
      </w:pPr>
      <w:r>
        <w:rPr>
          <w:b/>
        </w:rPr>
        <w:t>M09. An APRA-regulated entity must maintain personnel, skills, tools and organisational arrangements sufficient to develop, use, validate, challenge and assure its models, with validation performed by persons who are independent of, and not accountable to, those who developed the model or who sponsor its business use.</w:t>
      </w:r>
    </w:p>
    <w:p>
      <w:pPr>
        <w:pStyle w:val="Guidance"/>
      </w:pPr>
      <w:r>
        <w:t>Independence is a matter of incentive as well as reporting line. A validator whose remuneration, progression or workload depends on the approval of the models they validate is not independent, whatever the organisational chart shows.</w:t>
      </w:r>
    </w:p>
    <w:p>
      <w:pPr>
        <w:pStyle w:val="Guidance"/>
      </w:pPr>
      <w:r>
        <w:t>Smaller entities may not be able to maintain a standing validation function. Independence can be achieved by using suitably qualified persons from elsewhere in the entity or group who were not involved in development, or by engaging an external provider, provided the entity retains the capability to understand, direct and challenge the work and does not simply accept its conclusions.</w:t>
      </w:r>
    </w:p>
    <w:p>
      <w:pPr>
        <w:pStyle w:val="CrossRef"/>
      </w:pPr>
      <w:r>
        <w:rPr>
          <w:i/>
        </w:rPr>
        <w:t>→ Guidance: CPG XXXX paragraphs 40–42.</w:t>
      </w:r>
    </w:p>
    <w:p>
      <w:pPr>
        <w:pStyle w:val="Heading1"/>
      </w:pPr>
      <w:r>
        <w:t>Part C — Framework, appetite and policy</w:t>
      </w:r>
    </w:p>
    <w:p>
      <w:pPr>
        <w:pStyle w:val="Heading2"/>
      </w:pPr>
      <w:r>
        <w:t>5. Model risk management framework</w:t>
      </w:r>
    </w:p>
    <w:p>
      <w:pPr>
        <w:pStyle w:val="Heading3"/>
      </w:pPr>
      <w:r>
        <w:t>M10 — Integrated model risk management framework</w:t>
      </w:r>
    </w:p>
    <w:p>
      <w:pPr>
        <w:pStyle w:val="Requirement"/>
      </w:pPr>
      <w:r>
        <w:rPr>
          <w:b/>
        </w:rPr>
        <w:t>M10. An APRA-regulated entity must maintain a documented model risk management framework, integrated with its risk management framework, that covers model identification, inventory, tiering, development, data, testing, validation, approval, implementation, use, monitoring, change, limitations, remediation, decommissioning, reporting and assurance.</w:t>
      </w:r>
    </w:p>
    <w:p>
      <w:pPr>
        <w:pStyle w:val="Guidance"/>
      </w:pPr>
      <w:r>
        <w:t>Model risk should be treated as a risk in its own right rather than as a subset of operational risk. Treating it as an operational risk category tends to produce incident-based management after the event rather than lifecycle management before it.</w:t>
      </w:r>
    </w:p>
    <w:p>
      <w:pPr>
        <w:pStyle w:val="Guidance"/>
      </w:pPr>
      <w:r>
        <w:t>Integration means the framework connects to, and does not duplicate, the entity's arrangements for data risk, information security, operational risk, service provider management, change management and internal audit.</w:t>
      </w:r>
    </w:p>
    <w:p>
      <w:pPr>
        <w:pStyle w:val="CrossRef"/>
      </w:pPr>
      <w:r>
        <w:rPr>
          <w:i/>
        </w:rPr>
        <w:t>→ Guidance: CPG XXXX paragraphs 43–44.</w:t>
      </w:r>
    </w:p>
    <w:p>
      <w:pPr>
        <w:pStyle w:val="Heading3"/>
      </w:pPr>
      <w:r>
        <w:t>M11 — Model risk appetite and limits</w:t>
      </w:r>
    </w:p>
    <w:p>
      <w:pPr>
        <w:pStyle w:val="Requirement"/>
      </w:pPr>
      <w:r>
        <w:rPr>
          <w:b/>
        </w:rPr>
        <w:t>M11. An APRA-regulated entity must define its appetite for model risk, express it in terms capable of being monitored, and establish limits, thresholds and escalation triggers against which model risk is measured and reported.</w:t>
      </w:r>
    </w:p>
    <w:p>
      <w:pPr>
        <w:pStyle w:val="Guidance"/>
      </w:pPr>
      <w:r>
        <w:t>A model risk appetite expressed only as a statement of intent cannot be breached and therefore cannot be managed. Measurable expressions include tolerances for validation coverage and overdue validations, the permissible number and age of high-severity unresolved findings, limits on the aggregate size of overlays relative to a modelled figure, and constraints on the use of models operating outside approved conditions.</w:t>
      </w:r>
    </w:p>
    <w:p>
      <w:pPr>
        <w:pStyle w:val="Guidance"/>
      </w:pPr>
      <w:r>
        <w:t>Where an entity cannot yet quantify aggregate model risk, it should say so, use qualitative and coverage-based measures in the interim, and set out how it intends to close the gap.</w:t>
      </w:r>
    </w:p>
    <w:p>
      <w:pPr>
        <w:pStyle w:val="CrossRef"/>
      </w:pPr>
      <w:r>
        <w:rPr>
          <w:i/>
        </w:rPr>
        <w:t>→ Guidance: CPG XXXX paragraphs 45–47.</w:t>
      </w:r>
    </w:p>
    <w:p>
      <w:pPr>
        <w:pStyle w:val="Heading3"/>
      </w:pPr>
      <w:r>
        <w:t>M12 — Policy, standards and consistency of application</w:t>
      </w:r>
    </w:p>
    <w:p>
      <w:pPr>
        <w:pStyle w:val="Requirement"/>
      </w:pPr>
      <w:r>
        <w:rPr>
          <w:b/>
        </w:rPr>
        <w:t>M12. An APRA-regulated entity must maintain model risk policies and standards that are approved at an appropriate authority, applied consistently across the entity, reviewed at least annually, and version-controlled.</w:t>
      </w:r>
    </w:p>
    <w:p>
      <w:pPr>
        <w:pStyle w:val="Guidance"/>
      </w:pPr>
      <w:r>
        <w:t>Consistency matters most where it is least convenient. Where different businesses apply materially different development, validation or documentation standards to models of equivalent risk, the entity should be able to justify the difference on risk grounds.</w:t>
      </w:r>
    </w:p>
    <w:p>
      <w:pPr>
        <w:pStyle w:val="CrossRef"/>
      </w:pPr>
      <w:r>
        <w:rPr>
          <w:i/>
        </w:rPr>
        <w:t>→ Guidance: CPG XXXX paragraphs 48–49.</w:t>
      </w:r>
    </w:p>
    <w:p>
      <w:pPr>
        <w:pStyle w:val="Heading2"/>
      </w:pPr>
      <w:r>
        <w:t>6. Reporting and escalation</w:t>
      </w:r>
    </w:p>
    <w:p>
      <w:pPr>
        <w:pStyle w:val="Heading3"/>
      </w:pPr>
      <w:r>
        <w:t>M13 — Management information and escalation</w:t>
      </w:r>
    </w:p>
    <w:p>
      <w:pPr>
        <w:pStyle w:val="Requirement"/>
      </w:pPr>
      <w:r>
        <w:rPr>
          <w:b/>
        </w:rPr>
        <w:t>M13. An APRA-regulated entity must provide the Board and senior management with timely and accurate information on model risk, including tiering profile, validation status, unresolved findings, material limitations, overlays, incidents, exceptions and remediation, and must escalate breaches of model risk limits and material model failures.</w:t>
      </w:r>
    </w:p>
    <w:p>
      <w:pPr>
        <w:pStyle w:val="Guidance"/>
      </w:pPr>
      <w:r>
        <w:t>Reporting should aggregate. A list of individual model issues does not tell the Board whether model risk is increasing or decreasing, or where the concentration of reliance sits.</w:t>
      </w:r>
    </w:p>
    <w:p>
      <w:pPr>
        <w:pStyle w:val="Guidance"/>
      </w:pPr>
      <w:r>
        <w:t>Escalation criteria should be set in advance. Deciding after the event whether a model failure was material enough to escalate produces predictable results.</w:t>
      </w:r>
    </w:p>
    <w:p>
      <w:pPr>
        <w:pStyle w:val="CrossRef"/>
      </w:pPr>
      <w:r>
        <w:rPr>
          <w:i/>
        </w:rPr>
        <w:t>→ Guidance: CPG XXXX paragraphs 33–34, 87.</w:t>
      </w:r>
    </w:p>
    <w:p>
      <w:pPr>
        <w:pStyle w:val="Heading1"/>
      </w:pPr>
      <w:r>
        <w:t>Part D — Identification, inventory and tiering</w:t>
      </w:r>
    </w:p>
    <w:p>
      <w:pPr>
        <w:pStyle w:val="Heading2"/>
      </w:pPr>
      <w:r>
        <w:t>7. Inventory</w:t>
      </w:r>
    </w:p>
    <w:p>
      <w:pPr>
        <w:pStyle w:val="Heading3"/>
      </w:pPr>
      <w:r>
        <w:t>M14 — Model identification and enterprise inventory</w:t>
      </w:r>
    </w:p>
    <w:p>
      <w:pPr>
        <w:pStyle w:val="Requirement"/>
      </w:pPr>
      <w:r>
        <w:rPr>
          <w:b/>
        </w:rPr>
        <w:t>M14. An APRA-regulated entity must maintain an enterprise-wide inventory of its models and must maintain processes designed to ensure that the inventory is complete, accurate and current, including models supplied by third parties, models embedded in acquired systems, models under development and models that have been retired but whose outputs remain in use, recording at least the fields set out in Annex B.</w:t>
      </w:r>
    </w:p>
    <w:p>
      <w:pPr>
        <w:pStyle w:val="Guidance"/>
      </w:pPr>
      <w:r>
        <w:t>The inventory is the foundation of the framework: nothing else in this Prudential Standard can be demonstrated for a model that the entity does not know it has. Annex B sets out the minimum fields.</w:t>
      </w:r>
    </w:p>
    <w:p>
      <w:pPr>
        <w:pStyle w:val="Guidance"/>
      </w:pPr>
      <w:r>
        <w:t>Identification requires active discovery rather than voluntary registration. Procurement gates, architecture review, change approval, periodic business attestations and reconciliation to expenditure and to system inventories are all more reliable than asking business units to self-declare.</w:t>
      </w:r>
    </w:p>
    <w:p>
      <w:pPr>
        <w:pStyle w:val="Guidance"/>
      </w:pPr>
      <w:r>
        <w:t>Retired models require particular care where a decision, a provision, a capital number or a customer outcome produced by the model remains in force after the model itself has been switched off.</w:t>
      </w:r>
    </w:p>
    <w:p>
      <w:pPr>
        <w:pStyle w:val="CrossRef"/>
      </w:pPr>
      <w:r>
        <w:rPr>
          <w:i/>
        </w:rPr>
        <w:t>→ Guidance: CPG XXXX paragraphs 24, 50–54.</w:t>
      </w:r>
    </w:p>
    <w:p>
      <w:pPr>
        <w:pStyle w:val="Heading2"/>
      </w:pPr>
      <w:r>
        <w:t>8. Tiering</w:t>
      </w:r>
    </w:p>
    <w:p>
      <w:pPr>
        <w:pStyle w:val="Heading3"/>
      </w:pPr>
      <w:r>
        <w:t>M15 — Model risk tiering</w:t>
      </w:r>
    </w:p>
    <w:p>
      <w:pPr>
        <w:pStyle w:val="Requirement"/>
      </w:pPr>
      <w:r>
        <w:rPr>
          <w:b/>
        </w:rPr>
        <w:t>M15. An APRA-regulated entity must apply a documented and consistently implemented methodology to assign each model a model risk tier, using both quantitative and qualitative factors, and must use that tier to determine the intensity of development, documentation, validation, approval, monitoring and reporting applied to the model.</w:t>
      </w:r>
    </w:p>
    <w:p>
      <w:pPr>
        <w:pStyle w:val="Guidance"/>
      </w:pPr>
      <w:r>
        <w:t>Tiering factors should include the materiality of the decisions or figures the model influences, the complexity and transparency of the method, the uncertainty in the data and assumptions, the degree of reliance placed on the output, the extent of automation and the reversibility of the consequence.</w:t>
      </w:r>
    </w:p>
    <w:p>
      <w:pPr>
        <w:pStyle w:val="Guidance"/>
      </w:pPr>
      <w:r>
        <w:t>A simple model can warrant the highest tier because of what it is used for. Tiering that tracks technical sophistication rather than consequence will systematically under-govern the models that matter most.</w:t>
      </w:r>
    </w:p>
    <w:p>
      <w:pPr>
        <w:pStyle w:val="Guidance"/>
      </w:pPr>
      <w:r>
        <w:t>The tier should drive real differences in control. A tiering scheme that produces the same treatment for every tier is an administrative exercise rather than a risk control.</w:t>
      </w:r>
    </w:p>
    <w:p>
      <w:pPr>
        <w:pStyle w:val="CrossRef"/>
      </w:pPr>
      <w:r>
        <w:rPr>
          <w:i/>
        </w:rPr>
        <w:t>→ Guidance: CPG XXXX paragraphs 17–21.</w:t>
      </w:r>
    </w:p>
    <w:p>
      <w:pPr>
        <w:pStyle w:val="Heading3"/>
      </w:pPr>
      <w:r>
        <w:t>M16 — Reassessment and trigger events</w:t>
      </w:r>
    </w:p>
    <w:p>
      <w:pPr>
        <w:pStyle w:val="Requirement"/>
      </w:pPr>
      <w:r>
        <w:rPr>
          <w:b/>
        </w:rPr>
        <w:t>M16. An APRA-regulated entity must reassess a model's tier and required controls at a frequency proportionate to its tier and upon the occurrence of defined trigger events, including material change to the model, its data, its purpose, its user base, its operating environment or the entity's reliance on it.</w:t>
      </w:r>
    </w:p>
    <w:p>
      <w:pPr>
        <w:pStyle w:val="Guidance"/>
      </w:pPr>
      <w:r>
        <w:t>Trigger events should include changes the entity did not initiate, such as a vendor releasing a new version, an upstream data source changing definition, or a portfolio migrating into a segment the model was not developed on.</w:t>
      </w:r>
    </w:p>
    <w:p>
      <w:pPr>
        <w:pStyle w:val="CrossRef"/>
      </w:pPr>
      <w:r>
        <w:rPr>
          <w:i/>
        </w:rPr>
        <w:t>→ Guidance: CPG XXXX paragraphs 27, 30–31.</w:t>
      </w:r>
    </w:p>
    <w:p>
      <w:pPr>
        <w:pStyle w:val="Heading1"/>
      </w:pPr>
      <w:r>
        <w:t>Part E — Development, data and documentation</w:t>
      </w:r>
    </w:p>
    <w:p>
      <w:pPr>
        <w:pStyle w:val="Heading2"/>
      </w:pPr>
      <w:r>
        <w:t>9. Development</w:t>
      </w:r>
    </w:p>
    <w:p>
      <w:pPr>
        <w:pStyle w:val="Heading3"/>
      </w:pPr>
      <w:r>
        <w:t>M17 — Conceptual soundness and development standards</w:t>
      </w:r>
    </w:p>
    <w:p>
      <w:pPr>
        <w:pStyle w:val="Requirement"/>
      </w:pPr>
      <w:r>
        <w:rPr>
          <w:b/>
        </w:rPr>
        <w:t>M17. An APRA-regulated entity must ensure that each model is developed in accordance with documented standards, is conceptually sound, is fit for its intended purpose, and that the design, theory, methodology, assumptions, variable selection and known limitations are justified and recorded.</w:t>
      </w:r>
    </w:p>
    <w:p>
      <w:pPr>
        <w:pStyle w:val="Guidance"/>
      </w:pPr>
      <w:r>
        <w:t>Conceptual soundness asks whether the approach makes sense for the purpose, not merely whether it fits the data. A model that performs well in backtesting on a period unrepresentative of the conditions in which it will be used is not conceptually sound.</w:t>
      </w:r>
    </w:p>
    <w:p>
      <w:pPr>
        <w:pStyle w:val="Guidance"/>
      </w:pPr>
      <w:r>
        <w:t>Development should include consideration of reasonable alternative approaches and a record of why the chosen approach was preferred. Where a more transparent method would have performed acceptably, the entity should be able to explain why a less transparent one was selected.</w:t>
      </w:r>
    </w:p>
    <w:p>
      <w:pPr>
        <w:pStyle w:val="Guidance"/>
      </w:pPr>
      <w:r>
        <w:t>Developmental evidence should include the testing carried out during development, its results, and the limitations that testing did not resolve — not only the tests the model passed.</w:t>
      </w:r>
    </w:p>
    <w:p>
      <w:pPr>
        <w:pStyle w:val="CrossRef"/>
      </w:pPr>
      <w:r>
        <w:rPr>
          <w:i/>
        </w:rPr>
        <w:t>→ Guidance: CPG XXXX paragraphs 55–58.</w:t>
      </w:r>
    </w:p>
    <w:p>
      <w:pPr>
        <w:pStyle w:val="Heading2"/>
      </w:pPr>
      <w:r>
        <w:t>10. Data</w:t>
      </w:r>
    </w:p>
    <w:p>
      <w:pPr>
        <w:pStyle w:val="Heading3"/>
      </w:pPr>
      <w:r>
        <w:t>M18 — Data quality, provenance and appropriateness</w:t>
      </w:r>
    </w:p>
    <w:p>
      <w:pPr>
        <w:pStyle w:val="Requirement"/>
      </w:pPr>
      <w:r>
        <w:rPr>
          <w:b/>
        </w:rPr>
        <w:t>M18. An APRA-regulated entity must ensure that data used to develop, calibrate, test, operate and monitor a model is appropriate for that purpose, of sufficient quality, traceable to source, and that material data limitations, proxies, adjustments and exclusions are documented and their effect on model output assessed.</w:t>
      </w:r>
    </w:p>
    <w:p>
      <w:pPr>
        <w:pStyle w:val="Guidance"/>
      </w:pPr>
      <w:r>
        <w:t>Data appropriateness is a question of representativeness as well as accuracy. Data that is accurate but drawn from a population, product or period unlike the one in which the model will be used will produce confidently wrong answers.</w:t>
      </w:r>
    </w:p>
    <w:p>
      <w:pPr>
        <w:pStyle w:val="Guidance"/>
      </w:pPr>
      <w:r>
        <w:t>Where proxy or external data is used because internal data is insufficient, the entity should document the basis for considering the proxy suitable and should test the sensitivity of the output to that choice.</w:t>
      </w:r>
    </w:p>
    <w:p>
      <w:pPr>
        <w:pStyle w:val="Guidance"/>
      </w:pPr>
      <w:r>
        <w:t>Synthetic data used for development or testing should be identified as such, with its generation method and its representativeness assessed.</w:t>
      </w:r>
    </w:p>
    <w:p>
      <w:pPr>
        <w:pStyle w:val="CrossRef"/>
      </w:pPr>
      <w:r>
        <w:rPr>
          <w:i/>
        </w:rPr>
        <w:t>→ Guidance: CPG XXXX paragraphs 59–62.</w:t>
      </w:r>
    </w:p>
    <w:p>
      <w:pPr>
        <w:pStyle w:val="Heading2"/>
      </w:pPr>
      <w:r>
        <w:t>11. Documentation</w:t>
      </w:r>
    </w:p>
    <w:p>
      <w:pPr>
        <w:pStyle w:val="Heading3"/>
      </w:pPr>
      <w:r>
        <w:t>M19 — Documentation sufficient for independent reconstruction</w:t>
      </w:r>
    </w:p>
    <w:p>
      <w:pPr>
        <w:pStyle w:val="Requirement"/>
      </w:pPr>
      <w:r>
        <w:rPr>
          <w:b/>
        </w:rPr>
        <w:t>M19. An APRA-regulated entity must maintain model documentation sufficient for a competent person independent of the model's development to understand its purpose, design, data, assumptions, implementation, limitations, testing, approved conditions of use and performance, and to reproduce its material results.</w:t>
      </w:r>
    </w:p>
    <w:p>
      <w:pPr>
        <w:pStyle w:val="Guidance"/>
      </w:pPr>
      <w:r>
        <w:t>The reconstruction test is the practical standard: documentation is adequate when someone who was not there can pick it up and reach the same answer. Documentation that depends on the continued availability of the person who built the model is a key-person dependency, not documentation.</w:t>
      </w:r>
    </w:p>
    <w:p>
      <w:pPr>
        <w:pStyle w:val="Guidance"/>
      </w:pPr>
      <w:r>
        <w:t>Documentation should be maintained through the model's life rather than assembled for validation or for a supervisory request.</w:t>
      </w:r>
    </w:p>
    <w:p>
      <w:pPr>
        <w:pStyle w:val="CrossRef"/>
      </w:pPr>
      <w:r>
        <w:rPr>
          <w:i/>
        </w:rPr>
        <w:t>→ Guidance: CPG XXXX paragraphs 63–64.</w:t>
      </w:r>
    </w:p>
    <w:p>
      <w:pPr>
        <w:pStyle w:val="Heading1"/>
      </w:pPr>
      <w:r>
        <w:t>Part F — Testing, validation and approval</w:t>
      </w:r>
    </w:p>
    <w:p>
      <w:pPr>
        <w:pStyle w:val="Heading2"/>
      </w:pPr>
      <w:r>
        <w:t>12. Testing before use</w:t>
      </w:r>
    </w:p>
    <w:p>
      <w:pPr>
        <w:pStyle w:val="Heading3"/>
      </w:pPr>
      <w:r>
        <w:t>M20 — Pre-implementation testing</w:t>
      </w:r>
    </w:p>
    <w:p>
      <w:pPr>
        <w:pStyle w:val="Requirement"/>
      </w:pPr>
      <w:r>
        <w:rPr>
          <w:b/>
        </w:rPr>
        <w:t>M20. An APRA-regulated entity must not place a model into use for a material purpose until it has been tested against its design objective and intended use, the results have been documented, and residual limitations have been accepted at an appropriate authority.</w:t>
      </w:r>
    </w:p>
    <w:p>
      <w:pPr>
        <w:pStyle w:val="Guidance"/>
      </w:pPr>
      <w:r>
        <w:t>Testing should cover performance under expected conditions and under stressed, boundary and unrepresentative conditions, sensitivity to key assumptions and inputs, stability, and behaviour at the edges of the population the model will encounter.</w:t>
      </w:r>
    </w:p>
    <w:p>
      <w:pPr>
        <w:pStyle w:val="Guidance"/>
      </w:pPr>
      <w:r>
        <w:t>Testing should use data that is sufficiently independent of the data used to build the model. A model tested only on the data it was fitted to has not been tested.</w:t>
      </w:r>
    </w:p>
    <w:p>
      <w:pPr>
        <w:pStyle w:val="CrossRef"/>
      </w:pPr>
      <w:r>
        <w:rPr>
          <w:i/>
        </w:rPr>
        <w:t>→ Guidance: CPG XXXX paragraphs 65–67.</w:t>
      </w:r>
    </w:p>
    <w:p>
      <w:pPr>
        <w:pStyle w:val="Heading2"/>
      </w:pPr>
      <w:r>
        <w:t>13. Independent validation</w:t>
      </w:r>
    </w:p>
    <w:p>
      <w:pPr>
        <w:pStyle w:val="Heading3"/>
      </w:pPr>
      <w:r>
        <w:t>M21 — Independent validation</w:t>
      </w:r>
    </w:p>
    <w:p>
      <w:pPr>
        <w:pStyle w:val="Requirement"/>
      </w:pPr>
      <w:r>
        <w:rPr>
          <w:b/>
        </w:rPr>
        <w:t>M21. An APRA-regulated entity must subject each model to independent validation before it is used for a material purpose and periodically thereafter at a frequency determined by its tier, and must not treat validation performed by the model's developer, its business sponsor or its vendor as satisfying this requirement. Where an urgent business need requires a model to be used before independent validation is complete, the entity must approve that use at an authority commensurate with the model's tier, apply compensating controls, inform users of the limitation and complete the validation within a defined period.</w:t>
      </w:r>
    </w:p>
    <w:p>
      <w:pPr>
        <w:pStyle w:val="Guidance"/>
      </w:pPr>
      <w:r>
        <w:t>Validation is a distinct exercise from development testing. Its purpose is to form an independent view of whether the model is fit for its intended use, not to confirm that the development team did what it said it did.</w:t>
      </w:r>
    </w:p>
    <w:p>
      <w:pPr>
        <w:pStyle w:val="Guidance"/>
      </w:pPr>
      <w:r>
        <w:t>Vendor validation reports, model certifications and audit reports may be used as inputs. They do not discharge the entity's obligation, because they were not designed around the entity's data, portfolio, controls or use.</w:t>
      </w:r>
    </w:p>
    <w:p>
      <w:pPr>
        <w:pStyle w:val="CrossRef"/>
      </w:pPr>
      <w:r>
        <w:rPr>
          <w:i/>
        </w:rPr>
        <w:t>→ Guidance: CPG XXXX paragraphs 75.</w:t>
      </w:r>
    </w:p>
    <w:p>
      <w:pPr>
        <w:pStyle w:val="Heading3"/>
      </w:pPr>
      <w:r>
        <w:t>M22 — Scope of validation</w:t>
      </w:r>
    </w:p>
    <w:p>
      <w:pPr>
        <w:pStyle w:val="Requirement"/>
      </w:pPr>
      <w:r>
        <w:rPr>
          <w:b/>
        </w:rPr>
        <w:t>M22. Validation of a model must address conceptual soundness, outcomes analysis comparing model outputs with corresponding actual outcomes to the extent those outcomes are observable and sufficient for the purpose, and ongoing model monitoring, and must reach an explicit conclusion on the model's fitness for its intended use together with any conditions or limitations. Where outcomes are not observable, the entity must apply alternative evidence of performance, including benchmarking, sensitivity analysis and assessment of assumptions.</w:t>
      </w:r>
    </w:p>
    <w:p>
      <w:pPr>
        <w:pStyle w:val="Guidance"/>
      </w:pPr>
      <w:r>
        <w:t>These three components are complementary and none is sufficient alone. Conceptual soundness alone cannot detect deterioration; outcomes analysis alone cannot explain it.</w:t>
      </w:r>
    </w:p>
    <w:p>
      <w:pPr>
        <w:pStyle w:val="Guidance"/>
      </w:pPr>
      <w:r>
        <w:t>Validation should assess implementation as well as design — that the model as coded and deployed is the model as documented and approved.</w:t>
      </w:r>
    </w:p>
    <w:p>
      <w:pPr>
        <w:pStyle w:val="Guidance"/>
      </w:pPr>
      <w:r>
        <w:t>A validation that records observations without reaching a conclusion leaves the approval decision without the input it was designed to receive.</w:t>
      </w:r>
    </w:p>
    <w:p>
      <w:pPr>
        <w:pStyle w:val="CrossRef"/>
      </w:pPr>
      <w:r>
        <w:rPr>
          <w:i/>
        </w:rPr>
        <w:t>→ Guidance: CPG XXXX paragraphs 68–71.</w:t>
      </w:r>
    </w:p>
    <w:p>
      <w:pPr>
        <w:pStyle w:val="Heading3"/>
      </w:pPr>
      <w:r>
        <w:t>M23 — Effective challenge</w:t>
      </w:r>
    </w:p>
    <w:p>
      <w:pPr>
        <w:pStyle w:val="Requirement"/>
      </w:pPr>
      <w:r>
        <w:rPr>
          <w:b/>
        </w:rPr>
        <w:t>M23. An APRA-regulated entity must ensure that its models are subject to effective challenge — critical and objective analysis by persons with the expertise to identify model limitations, sufficient independence to maintain objectivity, and the organisational standing and influence to effect change.</w:t>
      </w:r>
    </w:p>
    <w:p>
      <w:pPr>
        <w:pStyle w:val="Guidance"/>
      </w:pPr>
      <w:r>
        <w:t>The three attributes operate together: expertise to identify the limitation, sufficient independence to reach an objective view of it, and the organisational standing and influence to have it acted on. Removing any one defeats the control while leaving its documentation intact. Incentives are a practical condition of the third attribute: a challenger whose workload, progression or remuneration depends on models being approved will not exercise influence for long.</w:t>
      </w:r>
    </w:p>
    <w:p>
      <w:pPr>
        <w:pStyle w:val="Guidance"/>
      </w:pPr>
      <w:r>
        <w:t>Indicators that challenge is not effective include validation findings that are consistently closed by explanation rather than change, findings downgraded without new evidence, and validation reports whose conclusions change late in the approval process.</w:t>
      </w:r>
    </w:p>
    <w:p>
      <w:pPr>
        <w:pStyle w:val="CrossRef"/>
      </w:pPr>
      <w:r>
        <w:rPr>
          <w:i/>
        </w:rPr>
        <w:t>→ Guidance: CPG XXXX paragraphs 72–74.</w:t>
      </w:r>
    </w:p>
    <w:p>
      <w:pPr>
        <w:pStyle w:val="Heading2"/>
      </w:pPr>
      <w:r>
        <w:t>14. Approval</w:t>
      </w:r>
    </w:p>
    <w:p>
      <w:pPr>
        <w:pStyle w:val="Heading3"/>
      </w:pPr>
      <w:r>
        <w:t>M24 — Approval and conditions of use</w:t>
      </w:r>
    </w:p>
    <w:p>
      <w:pPr>
        <w:pStyle w:val="Requirement"/>
      </w:pPr>
      <w:r>
        <w:rPr>
          <w:b/>
        </w:rPr>
        <w:t>M24. An APRA-regulated entity must approve each model for a defined purpose and defined conditions of use at an authority commensurate with its tier, having considered the validation conclusion, unresolved findings, limitations, compensating controls and residual model risk, and must record the approved version, scope, users, limits, monitoring thresholds and review date.</w:t>
      </w:r>
    </w:p>
    <w:p>
      <w:pPr>
        <w:pStyle w:val="Guidance"/>
      </w:pPr>
      <w:r>
        <w:t>Approval should be of a specific version for a specific use. Approval of a model in the abstract leaves no basis on which to determine later whether it is being used as approved.</w:t>
      </w:r>
    </w:p>
    <w:p>
      <w:pPr>
        <w:pStyle w:val="Guidance"/>
      </w:pPr>
      <w:r>
        <w:t>Approval notwithstanding unresolved high-severity findings should be exceptional, time-bound, supported by compensating controls and escalated.</w:t>
      </w:r>
    </w:p>
    <w:p>
      <w:pPr>
        <w:pStyle w:val="CrossRef"/>
      </w:pPr>
      <w:r>
        <w:rPr>
          <w:i/>
        </w:rPr>
        <w:t>→ Guidance: CPG XXXX paragraphs 76–78.</w:t>
      </w:r>
    </w:p>
    <w:p>
      <w:pPr>
        <w:pStyle w:val="Heading1"/>
      </w:pPr>
      <w:r>
        <w:t>Part G — Implementation, use and change</w:t>
      </w:r>
    </w:p>
    <w:p>
      <w:pPr>
        <w:pStyle w:val="Heading2"/>
      </w:pPr>
      <w:r>
        <w:t>15. Implementation</w:t>
      </w:r>
    </w:p>
    <w:p>
      <w:pPr>
        <w:pStyle w:val="Heading3"/>
      </w:pPr>
      <w:r>
        <w:t>M25 — Implementation controls</w:t>
      </w:r>
    </w:p>
    <w:p>
      <w:pPr>
        <w:pStyle w:val="Requirement"/>
      </w:pPr>
      <w:r>
        <w:rPr>
          <w:b/>
        </w:rPr>
        <w:t>M25. An APRA-regulated entity must control the implementation of a model into its production environment, including verification that the implemented model reproduces the approved model, control over input data feeds and computing environment, access control, and the ability to revert.</w:t>
      </w:r>
    </w:p>
    <w:p>
      <w:pPr>
        <w:pStyle w:val="Guidance"/>
      </w:pPr>
      <w:r>
        <w:t>Implementation is a recurrent source of model failure that validation focused on methodology does not detect. Differences between the development environment and production — in data definitions, rounding, library versions, treatment of missing values or execution order — can change results materially.</w:t>
      </w:r>
    </w:p>
    <w:p>
      <w:pPr>
        <w:pStyle w:val="CrossRef"/>
      </w:pPr>
      <w:r>
        <w:rPr>
          <w:i/>
        </w:rPr>
        <w:t>→ Guidance: CPG XXXX paragraphs 70, 79–80.</w:t>
      </w:r>
    </w:p>
    <w:p>
      <w:pPr>
        <w:pStyle w:val="Heading2"/>
      </w:pPr>
      <w:r>
        <w:t>16. Change</w:t>
      </w:r>
    </w:p>
    <w:p>
      <w:pPr>
        <w:pStyle w:val="Heading3"/>
      </w:pPr>
      <w:r>
        <w:t>M26 — Change management and re-approval</w:t>
      </w:r>
    </w:p>
    <w:p>
      <w:pPr>
        <w:pStyle w:val="Requirement"/>
      </w:pPr>
      <w:r>
        <w:rPr>
          <w:b/>
        </w:rPr>
        <w:t>M26. An APRA-regulated entity must control changes to models, model inputs, assumptions, calibration and implementation, must assess the materiality of each change, and must re-test, re-validate and re-approve changes to the extent warranted by that assessment.</w:t>
      </w:r>
    </w:p>
    <w:p>
      <w:pPr>
        <w:pStyle w:val="Guidance"/>
      </w:pPr>
      <w:r>
        <w:t>The materiality assessment should consider the change in isolation and cumulatively. A sequence of individually immaterial recalibrations can move a model a long way from the version that was validated.</w:t>
      </w:r>
    </w:p>
    <w:p>
      <w:pPr>
        <w:pStyle w:val="Guidance"/>
      </w:pPr>
      <w:r>
        <w:t>Changes initiated by a vendor, or by an upstream data provider, are changes to the entity's model risk profile even though the entity did not make them, and should enter the same assessment.</w:t>
      </w:r>
    </w:p>
    <w:p>
      <w:pPr>
        <w:pStyle w:val="CrossRef"/>
      </w:pPr>
      <w:r>
        <w:rPr>
          <w:i/>
        </w:rPr>
        <w:t>→ Guidance: CPG XXXX paragraphs 81–82, 105.</w:t>
      </w:r>
    </w:p>
    <w:p>
      <w:pPr>
        <w:pStyle w:val="Heading2"/>
      </w:pPr>
      <w:r>
        <w:t>17. Use</w:t>
      </w:r>
    </w:p>
    <w:p>
      <w:pPr>
        <w:pStyle w:val="Heading3"/>
      </w:pPr>
      <w:r>
        <w:t>M27 — Use consistent with approved purpose</w:t>
      </w:r>
    </w:p>
    <w:p>
      <w:pPr>
        <w:pStyle w:val="Requirement"/>
      </w:pPr>
      <w:r>
        <w:rPr>
          <w:b/>
        </w:rPr>
        <w:t>M27. An APRA-regulated entity must ensure that models are used only for their approved purposes and within their approved conditions, and that users understand the model's purpose, key assumptions, limitations and the circumstances in which its output should not be relied upon.</w:t>
      </w:r>
    </w:p>
    <w:p>
      <w:pPr>
        <w:pStyle w:val="Guidance"/>
      </w:pPr>
      <w:r>
        <w:t>Misuse of a sound model is one of the two principal sources of model risk and is frequently the less well controlled of the two. A model built to rank relative risk being used to set absolute prices, or a model built for one portfolio being applied to another, are common examples.</w:t>
      </w:r>
    </w:p>
    <w:p>
      <w:pPr>
        <w:pStyle w:val="Guidance"/>
      </w:pPr>
      <w:r>
        <w:t>Users should receive the limitations, not merely have access to them. Limitations recorded only in a validation report that users do not read are not disclosed in any meaningful sense.</w:t>
      </w:r>
    </w:p>
    <w:p>
      <w:pPr>
        <w:pStyle w:val="CrossRef"/>
      </w:pPr>
      <w:r>
        <w:rPr>
          <w:i/>
        </w:rPr>
        <w:t>→ Guidance: CPG XXXX paragraphs 83–84.</w:t>
      </w:r>
    </w:p>
    <w:p>
      <w:pPr>
        <w:pStyle w:val="Heading3"/>
      </w:pPr>
      <w:r>
        <w:t>M28 — Overlays, adjustments and expert judgement</w:t>
      </w:r>
    </w:p>
    <w:p>
      <w:pPr>
        <w:pStyle w:val="Requirement"/>
      </w:pPr>
      <w:r>
        <w:rPr>
          <w:b/>
        </w:rPr>
        <w:t>M28. An APRA-regulated entity must govern adjustments, overlays and expert judgement applied to model output, including the basis for the adjustment, its quantification, approval at an authority commensurate with its size and effect, its documentation, its monitoring and the conditions for its removal.</w:t>
      </w:r>
    </w:p>
    <w:p>
      <w:pPr>
        <w:pStyle w:val="Guidance"/>
      </w:pPr>
      <w:r>
        <w:t>A large or long-standing overlay is evidence about the model. Persistent adjustment in the same direction usually means the model no longer reflects the exposure and should be redeveloped rather than corrected in perpetuity.</w:t>
      </w:r>
    </w:p>
    <w:p>
      <w:pPr>
        <w:pStyle w:val="Guidance"/>
      </w:pPr>
      <w:r>
        <w:t>Overlays should be reported in aggregate to the Board and senior management, because individually approved adjustments can collectively become the dominant driver of a reported figure.</w:t>
      </w:r>
    </w:p>
    <w:p>
      <w:pPr>
        <w:pStyle w:val="CrossRef"/>
      </w:pPr>
      <w:r>
        <w:rPr>
          <w:i/>
        </w:rPr>
        <w:t>→ Guidance: CPG XXXX paragraphs 85–87, 123–125.</w:t>
      </w:r>
    </w:p>
    <w:p>
      <w:pPr>
        <w:pStyle w:val="Heading2"/>
      </w:pPr>
      <w:r>
        <w:t>18. Monitoring</w:t>
      </w:r>
    </w:p>
    <w:p>
      <w:pPr>
        <w:pStyle w:val="Heading3"/>
      </w:pPr>
      <w:r>
        <w:t>M29 — Ongoing performance monitoring</w:t>
      </w:r>
    </w:p>
    <w:p>
      <w:pPr>
        <w:pStyle w:val="Requirement"/>
      </w:pPr>
      <w:r>
        <w:rPr>
          <w:b/>
        </w:rPr>
        <w:t>M29. An APRA-regulated entity must monitor the performance of each model against defined metrics and thresholds at a frequency proportionate to its tier, and must investigate, escalate and act upon threshold breaches, deterioration, drift and unexplained changes in behaviour.</w:t>
      </w:r>
    </w:p>
    <w:p>
      <w:pPr>
        <w:pStyle w:val="Guidance"/>
      </w:pPr>
      <w:r>
        <w:t>Monitoring should test whether the assumptions on which the model depends continue to hold, not only whether the output has moved. A model can remain stable while the conditions that made it valid have gone.</w:t>
      </w:r>
    </w:p>
    <w:p>
      <w:pPr>
        <w:pStyle w:val="Guidance"/>
      </w:pPr>
      <w:r>
        <w:t>Thresholds should be set in advance and should be linked to a defined response — investigation, restriction, revalidation, overlay or withdrawal — so that a breach produces an action rather than a note.</w:t>
      </w:r>
    </w:p>
    <w:p>
      <w:pPr>
        <w:pStyle w:val="CrossRef"/>
      </w:pPr>
      <w:r>
        <w:rPr>
          <w:i/>
        </w:rPr>
        <w:t>→ Guidance: CPG XXXX paragraphs 88–90.</w:t>
      </w:r>
    </w:p>
    <w:p>
      <w:pPr>
        <w:pStyle w:val="Heading3"/>
      </w:pPr>
      <w:r>
        <w:t>M30 — Limitations, compensating controls and remediation</w:t>
      </w:r>
    </w:p>
    <w:p>
      <w:pPr>
        <w:pStyle w:val="Requirement"/>
      </w:pPr>
      <w:r>
        <w:rPr>
          <w:b/>
        </w:rPr>
        <w:t>M30. An APRA-regulated entity must record known model limitations and deficiencies, apply compensating controls where a limitation is material and not immediately resolvable, track remediation to completion against owners and dates, and escalate overdue or unresolved material findings. On identifying a material model error or failure, the entity must determine its cause, assess whether the same weakness affects other models, and assess and address the effect on decisions, figures, balances and amounts attributable to customers or beneficiaries that the model has already produced.</w:t>
      </w:r>
    </w:p>
    <w:p>
      <w:pPr>
        <w:pStyle w:val="Guidance"/>
      </w:pPr>
      <w:r>
        <w:t>Compensating controls should be specific to the limitation they address. A general statement that outputs are subject to management review does not compensate for a known bias in a particular segment.</w:t>
      </w:r>
    </w:p>
    <w:p>
      <w:pPr>
        <w:pStyle w:val="Guidance"/>
      </w:pPr>
      <w:r>
        <w:t>The entity should be able to demonstrate that findings are closed because they were fixed, and should monitor the rate at which findings are closed by rationale, deferral or reclassification.</w:t>
      </w:r>
    </w:p>
    <w:p>
      <w:pPr>
        <w:pStyle w:val="CrossRef"/>
      </w:pPr>
      <w:r>
        <w:rPr>
          <w:i/>
        </w:rPr>
        <w:t>→ Guidance: CPG XXXX paragraphs 78, 91–92.</w:t>
      </w:r>
    </w:p>
    <w:p>
      <w:pPr>
        <w:pStyle w:val="Heading2"/>
      </w:pPr>
      <w:r>
        <w:t>19. Retirement</w:t>
      </w:r>
    </w:p>
    <w:p>
      <w:pPr>
        <w:pStyle w:val="Heading3"/>
      </w:pPr>
      <w:r>
        <w:t>M31 — Restriction, suspension and decommissioning</w:t>
      </w:r>
    </w:p>
    <w:p>
      <w:pPr>
        <w:pStyle w:val="Requirement"/>
      </w:pPr>
      <w:r>
        <w:rPr>
          <w:b/>
        </w:rPr>
        <w:t>M31. An APRA-regulated entity must be able to restrict, suspend, replace or decommission a model that is unfit for its purpose, and must manage decommissioning so that dependent processes, downstream models and outputs that remain in force are addressed and records are retained. Where a model in the entity's highest risk tier is material to a decision or figure, the entity must identify and periodically assess the alternative basis on which that decision or figure would be determined if the model were unavailable.</w:t>
      </w:r>
    </w:p>
    <w:p>
      <w:pPr>
        <w:pStyle w:val="Guidance"/>
      </w:pPr>
      <w:r>
        <w:t>The entity should know, before it needs to act, what it would do if a material model became unusable — whether an alternative exists, how long it would take to stand up, and what the interim basis for decisions would be.</w:t>
      </w:r>
    </w:p>
    <w:p>
      <w:pPr>
        <w:pStyle w:val="CrossRef"/>
      </w:pPr>
      <w:r>
        <w:rPr>
          <w:i/>
        </w:rPr>
        <w:t>→ Guidance: CPG XXXX paragraphs 93–94.</w:t>
      </w:r>
    </w:p>
    <w:p>
      <w:pPr>
        <w:pStyle w:val="Heading1"/>
      </w:pPr>
      <w:r>
        <w:t>Part H — Third-party and AI models</w:t>
      </w:r>
    </w:p>
    <w:p>
      <w:pPr>
        <w:pStyle w:val="Heading2"/>
      </w:pPr>
      <w:r>
        <w:t>20. Third-party models</w:t>
      </w:r>
    </w:p>
    <w:p>
      <w:pPr>
        <w:pStyle w:val="Heading3"/>
      </w:pPr>
      <w:r>
        <w:t>M32 — Vendor and externally developed models</w:t>
      </w:r>
    </w:p>
    <w:p>
      <w:pPr>
        <w:pStyle w:val="Requirement"/>
      </w:pPr>
      <w:r>
        <w:rPr>
          <w:b/>
        </w:rPr>
        <w:t>M32. An APRA-regulated entity must apply this Prudential Standard to models supplied, hosted or operated by third parties, and must obtain information sufficient to understand the model's design, data, assumptions, limitations and performance. Where the entity cannot itself discharge an obligation in this Prudential Standard in relation to a third-party model, it must obtain equivalent assurance from the provider or implement compensating controls, and must record which obligations are met in that way.</w:t>
      </w:r>
    </w:p>
    <w:p>
      <w:pPr>
        <w:pStyle w:val="Guidance"/>
      </w:pPr>
      <w:r>
        <w:t>Where a provider will not disclose methodology, the entity should intensify what it can do itself: benchmarking against alternatives, outcomes analysis on its own portfolio, sensitivity testing through controlled input variation, and tighter conditions of use.</w:t>
      </w:r>
    </w:p>
    <w:p>
      <w:pPr>
        <w:pStyle w:val="Guidance"/>
      </w:pPr>
      <w:r>
        <w:t>The entity should not accept a level of opacity for a high-tier model that it would not accept from an internal development team.</w:t>
      </w:r>
    </w:p>
    <w:p>
      <w:pPr>
        <w:pStyle w:val="CrossRef"/>
      </w:pPr>
      <w:r>
        <w:rPr>
          <w:i/>
        </w:rPr>
        <w:t>→ Guidance: CPG XXXX paragraphs 15, 75, 95–97.</w:t>
      </w:r>
    </w:p>
    <w:p>
      <w:pPr>
        <w:pStyle w:val="Heading3"/>
      </w:pPr>
      <w:r>
        <w:t>M33 — Information rights, concentration and substitutability</w:t>
      </w:r>
    </w:p>
    <w:p>
      <w:pPr>
        <w:pStyle w:val="Requirement"/>
      </w:pPr>
      <w:r>
        <w:rPr>
          <w:b/>
        </w:rPr>
        <w:t>M33. An APRA-regulated entity must maintain contractual and governance arrangements giving it timely access to the information and assurance it needs to meet its obligations in relation to a material third-party model, and must identify and manage concentration and substitutability risk in its own reliance on models, data sources, platforms and providers, including where that reliance is shared with other entities. Where an arrangement is already on foot at the commencement of this Prudential Standard, this paragraph applies from the earlier of the next renewal or material variation of that arrangement and the end of the transition period determined by APRA.</w:t>
      </w:r>
    </w:p>
    <w:p>
      <w:pPr>
        <w:pStyle w:val="Guidance"/>
      </w:pPr>
      <w:r>
        <w:t>Information rights should be practically usable rather than nominally present. A right to audit that the entity has no capacity to exercise provides little assurance.</w:t>
      </w:r>
    </w:p>
    <w:p>
      <w:pPr>
        <w:pStyle w:val="Guidance"/>
      </w:pPr>
      <w:r>
        <w:t>Concentration should be assessed at entity level and, so far as the entity can observe it, at industry level. Widespread reliance on the same external model or data source can produce correlated error across firms even where each firm's own governance is sound.</w:t>
      </w:r>
    </w:p>
    <w:p>
      <w:pPr>
        <w:pStyle w:val="CrossRef"/>
      </w:pPr>
      <w:r>
        <w:rPr>
          <w:i/>
        </w:rPr>
        <w:t>→ Guidance: CPG XXXX paragraphs 98–100.</w:t>
      </w:r>
    </w:p>
    <w:p>
      <w:pPr>
        <w:pStyle w:val="Heading2"/>
      </w:pPr>
      <w:r>
        <w:t>21. AI and machine learning models</w:t>
      </w:r>
    </w:p>
    <w:p>
      <w:pPr>
        <w:pStyle w:val="Heading3"/>
      </w:pPr>
      <w:r>
        <w:t>M34 — Additional controls for AI and machine learning models</w:t>
      </w:r>
    </w:p>
    <w:p>
      <w:pPr>
        <w:pStyle w:val="Requirement"/>
      </w:pPr>
      <w:r>
        <w:rPr>
          <w:b/>
        </w:rPr>
        <w:t>M34. Where a model uses artificial intelligence or machine learning techniques, an APRA-regulated entity must address the additional risks arising from those techniques, including limited explainability, sensitivity to data drift, instability under retraining, feature leakage, systematic differences in model performance across segments of the population to which the model is applied, and dependence on externally supplied models whose construction the entity cannot inspect.</w:t>
      </w:r>
    </w:p>
    <w:p>
      <w:pPr>
        <w:pStyle w:val="Guidance"/>
      </w:pPr>
      <w:r>
        <w:t>AI and machine learning models are models. They are subject to every requirement in this Prudential Standard. This paragraph adds to those requirements; it does not create a separate regime.</w:t>
      </w:r>
    </w:p>
    <w:p>
      <w:pPr>
        <w:pStyle w:val="Guidance"/>
      </w:pPr>
      <w:r>
        <w:t>Where explainability is limited, the entity should intensify outcomes-based controls rather than treat the limitation as a reason to reduce them. Suitable measures include benchmark comparison against a more transparent model, stability testing across retraining cycles, subgroup outcome analysis and tighter conditions of use.</w:t>
      </w:r>
    </w:p>
    <w:p>
      <w:pPr>
        <w:pStyle w:val="Guidance"/>
      </w:pPr>
      <w:r>
        <w:t>Where a model retrains automatically, the entity should define the operating envelope within which retraining is authorised, and should treat movement outside that envelope as a model change.</w:t>
      </w:r>
    </w:p>
    <w:p>
      <w:pPr>
        <w:pStyle w:val="CrossRef"/>
      </w:pPr>
      <w:r>
        <w:rPr>
          <w:i/>
        </w:rPr>
        <w:t>→ Guidance: CPG XXXX paragraphs 62, 101–106.</w:t>
      </w:r>
    </w:p>
    <w:p>
      <w:pPr>
        <w:pStyle w:val="Heading3"/>
      </w:pPr>
      <w:r>
        <w:t>M35 — Boundary with the AI risk management framework</w:t>
      </w:r>
    </w:p>
    <w:p>
      <w:pPr>
        <w:pStyle w:val="Requirement"/>
      </w:pPr>
      <w:r>
        <w:rPr>
          <w:b/>
        </w:rPr>
        <w:t>M35. An APRA-regulated entity must apply this Prudential Standard to any artificial intelligence system that meets the definition of a model, must apply its artificial intelligence risk management arrangements to the wider risks of that system, and must ensure that no material AI system falls between the two.</w:t>
      </w:r>
    </w:p>
    <w:p>
      <w:pPr>
        <w:pStyle w:val="Guidance"/>
      </w:pPr>
      <w:r>
        <w:t>The two regimes address different risks in the same system. This Prudential Standard governs whether the quantitative output is fit to be relied on. AI risk management governs the wider consequences of the system's operation — security, autonomy, data handling, human oversight and resilience.</w:t>
      </w:r>
    </w:p>
    <w:p>
      <w:pPr>
        <w:pStyle w:val="Guidance"/>
      </w:pPr>
      <w:r>
        <w:t>A generative or agentic system that produces no quantitative estimate for decision-making is generally not a model, but remains subject to the entity's AI risk management arrangements. A generative system used to produce an estimate that drives a material decision is both.</w:t>
      </w:r>
    </w:p>
    <w:p>
      <w:pPr>
        <w:pStyle w:val="Guidance"/>
      </w:pPr>
      <w:r>
        <w:t>The entity should maintain a single register that records, for each AI system, which regime or regimes apply, so that the boundary is a documented determination rather than an assumption.</w:t>
      </w:r>
    </w:p>
    <w:p>
      <w:pPr>
        <w:pStyle w:val="CrossRef"/>
      </w:pPr>
      <w:r>
        <w:rPr>
          <w:i/>
        </w:rPr>
        <w:t>→ Guidance: CPG XXXX paragraphs 107–109.</w:t>
      </w:r>
    </w:p>
    <w:p>
      <w:pPr>
        <w:pStyle w:val="Heading1"/>
      </w:pPr>
      <w:r>
        <w:t>Part I — Specialist model classes</w:t>
      </w:r>
    </w:p>
    <w:p>
      <w:pPr>
        <w:pStyle w:val="Heading2"/>
      </w:pPr>
      <w:r>
        <w:t>22. Regulatory capital models</w:t>
      </w:r>
    </w:p>
    <w:p>
      <w:pPr>
        <w:pStyle w:val="Heading3"/>
      </w:pPr>
      <w:r>
        <w:t>M36 — Models used to determine regulatory capital</w:t>
      </w:r>
    </w:p>
    <w:p>
      <w:pPr>
        <w:pStyle w:val="Requirement"/>
      </w:pPr>
      <w:r>
        <w:rPr>
          <w:b/>
        </w:rPr>
        <w:t>M36. An APRA-regulated entity that uses a model to determine a regulatory capital requirement must satisfy the requirements of the applicable prudential standard for that model in addition to this Prudential Standard, must not change an approved model without APRA's approval where the applicable prudential standard requires that approval, and must ensure the model is used in the entity's internal risk management to the extent the applicable prudential standard so requires.</w:t>
      </w:r>
    </w:p>
    <w:p>
      <w:pPr>
        <w:pStyle w:val="Guidance"/>
      </w:pPr>
      <w:r>
        <w:t>This Prudential Standard does not alter or displace the model approval requirements in the capital standards. Where a capital standard imposes a specific requirement on a matter this Prudential Standard also addresses — approval, change, or the conditions of use of an approved model — that requirement governs the matter. It does not relieve the entity of the framework obligations the capital standard does not address, which continue to apply to capital models as they do to others.</w:t>
      </w:r>
    </w:p>
    <w:p>
      <w:pPr>
        <w:pStyle w:val="Guidance"/>
      </w:pPr>
      <w:r>
        <w:t>The requirement that an approved capital model be used in internal risk management is longstanding and substantive. A model maintained for regulatory reporting while the business is run on a different basis indicates that one of the two is not trusted.</w:t>
      </w:r>
    </w:p>
    <w:p>
      <w:pPr>
        <w:pStyle w:val="CrossRef"/>
      </w:pPr>
      <w:r>
        <w:rPr>
          <w:i/>
        </w:rPr>
        <w:t>→ Guidance: CPG XXXX paragraphs 110–111.</w:t>
      </w:r>
    </w:p>
    <w:p>
      <w:pPr>
        <w:pStyle w:val="Heading2"/>
      </w:pPr>
      <w:r>
        <w:t>23. Valuation and financial reporting models</w:t>
      </w:r>
    </w:p>
    <w:p>
      <w:pPr>
        <w:pStyle w:val="Heading3"/>
      </w:pPr>
      <w:r>
        <w:t>M37 — Valuation and financial reporting models</w:t>
      </w:r>
    </w:p>
    <w:p>
      <w:pPr>
        <w:pStyle w:val="Requirement"/>
      </w:pPr>
      <w:r>
        <w:rPr>
          <w:b/>
        </w:rPr>
        <w:t>M37. An APRA-regulated entity must apply this Prudential Standard to models used to value assets and liabilities and to produce financial and regulatory reporting, and must ensure independent price verification and independent review of material valuation inputs and assumptions.</w:t>
      </w:r>
    </w:p>
    <w:p>
      <w:pPr>
        <w:pStyle w:val="Guidance"/>
      </w:pPr>
      <w:r>
        <w:t>Valuation models concentrate model risk because the output is the reported number rather than an input to a decision that a human subsequently makes. Level 3 valuations, illiquid exposures and modelled expected credit loss are the areas of greatest sensitivity to assumption choice.</w:t>
      </w:r>
    </w:p>
    <w:p>
      <w:pPr>
        <w:pStyle w:val="Guidance"/>
      </w:pPr>
      <w:r>
        <w:t>Independent price verification is a distinct control from validation and both are required for material valuation models.</w:t>
      </w:r>
    </w:p>
    <w:p>
      <w:pPr>
        <w:pStyle w:val="Guidance"/>
      </w:pPr>
      <w:r>
        <w:t>Models used to assess and measure expected credit losses and to determine provisions are dealt with in paragraph 38 rather than in this paragraph, so that the expected credit loss obligations sit in one place. Where a single model serves both purposes, both paragraphs apply to it.</w:t>
      </w:r>
    </w:p>
    <w:p>
      <w:pPr>
        <w:pStyle w:val="CrossRef"/>
      </w:pPr>
      <w:r>
        <w:rPr>
          <w:i/>
        </w:rPr>
        <w:t>→ Guidance: CPG XXXX paragraphs 112–113.</w:t>
      </w:r>
    </w:p>
    <w:p>
      <w:pPr>
        <w:pStyle w:val="Heading2"/>
      </w:pPr>
      <w:r>
        <w:t>23A. Expected credit loss and provisioning models</w:t>
      </w:r>
    </w:p>
    <w:p>
      <w:pPr>
        <w:pStyle w:val="Heading3"/>
      </w:pPr>
      <w:r>
        <w:t>M38 — Expected credit loss and provisioning models</w:t>
      </w:r>
    </w:p>
    <w:p>
      <w:pPr>
        <w:pStyle w:val="Requirement"/>
      </w:pPr>
      <w:r>
        <w:rPr>
          <w:b/>
        </w:rPr>
        <w:t>M38. An APRA-regulated entity must apply this Prudential Standard to models used to assess and measure expected credit losses and to determine provisions, and must govern the judgement-based adjustments, overlays and post-model adjustments applied to modelled expected credit losses, and the assumptions and scenarios on which those models depend, with the same discipline as the models themselves.</w:t>
      </w:r>
    </w:p>
    <w:p>
      <w:pPr>
        <w:pStyle w:val="Guidance"/>
      </w:pPr>
      <w:r>
        <w:t>APS 220 already requires an ADI to have sound policies and processes in place to appropriately validate models used to assess and measure expected credit losses. This Prudential Standard supplies the model risk discipline that requirement assumes: what validation consists of, who may perform it, how often, and what happens when it finds something. The two are cumulative: an ADI complies with both, neither reads down the other, and where this Prudential Standard requires more of an expected credit loss model than APS 220 does, the higher obligation is the one to meet.</w:t>
      </w:r>
    </w:p>
    <w:p>
      <w:pPr>
        <w:pStyle w:val="Guidance"/>
      </w:pPr>
      <w:r>
        <w:t>Expected credit loss models sit at the point where model risk becomes reported financial risk. The output is the provision itself rather than an input to a decision a person subsequently makes, and an error is realised directly in the financial statements and in regulatory capital.</w:t>
      </w:r>
    </w:p>
    <w:p>
      <w:pPr>
        <w:pStyle w:val="Guidance"/>
      </w:pPr>
      <w:r>
        <w:t>Judgement-based adjustments are the distinguishing feature of expected credit loss estimation in practice, and are frequently the largest single driver of the reported number. Overlays are therefore governed by this Prudential Standard as a matter of substance, not merely of documentation: their basis, quantification, approval, duration, monitoring and the conditions for their removal must be recorded, and their aggregate size and direction reported.</w:t>
      </w:r>
    </w:p>
    <w:p>
      <w:pPr>
        <w:pStyle w:val="Guidance"/>
      </w:pPr>
      <w:r>
        <w:t>Where an entity is not an ADI but determines credit loss provisions on a modelled basis, this paragraph applies to those models in the same way.</w:t>
      </w:r>
    </w:p>
    <w:p>
      <w:pPr>
        <w:pStyle w:val="CrossRef"/>
      </w:pPr>
      <w:r>
        <w:rPr>
          <w:i/>
        </w:rPr>
        <w:t>→ Guidance: CPG XXXX paragraphs 120–131.</w:t>
      </w:r>
    </w:p>
    <w:p>
      <w:pPr>
        <w:pStyle w:val="Heading2"/>
      </w:pPr>
      <w:r>
        <w:t>24. Actuarial and insurance models</w:t>
      </w:r>
    </w:p>
    <w:p>
      <w:pPr>
        <w:pStyle w:val="Heading3"/>
      </w:pPr>
      <w:r>
        <w:t>M39 — Actuarial, reserving and insurance liability models</w:t>
      </w:r>
    </w:p>
    <w:p>
      <w:pPr>
        <w:pStyle w:val="Requirement"/>
      </w:pPr>
      <w:r>
        <w:rPr>
          <w:b/>
        </w:rPr>
        <w:t>M39. An APRA-regulated insurer, including a private health insurer, must apply this Prudential Standard to models used to determine insurance liabilities, including deferred claims liabilities and, for a private health insurer, amounts arising under the risk equalisation arrangements, and to models used to determine premiums, reinsurance recoveries and capital, and must ensure that the role of the Appointed Actuary and this Prudential Standard's validation requirements operate together without gaps in independent review. Independent review performed under CPS 320 and the sectoral actuarial standards may satisfy the independent validation requirement for an actuarial model to the extent the reviewer was not responsible for developing the model or setting its assumptions, and the insurer must identify and separately address any element not so covered.</w:t>
      </w:r>
    </w:p>
    <w:p>
      <w:pPr>
        <w:pStyle w:val="Guidance"/>
      </w:pPr>
      <w:r>
        <w:t>The Appointed Actuary provides a form of independent professional review that is well established and, for many actuarial models, will satisfy a substantial part of the validation expectation. It does not automatically satisfy all of it, particularly in respect of implementation verification and data quality.</w:t>
      </w:r>
    </w:p>
    <w:p>
      <w:pPr>
        <w:pStyle w:val="Guidance"/>
      </w:pPr>
      <w:r>
        <w:t>The insurer should map which elements of validation are discharged through the actuarial control cycle and which require separate work, rather than assuming complete overlap in either direction.</w:t>
      </w:r>
    </w:p>
    <w:p>
      <w:pPr>
        <w:pStyle w:val="CrossRef"/>
      </w:pPr>
      <w:r>
        <w:rPr>
          <w:i/>
        </w:rPr>
        <w:t>→ Guidance: CPG XXXX paragraphs 114–115.</w:t>
      </w:r>
    </w:p>
    <w:p>
      <w:pPr>
        <w:pStyle w:val="Heading2"/>
      </w:pPr>
      <w:r>
        <w:t>25. Superannuation models</w:t>
      </w:r>
    </w:p>
    <w:p>
      <w:pPr>
        <w:pStyle w:val="Heading3"/>
      </w:pPr>
      <w:r>
        <w:t>M40 — Models used by RSE licensees</w:t>
      </w:r>
    </w:p>
    <w:p>
      <w:pPr>
        <w:pStyle w:val="Requirement"/>
      </w:pPr>
      <w:r>
        <w:rPr>
          <w:b/>
        </w:rPr>
        <w:t>M40. An RSE licensee must apply this Prudential Standard to models used in investment strategy, asset valuation, liquidity management, insurance in superannuation, fee and cost determination, unit pricing and member outcomes assessment.</w:t>
      </w:r>
    </w:p>
    <w:p>
      <w:pPr>
        <w:pStyle w:val="Guidance"/>
      </w:pPr>
      <w:r>
        <w:t>Unit pricing and valuation models directly determine amounts credited to member accounts. An error is realised as a transfer of value between members and is frequently difficult to reverse, which places these models at the higher end of any reasonable tiering assessment.</w:t>
      </w:r>
    </w:p>
    <w:p>
      <w:pPr>
        <w:pStyle w:val="Guidance"/>
      </w:pPr>
      <w:r>
        <w:t>Liquidity stress models used to support investment strategy should be tested against the conditions in which they would actually be relied upon.</w:t>
      </w:r>
    </w:p>
    <w:p>
      <w:pPr>
        <w:pStyle w:val="CrossRef"/>
      </w:pPr>
      <w:r>
        <w:rPr>
          <w:i/>
        </w:rPr>
        <w:t>→ Guidance: CPG XXXX paragraphs 116–117.</w:t>
      </w:r>
    </w:p>
    <w:p>
      <w:pPr>
        <w:pStyle w:val="Heading2"/>
      </w:pPr>
      <w:r>
        <w:t>26. Stress testing and scenario models</w:t>
      </w:r>
    </w:p>
    <w:p>
      <w:pPr>
        <w:pStyle w:val="Heading3"/>
      </w:pPr>
      <w:r>
        <w:t>M41 — Stress testing, scenario and capital planning models</w:t>
      </w:r>
    </w:p>
    <w:p>
      <w:pPr>
        <w:pStyle w:val="Requirement"/>
      </w:pPr>
      <w:r>
        <w:rPr>
          <w:b/>
        </w:rPr>
        <w:t>M41. An APRA-regulated entity must apply this Prudential Standard to models used for stress testing, scenario analysis and capital planning, and must ensure that the limitations of those models are made explicit to those relying on their results.</w:t>
      </w:r>
    </w:p>
    <w:p>
      <w:pPr>
        <w:pStyle w:val="Guidance"/>
      </w:pPr>
      <w:r>
        <w:t>Stress testing models are used precisely where historical data is least informative, so their results depend heavily on assumption and expert judgement. That does not make them exempt from governance; it makes the governance of their assumptions the principal control.</w:t>
      </w:r>
    </w:p>
    <w:p>
      <w:pPr>
        <w:pStyle w:val="Guidance"/>
      </w:pPr>
      <w:r>
        <w:t>Forward-looking scenario models addressing risks with limited historical precedent, including climate scenarios, should be used with explicit acknowledgement of the uncertainty in their outputs, and should not be presented to decision-makers with a precision the method cannot support.</w:t>
      </w:r>
    </w:p>
    <w:p>
      <w:pPr>
        <w:pStyle w:val="CrossRef"/>
      </w:pPr>
      <w:r>
        <w:rPr>
          <w:i/>
        </w:rPr>
        <w:t>→ Guidance: CPG XXXX paragraphs 118–119, 126–127.</w:t>
      </w:r>
    </w:p>
    <w:p>
      <w:pPr>
        <w:pStyle w:val="Heading1"/>
      </w:pPr>
      <w:r>
        <w:t>Part J — Aggregate risk, records and assurance</w:t>
      </w:r>
    </w:p>
    <w:p>
      <w:pPr>
        <w:pStyle w:val="Heading2"/>
      </w:pPr>
      <w:r>
        <w:t>27. Aggregate model risk</w:t>
      </w:r>
    </w:p>
    <w:p>
      <w:pPr>
        <w:pStyle w:val="Heading3"/>
      </w:pPr>
      <w:r>
        <w:t>M42 — Aggregate assessment of model risk</w:t>
      </w:r>
    </w:p>
    <w:p>
      <w:pPr>
        <w:pStyle w:val="Requirement"/>
      </w:pPr>
      <w:r>
        <w:rPr>
          <w:b/>
        </w:rPr>
        <w:t>M42. An APRA-regulated entity must assess model risk in aggregate across its model portfolio, must consider the effect of that aggregate risk in its internal capital adequacy assessment or, for an RSE licensee, in the assessment of operational risk that informs the operational risk financial requirement target amount determined under SPS 114, and must be able to explain the basis and limitations of the assessment.</w:t>
      </w:r>
    </w:p>
    <w:p>
      <w:pPr>
        <w:pStyle w:val="Guidance"/>
      </w:pPr>
      <w:r>
        <w:t>Aggregate assessment need not be a single number. Concentration of reliance, correlation of methodology and data across models, common assumptions and the extent of unvalidated or overdue models are all informative and are usually available before a quantification capability exists.</w:t>
      </w:r>
    </w:p>
    <w:p>
      <w:pPr>
        <w:pStyle w:val="Guidance"/>
      </w:pPr>
      <w:r>
        <w:t>Where an entity concludes that no capital is required in respect of model risk, that conclusion should be reasoned and documented rather than reached by omission.</w:t>
      </w:r>
    </w:p>
    <w:p>
      <w:pPr>
        <w:pStyle w:val="CrossRef"/>
      </w:pPr>
      <w:r>
        <w:rPr>
          <w:i/>
        </w:rPr>
        <w:t>→ Guidance: CPG XXXX paragraphs 47, 135–137.</w:t>
      </w:r>
    </w:p>
    <w:p>
      <w:pPr>
        <w:pStyle w:val="Heading2"/>
      </w:pPr>
      <w:r>
        <w:t>28. Records</w:t>
      </w:r>
    </w:p>
    <w:p>
      <w:pPr>
        <w:pStyle w:val="Heading3"/>
      </w:pPr>
      <w:r>
        <w:t>M43 — Records and reconstructability</w:t>
      </w:r>
    </w:p>
    <w:p>
      <w:pPr>
        <w:pStyle w:val="Requirement"/>
      </w:pPr>
      <w:r>
        <w:rPr>
          <w:b/>
        </w:rPr>
        <w:t>M43. An APRA-regulated entity must retain records sufficient to reconstruct, for a material model, what it produced, on what data and version, on what basis it was approved, how it performed, what limitations applied and what adjustments were made.</w:t>
      </w:r>
    </w:p>
    <w:p>
      <w:pPr>
        <w:pStyle w:val="Guidance"/>
      </w:pPr>
      <w:r>
        <w:t>Reconstructability is what allows a supervisor, an auditor, an actuary or a court to establish what the entity knew and when. It should be designed into the model's operation rather than reassembled later.</w:t>
      </w:r>
    </w:p>
    <w:p>
      <w:pPr>
        <w:pStyle w:val="Guidance"/>
      </w:pPr>
      <w:r>
        <w:t>Retention periods should align with the entity's other prudential record-keeping obligations and with the period over which the decisions the model informed remain material.</w:t>
      </w:r>
    </w:p>
    <w:p>
      <w:pPr>
        <w:pStyle w:val="CrossRef"/>
      </w:pPr>
      <w:r>
        <w:rPr>
          <w:i/>
        </w:rPr>
        <w:t>→ Guidance: CPG XXXX paragraphs 138–139.</w:t>
      </w:r>
    </w:p>
    <w:p>
      <w:pPr>
        <w:pStyle w:val="Heading2"/>
      </w:pPr>
      <w:r>
        <w:t>29. Assurance</w:t>
      </w:r>
    </w:p>
    <w:p>
      <w:pPr>
        <w:pStyle w:val="Heading3"/>
      </w:pPr>
      <w:r>
        <w:t>M44 — Internal audit and independent assurance</w:t>
      </w:r>
    </w:p>
    <w:p>
      <w:pPr>
        <w:pStyle w:val="Requirement"/>
      </w:pPr>
      <w:r>
        <w:rPr>
          <w:b/>
        </w:rPr>
        <w:t>M44. An APRA-regulated entity must ensure that internal audit, or another independent function with equivalent standing, periodically assesses the design and operating effectiveness of the model risk management framework, including the effectiveness of validation and of challenge, and reports the results to the Board Audit Committee.</w:t>
      </w:r>
    </w:p>
    <w:p>
      <w:pPr>
        <w:pStyle w:val="Guidance"/>
      </w:pPr>
      <w:r>
        <w:t>Internal audit's role is to assess whether the framework works, not to re-perform validation. Testing whether validation findings are genuinely resolved, whether tiering is applied consistently and whether the inventory is complete will usually be more informative than re-examining model methodology.</w:t>
      </w:r>
    </w:p>
    <w:p>
      <w:pPr>
        <w:pStyle w:val="Guidance"/>
      </w:pPr>
      <w:r>
        <w:t>Where internal audit lacks the technical capability to assess validation quality, the entity should obtain that capability rather than narrow the scope of the assurance.</w:t>
      </w:r>
    </w:p>
    <w:p>
      <w:pPr>
        <w:pStyle w:val="CrossRef"/>
      </w:pPr>
      <w:r>
        <w:rPr>
          <w:i/>
        </w:rPr>
        <w:t>→ Guidance: CPG XXXX paragraphs 74, 140–141.</w:t>
      </w:r>
    </w:p>
    <w:p>
      <w:pPr>
        <w:pStyle w:val="Heading2"/>
      </w:pPr>
      <w:r>
        <w:t>30. APRA engagement</w:t>
      </w:r>
    </w:p>
    <w:p>
      <w:pPr>
        <w:pStyle w:val="Heading3"/>
      </w:pPr>
      <w:r>
        <w:t>M45 — Notification and provision of information to APRA</w:t>
      </w:r>
    </w:p>
    <w:p>
      <w:pPr>
        <w:pStyle w:val="Requirement"/>
      </w:pPr>
      <w:r>
        <w:rPr>
          <w:b/>
        </w:rPr>
        <w:t>M45. An APRA-regulated entity must notify APRA as soon as practicable, and within the timeframe applicable under CPS 230 or CPS 234 where the event also falls within those standards, of a model failure or model risk event that has, or is likely to have, a material impact on its financial position, on amounts credited to or debited from the accounts of its customers or beneficiaries, on its regulatory reporting or on its ability to meet its prudential obligations, and must provide APRA with information relating to its models and model risk management where APRA requires it in writing. Where APRA requires an entity, under another prudential standard, to appoint an auditor or independent party to review and report to APRA on a matter that includes its models or its model risk management, the entity must support that review and must provide the reviewer with access to the models, data, documentation, systems and personnel reasonably required for the matters APRA has specified.</w:t>
      </w:r>
    </w:p>
    <w:p>
      <w:pPr>
        <w:pStyle w:val="Guidance"/>
      </w:pPr>
      <w:r>
        <w:t>Where a model failure is also an operational risk incident or an information security incident, the notification requirements of the applicable prudential standards apply and this paragraph does not create an additional or conflicting deadline.</w:t>
      </w:r>
    </w:p>
    <w:p>
      <w:pPr>
        <w:pStyle w:val="Guidance"/>
      </w:pPr>
      <w:r>
        <w:t>Early engagement is expected where an entity identifies a material weakness in a model used for regulatory capital, reserving or reporting, rather than at the point the correction is finalised.</w:t>
      </w:r>
    </w:p>
    <w:p>
      <w:pPr>
        <w:pStyle w:val="Guidance"/>
      </w:pPr>
      <w:r>
        <w:t>This paragraph does not itself confer a power on APRA to require a review. It states what an entity must do where APRA exercises a power conferred by another prudential standard. The Audit and Related Matters standards confer that power in every industry to which this Prudential Standard applies — APS 310 for ADIs, GPS 310, LPS 310 and HPS 310 for insurers and SPS 310 for RSE licensees — and each extends to the entity's risk management, which includes its management of model risk. Annex G sets out what a review directed at expected credit loss models would examine.</w:t>
      </w:r>
    </w:p>
    <w:p>
      <w:pPr>
        <w:pStyle w:val="Guidance"/>
      </w:pPr>
      <w:r>
        <w:t>For an ADI there is a second and narrower basis. The Special purpose engagements provision of APS 220 reaches all or a particular aspect of the ADI's credit risk management, including provisioning practices. It is confined to credit risk management, so those aspects of a model risk review that extend beyond credit risk rest on APS 310 rather than on APS 220. Under each of these provisions the cost is borne by the entity, and under APS 220 APRA may set the terms of the review and may request the report without prior consultation.</w:t>
      </w:r>
    </w:p>
    <w:p>
      <w:pPr>
        <w:pStyle w:val="CrossRef"/>
      </w:pPr>
      <w:r>
        <w:rPr>
          <w:i/>
        </w:rPr>
        <w:t>→ Guidance: CPG XXXX paragraphs 130–134, 142–143.</w:t>
      </w:r>
    </w:p>
    <w:p>
      <w:pPr>
        <w:pStyle w:val="DocMeta"/>
      </w:pPr>
      <w:r>
        <w:br w:type="page"/>
      </w:r>
    </w:p>
    <w:p>
      <w:pPr>
        <w:pStyle w:val="Heading1"/>
      </w:pPr>
      <w:r>
        <w:t>Annex A — Definitions</w:t>
      </w:r>
    </w:p>
    <w:p>
      <w:pPr>
        <w:pStyle w:val="Guidance"/>
      </w:pPr>
      <w:r>
        <w:t>This Annex is intended to form part of the final Prudential Standard. Definitions are subject to legal drafting and to alignment with Australian Government and APRA terminology.</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2268"/>
            <w:shd w:val="clear" w:color="auto" w:fill="1B335F"/>
          </w:tcPr>
          <w:p>
            <w:pPr>
              <w:pStyle w:val="TableHead"/>
            </w:pPr>
            <w:r>
              <w:rPr>
                <w:rFonts w:ascii="Arial" w:hAnsi="Arial"/>
                <w:b/>
                <w:color w:val="FFFFFF"/>
                <w:sz w:val="17"/>
              </w:rPr>
              <w:t>Term</w:t>
            </w:r>
          </w:p>
        </w:tc>
        <w:tc>
          <w:tcPr>
            <w:tcW w:type="dxa" w:w="7143"/>
            <w:shd w:val="clear" w:color="auto" w:fill="1B335F"/>
          </w:tcPr>
          <w:p>
            <w:pPr>
              <w:pStyle w:val="TableHead"/>
            </w:pPr>
            <w:r>
              <w:rPr>
                <w:rFonts w:ascii="Arial" w:hAnsi="Arial"/>
                <w:b/>
                <w:color w:val="FFFFFF"/>
                <w:sz w:val="17"/>
              </w:rPr>
              <w:t>Draft definition</w:t>
            </w:r>
          </w:p>
        </w:tc>
      </w:tr>
      <w:tr>
        <w:tc>
          <w:tcPr>
            <w:tcW w:type="dxa" w:w="2268"/>
          </w:tcPr>
          <w:p>
            <w:pPr>
              <w:pStyle w:val="TableText"/>
            </w:pPr>
            <w:r>
              <w:rPr>
                <w:rFonts w:ascii="Arial" w:hAnsi="Arial"/>
                <w:sz w:val="17"/>
              </w:rPr>
              <w:t>Model</w:t>
            </w:r>
          </w:p>
        </w:tc>
        <w:tc>
          <w:tcPr>
            <w:tcW w:type="dxa" w:w="7143"/>
          </w:tcPr>
          <w:p>
            <w:pPr>
              <w:pStyle w:val="TableText"/>
            </w:pPr>
            <w:r>
              <w:rPr>
                <w:rFonts w:ascii="Arial" w:hAnsi="Arial"/>
                <w:sz w:val="17"/>
              </w:rPr>
              <w:t>A quantitative method, system or approach that applies statistical, economic, financial, actuarial or mathematical theories, techniques or assumptions to process input data into quantitative estimates.</w:t>
            </w:r>
          </w:p>
        </w:tc>
      </w:tr>
      <w:tr>
        <w:tc>
          <w:tcPr>
            <w:tcW w:type="dxa" w:w="2268"/>
            <w:shd w:val="clear" w:color="auto" w:fill="F4F6FA"/>
          </w:tcPr>
          <w:p>
            <w:pPr>
              <w:pStyle w:val="TableText"/>
            </w:pPr>
            <w:r>
              <w:rPr>
                <w:rFonts w:ascii="Arial" w:hAnsi="Arial"/>
                <w:sz w:val="17"/>
              </w:rPr>
              <w:t>Model risk</w:t>
            </w:r>
          </w:p>
        </w:tc>
        <w:tc>
          <w:tcPr>
            <w:tcW w:type="dxa" w:w="7143"/>
            <w:shd w:val="clear" w:color="auto" w:fill="F4F6FA"/>
          </w:tcPr>
          <w:p>
            <w:pPr>
              <w:pStyle w:val="TableText"/>
            </w:pPr>
            <w:r>
              <w:rPr>
                <w:rFonts w:ascii="Arial" w:hAnsi="Arial"/>
                <w:sz w:val="17"/>
              </w:rPr>
              <w:t>The potential for adverse consequences from decisions based on incorrect or misused model outputs. Model risk arises where a model has fundamental errors and produces inaccurate outputs relative to its design objective and intended use, or where a model is used incorrectly or inappropriately.</w:t>
            </w:r>
          </w:p>
        </w:tc>
      </w:tr>
      <w:tr>
        <w:tc>
          <w:tcPr>
            <w:tcW w:type="dxa" w:w="2268"/>
          </w:tcPr>
          <w:p>
            <w:pPr>
              <w:pStyle w:val="TableText"/>
            </w:pPr>
            <w:r>
              <w:rPr>
                <w:rFonts w:ascii="Arial" w:hAnsi="Arial"/>
                <w:sz w:val="17"/>
              </w:rPr>
              <w:t>Material model</w:t>
            </w:r>
          </w:p>
        </w:tc>
        <w:tc>
          <w:tcPr>
            <w:tcW w:type="dxa" w:w="7143"/>
          </w:tcPr>
          <w:p>
            <w:pPr>
              <w:pStyle w:val="TableText"/>
            </w:pPr>
            <w:r>
              <w:rPr>
                <w:rFonts w:ascii="Arial" w:hAnsi="Arial"/>
                <w:sz w:val="17"/>
              </w:rPr>
              <w:t>A model that is used for a material purpose, or whose failure or misuse could otherwise have a material effect on the entity's financial position, its regulatory obligations, its critical operations, or amounts or entitlements attributable to its customers or beneficiaries.</w:t>
            </w:r>
          </w:p>
        </w:tc>
      </w:tr>
      <w:tr>
        <w:tc>
          <w:tcPr>
            <w:tcW w:type="dxa" w:w="2268"/>
            <w:shd w:val="clear" w:color="auto" w:fill="F4F6FA"/>
          </w:tcPr>
          <w:p>
            <w:pPr>
              <w:pStyle w:val="TableText"/>
            </w:pPr>
            <w:r>
              <w:rPr>
                <w:rFonts w:ascii="Arial" w:hAnsi="Arial"/>
                <w:sz w:val="17"/>
              </w:rPr>
              <w:t>Model owner</w:t>
            </w:r>
          </w:p>
        </w:tc>
        <w:tc>
          <w:tcPr>
            <w:tcW w:type="dxa" w:w="7143"/>
            <w:shd w:val="clear" w:color="auto" w:fill="F4F6FA"/>
          </w:tcPr>
          <w:p>
            <w:pPr>
              <w:pStyle w:val="TableText"/>
            </w:pPr>
            <w:r>
              <w:rPr>
                <w:rFonts w:ascii="Arial" w:hAnsi="Arial"/>
                <w:sz w:val="17"/>
              </w:rPr>
              <w:t>The person accountable for a model being fit for its approved purpose throughout its lifecycle, including its documentation, performance monitoring, communication of limitations and remediation of findings.</w:t>
            </w:r>
          </w:p>
        </w:tc>
      </w:tr>
      <w:tr>
        <w:tc>
          <w:tcPr>
            <w:tcW w:type="dxa" w:w="2268"/>
          </w:tcPr>
          <w:p>
            <w:pPr>
              <w:pStyle w:val="TableText"/>
            </w:pPr>
            <w:r>
              <w:rPr>
                <w:rFonts w:ascii="Arial" w:hAnsi="Arial"/>
                <w:sz w:val="17"/>
              </w:rPr>
              <w:t>Model risk tier</w:t>
            </w:r>
          </w:p>
        </w:tc>
        <w:tc>
          <w:tcPr>
            <w:tcW w:type="dxa" w:w="7143"/>
          </w:tcPr>
          <w:p>
            <w:pPr>
              <w:pStyle w:val="TableText"/>
            </w:pPr>
            <w:r>
              <w:rPr>
                <w:rFonts w:ascii="Arial" w:hAnsi="Arial"/>
                <w:sz w:val="17"/>
              </w:rPr>
              <w:t>The classification assigned to a model under the entity's tiering methodology, which determines the intensity of controls applied to it.</w:t>
            </w:r>
          </w:p>
        </w:tc>
      </w:tr>
      <w:tr>
        <w:tc>
          <w:tcPr>
            <w:tcW w:type="dxa" w:w="2268"/>
            <w:shd w:val="clear" w:color="auto" w:fill="F4F6FA"/>
          </w:tcPr>
          <w:p>
            <w:pPr>
              <w:pStyle w:val="TableText"/>
            </w:pPr>
            <w:r>
              <w:rPr>
                <w:rFonts w:ascii="Arial" w:hAnsi="Arial"/>
                <w:sz w:val="17"/>
              </w:rPr>
              <w:t>Independent validation</w:t>
            </w:r>
          </w:p>
        </w:tc>
        <w:tc>
          <w:tcPr>
            <w:tcW w:type="dxa" w:w="7143"/>
            <w:shd w:val="clear" w:color="auto" w:fill="F4F6FA"/>
          </w:tcPr>
          <w:p>
            <w:pPr>
              <w:pStyle w:val="TableText"/>
            </w:pPr>
            <w:r>
              <w:rPr>
                <w:rFonts w:ascii="Arial" w:hAnsi="Arial"/>
                <w:sz w:val="17"/>
              </w:rPr>
              <w:t>An assessment of a model's fitness for its intended use performed by persons who did not develop the model and who are not accountable to those who developed it or who sponsor its use.</w:t>
            </w:r>
          </w:p>
        </w:tc>
      </w:tr>
      <w:tr>
        <w:tc>
          <w:tcPr>
            <w:tcW w:type="dxa" w:w="2268"/>
          </w:tcPr>
          <w:p>
            <w:pPr>
              <w:pStyle w:val="TableText"/>
            </w:pPr>
            <w:r>
              <w:rPr>
                <w:rFonts w:ascii="Arial" w:hAnsi="Arial"/>
                <w:sz w:val="17"/>
              </w:rPr>
              <w:t>Effective challenge</w:t>
            </w:r>
          </w:p>
        </w:tc>
        <w:tc>
          <w:tcPr>
            <w:tcW w:type="dxa" w:w="7143"/>
          </w:tcPr>
          <w:p>
            <w:pPr>
              <w:pStyle w:val="TableText"/>
            </w:pPr>
            <w:r>
              <w:rPr>
                <w:rFonts w:ascii="Arial" w:hAnsi="Arial"/>
                <w:sz w:val="17"/>
              </w:rPr>
              <w:t>Critical and objective analysis by persons with the expertise to identify model limitations, sufficient independence to maintain objectivity, and the organisational standing and influence to effect change.</w:t>
            </w:r>
          </w:p>
        </w:tc>
      </w:tr>
      <w:tr>
        <w:tc>
          <w:tcPr>
            <w:tcW w:type="dxa" w:w="2268"/>
            <w:shd w:val="clear" w:color="auto" w:fill="F4F6FA"/>
          </w:tcPr>
          <w:p>
            <w:pPr>
              <w:pStyle w:val="TableText"/>
            </w:pPr>
            <w:r>
              <w:rPr>
                <w:rFonts w:ascii="Arial" w:hAnsi="Arial"/>
                <w:sz w:val="17"/>
              </w:rPr>
              <w:t>Conceptual soundness</w:t>
            </w:r>
          </w:p>
        </w:tc>
        <w:tc>
          <w:tcPr>
            <w:tcW w:type="dxa" w:w="7143"/>
            <w:shd w:val="clear" w:color="auto" w:fill="F4F6FA"/>
          </w:tcPr>
          <w:p>
            <w:pPr>
              <w:pStyle w:val="TableText"/>
            </w:pPr>
            <w:r>
              <w:rPr>
                <w:rFonts w:ascii="Arial" w:hAnsi="Arial"/>
                <w:sz w:val="17"/>
              </w:rPr>
              <w:t>The quality of a model's design, theory, methodology and assumptions as appropriate for the purpose for which the model will be used.</w:t>
            </w:r>
          </w:p>
        </w:tc>
      </w:tr>
      <w:tr>
        <w:tc>
          <w:tcPr>
            <w:tcW w:type="dxa" w:w="2268"/>
          </w:tcPr>
          <w:p>
            <w:pPr>
              <w:pStyle w:val="TableText"/>
            </w:pPr>
            <w:r>
              <w:rPr>
                <w:rFonts w:ascii="Arial" w:hAnsi="Arial"/>
                <w:sz w:val="17"/>
              </w:rPr>
              <w:t>Outcomes analysis</w:t>
            </w:r>
          </w:p>
        </w:tc>
        <w:tc>
          <w:tcPr>
            <w:tcW w:type="dxa" w:w="7143"/>
          </w:tcPr>
          <w:p>
            <w:pPr>
              <w:pStyle w:val="TableText"/>
            </w:pPr>
            <w:r>
              <w:rPr>
                <w:rFonts w:ascii="Arial" w:hAnsi="Arial"/>
                <w:sz w:val="17"/>
              </w:rPr>
              <w:t>Comparison of model outputs with corresponding actual outcomes, used to assess whether a model continues to perform as intended.</w:t>
            </w:r>
          </w:p>
        </w:tc>
      </w:tr>
      <w:tr>
        <w:tc>
          <w:tcPr>
            <w:tcW w:type="dxa" w:w="2268"/>
            <w:shd w:val="clear" w:color="auto" w:fill="F4F6FA"/>
          </w:tcPr>
          <w:p>
            <w:pPr>
              <w:pStyle w:val="TableText"/>
            </w:pPr>
            <w:r>
              <w:rPr>
                <w:rFonts w:ascii="Arial" w:hAnsi="Arial"/>
                <w:sz w:val="17"/>
              </w:rPr>
              <w:t>Overlay</w:t>
            </w:r>
          </w:p>
        </w:tc>
        <w:tc>
          <w:tcPr>
            <w:tcW w:type="dxa" w:w="7143"/>
            <w:shd w:val="clear" w:color="auto" w:fill="F4F6FA"/>
          </w:tcPr>
          <w:p>
            <w:pPr>
              <w:pStyle w:val="TableText"/>
            </w:pPr>
            <w:r>
              <w:rPr>
                <w:rFonts w:ascii="Arial" w:hAnsi="Arial"/>
                <w:sz w:val="17"/>
              </w:rPr>
              <w:t>An adjustment applied to a model's output before it is used, including management overlays, post-model adjustments and model overrides.</w:t>
            </w:r>
          </w:p>
        </w:tc>
      </w:tr>
      <w:tr>
        <w:tc>
          <w:tcPr>
            <w:tcW w:type="dxa" w:w="2268"/>
          </w:tcPr>
          <w:p>
            <w:pPr>
              <w:pStyle w:val="TableText"/>
            </w:pPr>
            <w:r>
              <w:rPr>
                <w:rFonts w:ascii="Arial" w:hAnsi="Arial"/>
                <w:sz w:val="17"/>
              </w:rPr>
              <w:t>Quantitative decision tool</w:t>
            </w:r>
          </w:p>
        </w:tc>
        <w:tc>
          <w:tcPr>
            <w:tcW w:type="dxa" w:w="7143"/>
          </w:tcPr>
          <w:p>
            <w:pPr>
              <w:pStyle w:val="TableText"/>
            </w:pPr>
            <w:r>
              <w:rPr>
                <w:rFonts w:ascii="Arial" w:hAnsi="Arial"/>
                <w:sz w:val="17"/>
              </w:rPr>
              <w:t>A quantitative method that materially informs a decision but does not meet the definition of a model.</w:t>
            </w:r>
          </w:p>
        </w:tc>
      </w:tr>
      <w:tr>
        <w:tc>
          <w:tcPr>
            <w:tcW w:type="dxa" w:w="2268"/>
            <w:shd w:val="clear" w:color="auto" w:fill="F4F6FA"/>
          </w:tcPr>
          <w:p>
            <w:pPr>
              <w:pStyle w:val="TableText"/>
            </w:pPr>
            <w:r>
              <w:rPr>
                <w:rFonts w:ascii="Arial" w:hAnsi="Arial"/>
                <w:sz w:val="17"/>
              </w:rPr>
              <w:t>De minimis model</w:t>
            </w:r>
          </w:p>
        </w:tc>
        <w:tc>
          <w:tcPr>
            <w:tcW w:type="dxa" w:w="7143"/>
            <w:shd w:val="clear" w:color="auto" w:fill="F4F6FA"/>
          </w:tcPr>
          <w:p>
            <w:pPr>
              <w:pStyle w:val="TableText"/>
            </w:pPr>
            <w:r>
              <w:rPr>
                <w:rFonts w:ascii="Arial" w:hAnsi="Arial"/>
                <w:sz w:val="17"/>
              </w:rPr>
              <w:t>A model that the entity has determined, and documented, could not have a material effect on its financial position, its regulatory obligations, its critical operations, or amounts or entitlements attributable to its customers or beneficiaries if it were wrong or misused. A de minimis model remains subject to identification, inventory, ownership, classification and reassessment.</w:t>
            </w:r>
          </w:p>
        </w:tc>
      </w:tr>
      <w:tr>
        <w:tc>
          <w:tcPr>
            <w:tcW w:type="dxa" w:w="2268"/>
          </w:tcPr>
          <w:p>
            <w:pPr>
              <w:pStyle w:val="TableText"/>
            </w:pPr>
            <w:r>
              <w:rPr>
                <w:rFonts w:ascii="Arial" w:hAnsi="Arial"/>
                <w:sz w:val="17"/>
              </w:rPr>
              <w:t>Material purpose</w:t>
            </w:r>
          </w:p>
        </w:tc>
        <w:tc>
          <w:tcPr>
            <w:tcW w:type="dxa" w:w="7143"/>
          </w:tcPr>
          <w:p>
            <w:pPr>
              <w:pStyle w:val="TableText"/>
            </w:pPr>
            <w:r>
              <w:rPr>
                <w:rFonts w:ascii="Arial" w:hAnsi="Arial"/>
                <w:sz w:val="17"/>
              </w:rPr>
              <w:t>A purpose where an incorrect or misused model output could have a material effect on the entity's financial position, its regulatory obligations, its critical operations, or amounts or entitlements attributable to its customers or beneficiaries.</w:t>
            </w:r>
          </w:p>
        </w:tc>
      </w:tr>
      <w:tr>
        <w:tc>
          <w:tcPr>
            <w:tcW w:type="dxa" w:w="2268"/>
            <w:shd w:val="clear" w:color="auto" w:fill="F4F6FA"/>
          </w:tcPr>
          <w:p>
            <w:pPr>
              <w:pStyle w:val="TableText"/>
            </w:pPr>
            <w:r>
              <w:rPr>
                <w:rFonts w:ascii="Arial" w:hAnsi="Arial"/>
                <w:sz w:val="17"/>
              </w:rPr>
              <w:t>Ongoing model monitoring</w:t>
            </w:r>
          </w:p>
        </w:tc>
        <w:tc>
          <w:tcPr>
            <w:tcW w:type="dxa" w:w="7143"/>
            <w:shd w:val="clear" w:color="auto" w:fill="F4F6FA"/>
          </w:tcPr>
          <w:p>
            <w:pPr>
              <w:pStyle w:val="TableText"/>
            </w:pPr>
            <w:r>
              <w:rPr>
                <w:rFonts w:ascii="Arial" w:hAnsi="Arial"/>
                <w:sz w:val="17"/>
              </w:rPr>
              <w:t>Evaluation of whether a model continues to perform as expected given changes in products, exposures, activities, customers, data relevance or market conditions.</w:t>
            </w:r>
          </w:p>
        </w:tc>
      </w:tr>
      <w:tr>
        <w:tc>
          <w:tcPr>
            <w:tcW w:type="dxa" w:w="2268"/>
          </w:tcPr>
          <w:p>
            <w:pPr>
              <w:pStyle w:val="TableText"/>
            </w:pPr>
            <w:r>
              <w:rPr>
                <w:rFonts w:ascii="Arial" w:hAnsi="Arial"/>
                <w:sz w:val="17"/>
              </w:rPr>
              <w:t>Independent price verification</w:t>
            </w:r>
          </w:p>
        </w:tc>
        <w:tc>
          <w:tcPr>
            <w:tcW w:type="dxa" w:w="7143"/>
          </w:tcPr>
          <w:p>
            <w:pPr>
              <w:pStyle w:val="TableText"/>
            </w:pPr>
            <w:r>
              <w:rPr>
                <w:rFonts w:ascii="Arial" w:hAnsi="Arial"/>
                <w:sz w:val="17"/>
              </w:rPr>
              <w:t>Verification of valuation inputs and prices by a function independent of the business that originated the position, distinct from validation of the valuation model itself.</w:t>
            </w:r>
          </w:p>
        </w:tc>
      </w:tr>
      <w:tr>
        <w:tc>
          <w:tcPr>
            <w:tcW w:type="dxa" w:w="2268"/>
            <w:shd w:val="clear" w:color="auto" w:fill="F4F6FA"/>
          </w:tcPr>
          <w:p>
            <w:pPr>
              <w:pStyle w:val="TableText"/>
            </w:pPr>
            <w:r>
              <w:rPr>
                <w:rFonts w:ascii="Arial" w:hAnsi="Arial"/>
                <w:sz w:val="17"/>
              </w:rPr>
              <w:t>Model failure</w:t>
            </w:r>
          </w:p>
        </w:tc>
        <w:tc>
          <w:tcPr>
            <w:tcW w:type="dxa" w:w="7143"/>
            <w:shd w:val="clear" w:color="auto" w:fill="F4F6FA"/>
          </w:tcPr>
          <w:p>
            <w:pPr>
              <w:pStyle w:val="TableText"/>
            </w:pPr>
            <w:r>
              <w:rPr>
                <w:rFonts w:ascii="Arial" w:hAnsi="Arial"/>
                <w:sz w:val="17"/>
              </w:rPr>
              <w:t>An event in which a model produces materially incorrect output, is materially misused, or becomes unavailable, in each case in circumstances affecting a material purpose.</w:t>
            </w:r>
          </w:p>
        </w:tc>
      </w:tr>
      <w:tr>
        <w:tc>
          <w:tcPr>
            <w:tcW w:type="dxa" w:w="2268"/>
          </w:tcPr>
          <w:p>
            <w:pPr>
              <w:pStyle w:val="TableText"/>
            </w:pPr>
            <w:r>
              <w:rPr>
                <w:rFonts w:ascii="Arial" w:hAnsi="Arial"/>
                <w:sz w:val="17"/>
              </w:rPr>
              <w:t>Artificial intelligence system</w:t>
            </w:r>
          </w:p>
        </w:tc>
        <w:tc>
          <w:tcPr>
            <w:tcW w:type="dxa" w:w="7143"/>
          </w:tcPr>
          <w:p>
            <w:pPr>
              <w:pStyle w:val="TableText"/>
            </w:pPr>
            <w:r>
              <w:rPr>
                <w:rFonts w:ascii="Arial" w:hAnsi="Arial"/>
                <w:sz w:val="17"/>
              </w:rPr>
              <w:t>A machine-based system that infers from inputs how to generate outputs such as predictions, content, recommendations, decisions or actions. An artificial intelligence system that produces quantitative estimates relied upon for a material purpose is a model.</w:t>
            </w:r>
          </w:p>
        </w:tc>
      </w:tr>
      <w:tr>
        <w:tc>
          <w:tcPr>
            <w:tcW w:type="dxa" w:w="2268"/>
            <w:shd w:val="clear" w:color="auto" w:fill="F4F6FA"/>
          </w:tcPr>
          <w:p>
            <w:pPr>
              <w:pStyle w:val="TableText"/>
            </w:pPr>
            <w:r>
              <w:rPr>
                <w:rFonts w:ascii="Arial" w:hAnsi="Arial"/>
                <w:sz w:val="17"/>
              </w:rPr>
              <w:t>Third-party model</w:t>
            </w:r>
          </w:p>
        </w:tc>
        <w:tc>
          <w:tcPr>
            <w:tcW w:type="dxa" w:w="7143"/>
            <w:shd w:val="clear" w:color="auto" w:fill="F4F6FA"/>
          </w:tcPr>
          <w:p>
            <w:pPr>
              <w:pStyle w:val="TableText"/>
            </w:pPr>
            <w:r>
              <w:rPr>
                <w:rFonts w:ascii="Arial" w:hAnsi="Arial"/>
                <w:sz w:val="17"/>
              </w:rPr>
              <w:t>A model developed, supplied, hosted or operated by a party other than the entity, including a model embedded in a supplied system.</w:t>
            </w:r>
          </w:p>
        </w:tc>
      </w:tr>
    </w:tbl>
    <w:p>
      <w:pPr>
        <w:pStyle w:val="DocMeta"/>
      </w:pPr>
      <w:r>
        <w:br w:type="page"/>
      </w:r>
    </w:p>
    <w:p>
      <w:pPr>
        <w:pStyle w:val="Heading1"/>
      </w:pPr>
      <w:r>
        <w:t>Annex B — Minimum model inventory fields</w:t>
      </w:r>
    </w:p>
    <w:p>
      <w:pPr>
        <w:pStyle w:val="Guidance"/>
      </w:pPr>
      <w:r>
        <w:t>M14 requires the enterprise model inventory to record at least the following for each model. These are minimum fields; an entity should record whatever further information its framework requires.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2268"/>
            <w:shd w:val="clear" w:color="auto" w:fill="1B335F"/>
          </w:tcPr>
          <w:p>
            <w:pPr>
              <w:pStyle w:val="TableHead"/>
            </w:pPr>
            <w:r>
              <w:rPr>
                <w:rFonts w:ascii="Arial" w:hAnsi="Arial"/>
                <w:b/>
                <w:color w:val="FFFFFF"/>
                <w:sz w:val="17"/>
              </w:rPr>
              <w:t>Field group</w:t>
            </w:r>
          </w:p>
        </w:tc>
        <w:tc>
          <w:tcPr>
            <w:tcW w:type="dxa" w:w="7143"/>
            <w:shd w:val="clear" w:color="auto" w:fill="1B335F"/>
          </w:tcPr>
          <w:p>
            <w:pPr>
              <w:pStyle w:val="TableHead"/>
            </w:pPr>
            <w:r>
              <w:rPr>
                <w:rFonts w:ascii="Arial" w:hAnsi="Arial"/>
                <w:b/>
                <w:color w:val="FFFFFF"/>
                <w:sz w:val="17"/>
              </w:rPr>
              <w:t>Minimum content</w:t>
            </w:r>
          </w:p>
        </w:tc>
      </w:tr>
      <w:tr>
        <w:tc>
          <w:tcPr>
            <w:tcW w:type="dxa" w:w="2268"/>
          </w:tcPr>
          <w:p>
            <w:pPr>
              <w:pStyle w:val="TableText"/>
            </w:pPr>
            <w:r>
              <w:rPr>
                <w:rFonts w:ascii="Arial" w:hAnsi="Arial"/>
                <w:sz w:val="17"/>
              </w:rPr>
              <w:t>Identity</w:t>
            </w:r>
          </w:p>
        </w:tc>
        <w:tc>
          <w:tcPr>
            <w:tcW w:type="dxa" w:w="7143"/>
          </w:tcPr>
          <w:p>
            <w:pPr>
              <w:pStyle w:val="TableText"/>
            </w:pPr>
            <w:r>
              <w:rPr>
                <w:rFonts w:ascii="Arial" w:hAnsi="Arial"/>
                <w:sz w:val="17"/>
              </w:rPr>
              <w:t>Unique identifier; model name; version; status; owning business unit; legal entity.</w:t>
            </w:r>
          </w:p>
        </w:tc>
      </w:tr>
      <w:tr>
        <w:tc>
          <w:tcPr>
            <w:tcW w:type="dxa" w:w="2268"/>
            <w:shd w:val="clear" w:color="auto" w:fill="F4F6FA"/>
          </w:tcPr>
          <w:p>
            <w:pPr>
              <w:pStyle w:val="TableText"/>
            </w:pPr>
            <w:r>
              <w:rPr>
                <w:rFonts w:ascii="Arial" w:hAnsi="Arial"/>
                <w:sz w:val="17"/>
              </w:rPr>
              <w:t>Purpose and use</w:t>
            </w:r>
          </w:p>
        </w:tc>
        <w:tc>
          <w:tcPr>
            <w:tcW w:type="dxa" w:w="7143"/>
            <w:shd w:val="clear" w:color="auto" w:fill="F4F6FA"/>
          </w:tcPr>
          <w:p>
            <w:pPr>
              <w:pStyle w:val="TableText"/>
            </w:pPr>
            <w:r>
              <w:rPr>
                <w:rFonts w:ascii="Arial" w:hAnsi="Arial"/>
                <w:sz w:val="17"/>
              </w:rPr>
              <w:t>Intended purpose; approved uses and users; approved conditions and limits; processes, products, customers or beneficiaries affected.</w:t>
            </w:r>
          </w:p>
        </w:tc>
      </w:tr>
      <w:tr>
        <w:tc>
          <w:tcPr>
            <w:tcW w:type="dxa" w:w="2268"/>
          </w:tcPr>
          <w:p>
            <w:pPr>
              <w:pStyle w:val="TableText"/>
            </w:pPr>
            <w:r>
              <w:rPr>
                <w:rFonts w:ascii="Arial" w:hAnsi="Arial"/>
                <w:sz w:val="17"/>
              </w:rPr>
              <w:t>Accountability</w:t>
            </w:r>
          </w:p>
        </w:tc>
        <w:tc>
          <w:tcPr>
            <w:tcW w:type="dxa" w:w="7143"/>
          </w:tcPr>
          <w:p>
            <w:pPr>
              <w:pStyle w:val="TableText"/>
            </w:pPr>
            <w:r>
              <w:rPr>
                <w:rFonts w:ascii="Arial" w:hAnsi="Arial"/>
                <w:sz w:val="17"/>
              </w:rPr>
              <w:t>Model owner; accountable executive; developer; validator; approver; operator; provider.</w:t>
            </w:r>
          </w:p>
        </w:tc>
      </w:tr>
      <w:tr>
        <w:tc>
          <w:tcPr>
            <w:tcW w:type="dxa" w:w="2268"/>
            <w:shd w:val="clear" w:color="auto" w:fill="F4F6FA"/>
          </w:tcPr>
          <w:p>
            <w:pPr>
              <w:pStyle w:val="TableText"/>
            </w:pPr>
            <w:r>
              <w:rPr>
                <w:rFonts w:ascii="Arial" w:hAnsi="Arial"/>
                <w:sz w:val="17"/>
              </w:rPr>
              <w:t>Method</w:t>
            </w:r>
          </w:p>
        </w:tc>
        <w:tc>
          <w:tcPr>
            <w:tcW w:type="dxa" w:w="7143"/>
            <w:shd w:val="clear" w:color="auto" w:fill="F4F6FA"/>
          </w:tcPr>
          <w:p>
            <w:pPr>
              <w:pStyle w:val="TableText"/>
            </w:pPr>
            <w:r>
              <w:rPr>
                <w:rFonts w:ascii="Arial" w:hAnsi="Arial"/>
                <w:sz w:val="17"/>
              </w:rPr>
              <w:t>Model type and technique; whether AI or machine learning techniques are used; whether the model adapts or retrains in production; degree of automation.</w:t>
            </w:r>
          </w:p>
        </w:tc>
      </w:tr>
      <w:tr>
        <w:tc>
          <w:tcPr>
            <w:tcW w:type="dxa" w:w="2268"/>
          </w:tcPr>
          <w:p>
            <w:pPr>
              <w:pStyle w:val="TableText"/>
            </w:pPr>
            <w:r>
              <w:rPr>
                <w:rFonts w:ascii="Arial" w:hAnsi="Arial"/>
                <w:sz w:val="17"/>
              </w:rPr>
              <w:t>Data</w:t>
            </w:r>
          </w:p>
        </w:tc>
        <w:tc>
          <w:tcPr>
            <w:tcW w:type="dxa" w:w="7143"/>
          </w:tcPr>
          <w:p>
            <w:pPr>
              <w:pStyle w:val="TableText"/>
            </w:pPr>
            <w:r>
              <w:rPr>
                <w:rFonts w:ascii="Arial" w:hAnsi="Arial"/>
                <w:sz w:val="17"/>
              </w:rPr>
              <w:t>Material development, calibration, test and operational data; sources; use of proxy, external or synthetic data; sensitivity; lineage reference.</w:t>
            </w:r>
          </w:p>
        </w:tc>
      </w:tr>
      <w:tr>
        <w:tc>
          <w:tcPr>
            <w:tcW w:type="dxa" w:w="2268"/>
            <w:shd w:val="clear" w:color="auto" w:fill="F4F6FA"/>
          </w:tcPr>
          <w:p>
            <w:pPr>
              <w:pStyle w:val="TableText"/>
            </w:pPr>
            <w:r>
              <w:rPr>
                <w:rFonts w:ascii="Arial" w:hAnsi="Arial"/>
                <w:sz w:val="17"/>
              </w:rPr>
              <w:t>Dependencies</w:t>
            </w:r>
          </w:p>
        </w:tc>
        <w:tc>
          <w:tcPr>
            <w:tcW w:type="dxa" w:w="7143"/>
            <w:shd w:val="clear" w:color="auto" w:fill="F4F6FA"/>
          </w:tcPr>
          <w:p>
            <w:pPr>
              <w:pStyle w:val="TableText"/>
            </w:pPr>
            <w:r>
              <w:rPr>
                <w:rFonts w:ascii="Arial" w:hAnsi="Arial"/>
                <w:sz w:val="17"/>
              </w:rPr>
              <w:t>Upstream and downstream models; provider; hosting; material data sources; critical libraries and nth-party dependencies.</w:t>
            </w:r>
          </w:p>
        </w:tc>
      </w:tr>
      <w:tr>
        <w:tc>
          <w:tcPr>
            <w:tcW w:type="dxa" w:w="2268"/>
          </w:tcPr>
          <w:p>
            <w:pPr>
              <w:pStyle w:val="TableText"/>
            </w:pPr>
            <w:r>
              <w:rPr>
                <w:rFonts w:ascii="Arial" w:hAnsi="Arial"/>
                <w:sz w:val="17"/>
              </w:rPr>
              <w:t>Risk</w:t>
            </w:r>
          </w:p>
        </w:tc>
        <w:tc>
          <w:tcPr>
            <w:tcW w:type="dxa" w:w="7143"/>
          </w:tcPr>
          <w:p>
            <w:pPr>
              <w:pStyle w:val="TableText"/>
            </w:pPr>
            <w:r>
              <w:rPr>
                <w:rFonts w:ascii="Arial" w:hAnsi="Arial"/>
                <w:sz w:val="17"/>
              </w:rPr>
              <w:t>Model risk tier; rationale; date assigned; linkage to a critical operation; key limitations and the compensating controls relied upon.</w:t>
            </w:r>
          </w:p>
        </w:tc>
      </w:tr>
      <w:tr>
        <w:tc>
          <w:tcPr>
            <w:tcW w:type="dxa" w:w="2268"/>
            <w:shd w:val="clear" w:color="auto" w:fill="F4F6FA"/>
          </w:tcPr>
          <w:p>
            <w:pPr>
              <w:pStyle w:val="TableText"/>
            </w:pPr>
            <w:r>
              <w:rPr>
                <w:rFonts w:ascii="Arial" w:hAnsi="Arial"/>
                <w:sz w:val="17"/>
              </w:rPr>
              <w:t>Governance</w:t>
            </w:r>
          </w:p>
        </w:tc>
        <w:tc>
          <w:tcPr>
            <w:tcW w:type="dxa" w:w="7143"/>
            <w:shd w:val="clear" w:color="auto" w:fill="F4F6FA"/>
          </w:tcPr>
          <w:p>
            <w:pPr>
              <w:pStyle w:val="TableText"/>
            </w:pPr>
            <w:r>
              <w:rPr>
                <w:rFonts w:ascii="Arial" w:hAnsi="Arial"/>
                <w:sz w:val="17"/>
              </w:rPr>
              <w:t>Approval date, authority and conditions; validation status and date; next validation due; open findings by severity; exceptions in force.</w:t>
            </w:r>
          </w:p>
        </w:tc>
      </w:tr>
      <w:tr>
        <w:tc>
          <w:tcPr>
            <w:tcW w:type="dxa" w:w="2268"/>
          </w:tcPr>
          <w:p>
            <w:pPr>
              <w:pStyle w:val="TableText"/>
            </w:pPr>
            <w:r>
              <w:rPr>
                <w:rFonts w:ascii="Arial" w:hAnsi="Arial"/>
                <w:sz w:val="17"/>
              </w:rPr>
              <w:t>Performance</w:t>
            </w:r>
          </w:p>
        </w:tc>
        <w:tc>
          <w:tcPr>
            <w:tcW w:type="dxa" w:w="7143"/>
          </w:tcPr>
          <w:p>
            <w:pPr>
              <w:pStyle w:val="TableText"/>
            </w:pPr>
            <w:r>
              <w:rPr>
                <w:rFonts w:ascii="Arial" w:hAnsi="Arial"/>
                <w:sz w:val="17"/>
              </w:rPr>
              <w:t>Monitoring metrics and thresholds; latest performance assessment; overlays in force and their size; breaches and actions taken.</w:t>
            </w:r>
          </w:p>
        </w:tc>
      </w:tr>
      <w:tr>
        <w:tc>
          <w:tcPr>
            <w:tcW w:type="dxa" w:w="2268"/>
            <w:shd w:val="clear" w:color="auto" w:fill="F4F6FA"/>
          </w:tcPr>
          <w:p>
            <w:pPr>
              <w:pStyle w:val="TableText"/>
            </w:pPr>
            <w:r>
              <w:rPr>
                <w:rFonts w:ascii="Arial" w:hAnsi="Arial"/>
                <w:sz w:val="17"/>
              </w:rPr>
              <w:t>Change and retirement</w:t>
            </w:r>
          </w:p>
        </w:tc>
        <w:tc>
          <w:tcPr>
            <w:tcW w:type="dxa" w:w="7143"/>
            <w:shd w:val="clear" w:color="auto" w:fill="F4F6FA"/>
          </w:tcPr>
          <w:p>
            <w:pPr>
              <w:pStyle w:val="TableText"/>
            </w:pPr>
            <w:r>
              <w:rPr>
                <w:rFonts w:ascii="Arial" w:hAnsi="Arial"/>
                <w:sz w:val="17"/>
              </w:rPr>
              <w:t>Version history; material changes and their assessment; provider updates; decommission date; disposition of records, data and outputs still in force.</w:t>
            </w:r>
          </w:p>
        </w:tc>
      </w:tr>
    </w:tbl>
    <w:p>
      <w:pPr>
        <w:pStyle w:val="DocMeta"/>
      </w:pPr>
      <w:r>
        <w:br w:type="page"/>
      </w:r>
    </w:p>
    <w:p>
      <w:pPr>
        <w:pStyle w:val="Heading1"/>
      </w:pPr>
      <w:r>
        <w:t>Annex C — Model risk tiering indicators</w:t>
      </w:r>
    </w:p>
    <w:p>
      <w:pPr>
        <w:pStyle w:val="Guidance"/>
      </w:pPr>
      <w:r>
        <w:t>An entity would ordinarily assign a model to its highest risk tier where one or more of the following indicators is material. Classification remains outcome-based and context-specific, and no single indicator is determinative.</w:t>
      </w:r>
    </w:p>
    <w:p>
      <w:pPr>
        <w:pStyle w:val="Bullet"/>
      </w:pPr>
      <w:r>
        <w:t>• Determines or materially influences a regulatory capital requirement, a provision, a technical or insurance liability, or a valuation reported in the financial statements.</w:t>
      </w:r>
    </w:p>
    <w:p>
      <w:pPr>
        <w:pStyle w:val="Bullet"/>
      </w:pPr>
      <w:r>
        <w:t>• Determines or materially influences an amount credited to or debited from a customer or member account, including unit prices and fee calculations.</w:t>
      </w:r>
    </w:p>
    <w:p>
      <w:pPr>
        <w:pStyle w:val="Bullet"/>
      </w:pPr>
      <w:r>
        <w:t>• Makes, recommends or materially influences decisions affecting a person's access to a financial product, a claim, a benefit or a price.</w:t>
      </w:r>
    </w:p>
    <w:p>
      <w:pPr>
        <w:pStyle w:val="Bullet"/>
      </w:pPr>
      <w:r>
        <w:t>• Supports a critical operation, or its failure could cause a tolerance level under CPS 230 to be breached.</w:t>
      </w:r>
    </w:p>
    <w:p>
      <w:pPr>
        <w:pStyle w:val="Bullet"/>
      </w:pPr>
      <w:r>
        <w:t>• Is applied automatically at volume, or its output is acted upon without effective human review.</w:t>
      </w:r>
    </w:p>
    <w:p>
      <w:pPr>
        <w:pStyle w:val="Bullet"/>
      </w:pPr>
      <w:r>
        <w:t>• Is opaque to the extent that the drivers of an individual output cannot be attributed, and compensating controls are not yet demonstrated to be effective.</w:t>
      </w:r>
    </w:p>
    <w:p>
      <w:pPr>
        <w:pStyle w:val="Bullet"/>
      </w:pPr>
      <w:r>
        <w:t>• Depends on sparse, proxy, external or unrepresentative data, or on data whose provenance the entity cannot establish.</w:t>
      </w:r>
    </w:p>
    <w:p>
      <w:pPr>
        <w:pStyle w:val="Bullet"/>
      </w:pPr>
      <w:r>
        <w:t>• Adapts, retrains or changes behaviour in production without a controlled approval step.</w:t>
      </w:r>
    </w:p>
    <w:p>
      <w:pPr>
        <w:pStyle w:val="Bullet"/>
      </w:pPr>
      <w:r>
        <w:t>• Relies on a provider, foundation model, platform or data source for which no practical substitute exists within the relevant time horizon.</w:t>
      </w:r>
    </w:p>
    <w:p>
      <w:pPr>
        <w:pStyle w:val="Bullet"/>
      </w:pPr>
      <w:r>
        <w:t>• Produces an error that would be difficult to detect, difficult to reverse, or would crystallise a transfer of value between customers or members.</w:t>
      </w:r>
    </w:p>
    <w:p>
      <w:pPr>
        <w:sectPr>
          <w:headerReference w:type="default" r:id="rId9"/>
          <w:footerReference w:type="default" r:id="rId10"/>
          <w:pgSz w:w="11906" w:h="16838"/>
          <w:pgMar w:top="1134" w:right="1247" w:bottom="1077" w:left="1247" w:header="624" w:footer="567" w:gutter="0"/>
          <w:cols w:space="720"/>
          <w:docGrid w:linePitch="360"/>
        </w:sectPr>
      </w:pPr>
    </w:p>
    <w:p>
      <w:pPr>
        <w:pStyle w:val="Heading1"/>
      </w:pPr>
      <w:r>
        <w:t>Annex D — International comparison of model risk requirements</w:t>
      </w:r>
    </w:p>
    <w:p>
      <w:pPr>
        <w:pStyle w:val="Guidance"/>
      </w:pPr>
      <w:r>
        <w:t>This Annex compares the model risk requirements and expectations of the authorities whose frameworks informed this Prudential Standard. Legal status differs materially between them and is stated in each cell group. An overseas instrument is not binding in Australia whatever its status in its home jurisdiction.</w:t>
      </w:r>
    </w:p>
    <w:p>
      <w:pPr>
        <w:pStyle w:val="SourceNote"/>
      </w:pPr>
      <w:r>
        <w:t>Status codes: [B] binding in the home jurisdiction · [SE] supervisory expectation, not binding law · [G] guidance · [PB] proposed or consultative · [A] analytical or advisory · [—] not addressed.</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682"/>
        <w:gridCol w:w="1682"/>
        <w:gridCol w:w="1682"/>
        <w:gridCol w:w="1682"/>
        <w:gridCol w:w="1682"/>
        <w:gridCol w:w="1682"/>
        <w:gridCol w:w="1682"/>
        <w:gridCol w:w="1682"/>
        <w:gridCol w:w="1682"/>
      </w:tblGrid>
      <w:tr>
        <w:trPr>
          <w:tblHeader w:val="true"/>
        </w:trPr>
        <w:tc>
          <w:tcPr>
            <w:tcW w:type="dxa" w:w="1417"/>
            <w:shd w:val="clear" w:color="auto" w:fill="1B335F"/>
          </w:tcPr>
          <w:p>
            <w:pPr>
              <w:pStyle w:val="TableHead"/>
            </w:pPr>
            <w:r>
              <w:rPr>
                <w:rFonts w:ascii="Arial" w:hAnsi="Arial"/>
                <w:b/>
                <w:color w:val="FFFFFF"/>
                <w:sz w:val="14"/>
              </w:rPr>
              <w:t>Domain</w:t>
            </w:r>
          </w:p>
        </w:tc>
        <w:tc>
          <w:tcPr>
            <w:tcW w:type="dxa" w:w="1757"/>
            <w:shd w:val="clear" w:color="auto" w:fill="1B335F"/>
          </w:tcPr>
          <w:p>
            <w:pPr>
              <w:pStyle w:val="TableHead"/>
            </w:pPr>
            <w:r>
              <w:rPr>
                <w:rFonts w:ascii="Arial" w:hAnsi="Arial"/>
                <w:b/>
                <w:color w:val="FFFFFF"/>
                <w:sz w:val="14"/>
              </w:rPr>
              <w:t>APRA (proposed CPS XXXX)</w:t>
            </w:r>
          </w:p>
        </w:tc>
        <w:tc>
          <w:tcPr>
            <w:tcW w:type="dxa" w:w="1701"/>
            <w:shd w:val="clear" w:color="auto" w:fill="1B335F"/>
          </w:tcPr>
          <w:p>
            <w:pPr>
              <w:pStyle w:val="TableHead"/>
            </w:pPr>
            <w:r>
              <w:rPr>
                <w:rFonts w:ascii="Arial" w:hAnsi="Arial"/>
                <w:b/>
                <w:color w:val="FFFFFF"/>
                <w:sz w:val="14"/>
              </w:rPr>
              <w:t>OCC / Federal Reserve (US)</w:t>
            </w:r>
          </w:p>
        </w:tc>
        <w:tc>
          <w:tcPr>
            <w:tcW w:type="dxa" w:w="1701"/>
            <w:shd w:val="clear" w:color="auto" w:fill="1B335F"/>
          </w:tcPr>
          <w:p>
            <w:pPr>
              <w:pStyle w:val="TableHead"/>
            </w:pPr>
            <w:r>
              <w:rPr>
                <w:rFonts w:ascii="Arial" w:hAnsi="Arial"/>
                <w:b/>
                <w:color w:val="FFFFFF"/>
                <w:sz w:val="14"/>
              </w:rPr>
              <w:t>PRA (UK)</w:t>
            </w:r>
          </w:p>
        </w:tc>
        <w:tc>
          <w:tcPr>
            <w:tcW w:type="dxa" w:w="1701"/>
            <w:shd w:val="clear" w:color="auto" w:fill="1B335F"/>
          </w:tcPr>
          <w:p>
            <w:pPr>
              <w:pStyle w:val="TableHead"/>
            </w:pPr>
            <w:r>
              <w:rPr>
                <w:rFonts w:ascii="Arial" w:hAnsi="Arial"/>
                <w:b/>
                <w:color w:val="FFFFFF"/>
                <w:sz w:val="14"/>
              </w:rPr>
              <w:t>OSFI (Canada)</w:t>
            </w:r>
          </w:p>
        </w:tc>
        <w:tc>
          <w:tcPr>
            <w:tcW w:type="dxa" w:w="1701"/>
            <w:shd w:val="clear" w:color="auto" w:fill="1B335F"/>
          </w:tcPr>
          <w:p>
            <w:pPr>
              <w:pStyle w:val="TableHead"/>
            </w:pPr>
            <w:r>
              <w:rPr>
                <w:rFonts w:ascii="Arial" w:hAnsi="Arial"/>
                <w:b/>
                <w:color w:val="FFFFFF"/>
                <w:sz w:val="14"/>
              </w:rPr>
              <w:t>ECB / SSM (EU)</w:t>
            </w:r>
          </w:p>
        </w:tc>
        <w:tc>
          <w:tcPr>
            <w:tcW w:type="dxa" w:w="1644"/>
            <w:shd w:val="clear" w:color="auto" w:fill="1B335F"/>
          </w:tcPr>
          <w:p>
            <w:pPr>
              <w:pStyle w:val="TableHead"/>
            </w:pPr>
            <w:r>
              <w:rPr>
                <w:rFonts w:ascii="Arial" w:hAnsi="Arial"/>
                <w:b/>
                <w:color w:val="FFFFFF"/>
                <w:sz w:val="14"/>
              </w:rPr>
              <w:t>MAS (Singapore)</w:t>
            </w:r>
          </w:p>
        </w:tc>
        <w:tc>
          <w:tcPr>
            <w:tcW w:type="dxa" w:w="1531"/>
            <w:shd w:val="clear" w:color="auto" w:fill="1B335F"/>
          </w:tcPr>
          <w:p>
            <w:pPr>
              <w:pStyle w:val="TableHead"/>
            </w:pPr>
            <w:r>
              <w:rPr>
                <w:rFonts w:ascii="Arial" w:hAnsi="Arial"/>
                <w:b/>
                <w:color w:val="FFFFFF"/>
                <w:sz w:val="14"/>
              </w:rPr>
              <w:t>BCBS</w:t>
            </w:r>
          </w:p>
        </w:tc>
        <w:tc>
          <w:tcPr>
            <w:tcW w:type="dxa" w:w="1417"/>
            <w:shd w:val="clear" w:color="auto" w:fill="1B335F"/>
          </w:tcPr>
          <w:p>
            <w:pPr>
              <w:pStyle w:val="TableHead"/>
            </w:pPr>
            <w:r>
              <w:rPr>
                <w:rFonts w:ascii="Arial" w:hAnsi="Arial"/>
                <w:b/>
                <w:color w:val="FFFFFF"/>
                <w:sz w:val="14"/>
              </w:rPr>
              <w:t>FSB</w:t>
            </w:r>
          </w:p>
        </w:tc>
      </w:tr>
      <w:tr>
        <w:tc>
          <w:tcPr>
            <w:tcW w:type="dxa" w:w="1417"/>
          </w:tcPr>
          <w:p>
            <w:pPr>
              <w:pStyle w:val="TableText"/>
            </w:pPr>
            <w:r>
              <w:rPr>
                <w:rFonts w:ascii="Arial" w:hAnsi="Arial"/>
                <w:sz w:val="14"/>
              </w:rPr>
              <w:t>Legal character of the framework</w:t>
            </w:r>
          </w:p>
        </w:tc>
        <w:tc>
          <w:tcPr>
            <w:tcW w:type="dxa" w:w="1757"/>
          </w:tcPr>
          <w:p>
            <w:pPr>
              <w:pStyle w:val="TableText"/>
            </w:pPr>
            <w:r>
              <w:rPr>
                <w:rFonts w:ascii="Arial" w:hAnsi="Arial"/>
                <w:sz w:val="14"/>
              </w:rPr>
              <w:t>Binding cross-industry prudential standard, deliberately enforceable rather than advisory.</w:t>
            </w:r>
          </w:p>
        </w:tc>
        <w:tc>
          <w:tcPr>
            <w:tcW w:type="dxa" w:w="1701"/>
          </w:tcPr>
          <w:p>
            <w:pPr>
              <w:pStyle w:val="TableText"/>
            </w:pPr>
            <w:r>
              <w:rPr>
                <w:rFonts w:ascii="Arial" w:hAnsi="Arial"/>
                <w:sz w:val="14"/>
              </w:rPr>
              <w:t>Supervisory guidance only, expressly non-enforceable; the sole binding instrument makes guidance non-binding.</w:t>
            </w:r>
          </w:p>
        </w:tc>
        <w:tc>
          <w:tcPr>
            <w:tcW w:type="dxa" w:w="1701"/>
          </w:tcPr>
          <w:p>
            <w:pPr>
              <w:pStyle w:val="TableText"/>
            </w:pPr>
            <w:r>
              <w:rPr>
                <w:rFonts w:ascii="Arial" w:hAnsi="Arial"/>
                <w:sz w:val="14"/>
              </w:rPr>
              <w:t>Supervisory statement; expectations, not Rulebook rules.</w:t>
            </w:r>
          </w:p>
        </w:tc>
        <w:tc>
          <w:tcPr>
            <w:tcW w:type="dxa" w:w="1701"/>
          </w:tcPr>
          <w:p>
            <w:pPr>
              <w:pStyle w:val="TableText"/>
            </w:pPr>
            <w:r>
              <w:rPr>
                <w:rFonts w:ascii="Arial" w:hAnsi="Arial"/>
                <w:sz w:val="14"/>
              </w:rPr>
              <w:t>Supervisory guideline; final but not effective until 1 May 2027.</w:t>
            </w:r>
          </w:p>
        </w:tc>
        <w:tc>
          <w:tcPr>
            <w:tcW w:type="dxa" w:w="1701"/>
          </w:tcPr>
          <w:p>
            <w:pPr>
              <w:pStyle w:val="TableText"/>
            </w:pPr>
            <w:r>
              <w:rPr>
                <w:rFonts w:ascii="Arial" w:hAnsi="Arial"/>
                <w:sz w:val="14"/>
              </w:rPr>
              <w:t>Supervisory guide interpreting binding CRR articles; the CRR is the law, the guide is not.</w:t>
            </w:r>
          </w:p>
        </w:tc>
        <w:tc>
          <w:tcPr>
            <w:tcW w:type="dxa" w:w="1644"/>
          </w:tcPr>
          <w:p>
            <w:pPr>
              <w:pStyle w:val="TableText"/>
            </w:pPr>
            <w:r>
              <w:rPr>
                <w:rFonts w:ascii="Arial" w:hAnsi="Arial"/>
                <w:sz w:val="14"/>
              </w:rPr>
              <w:t>Binding Notice for capital models; information paper and voluntary principles for AI.</w:t>
            </w:r>
          </w:p>
        </w:tc>
        <w:tc>
          <w:tcPr>
            <w:tcW w:type="dxa" w:w="1531"/>
          </w:tcPr>
          <w:p>
            <w:pPr>
              <w:pStyle w:val="TableText"/>
            </w:pPr>
            <w:r>
              <w:rPr>
                <w:rFonts w:ascii="Arial" w:hAnsi="Arial"/>
                <w:sz w:val="14"/>
              </w:rPr>
              <w:t>International principles; effect depends on domestic implementation.</w:t>
            </w:r>
          </w:p>
        </w:tc>
        <w:tc>
          <w:tcPr>
            <w:tcW w:type="dxa" w:w="1417"/>
          </w:tcPr>
          <w:p>
            <w:pPr>
              <w:pStyle w:val="TableText"/>
            </w:pPr>
            <w:r>
              <w:rPr>
                <w:rFonts w:ascii="Arial" w:hAnsi="Arial"/>
                <w:sz w:val="14"/>
              </w:rPr>
              <w:t>Analytical and consultative reports; expressly not standards.</w:t>
            </w:r>
          </w:p>
        </w:tc>
      </w:tr>
      <w:tr>
        <w:tc>
          <w:tcPr>
            <w:tcW w:type="dxa" w:w="1417"/>
            <w:shd w:val="clear" w:color="auto" w:fill="F4F6FA"/>
          </w:tcPr>
          <w:p>
            <w:pPr>
              <w:pStyle w:val="TableText"/>
            </w:pPr>
            <w:r>
              <w:rPr>
                <w:rFonts w:ascii="Arial" w:hAnsi="Arial"/>
                <w:sz w:val="14"/>
              </w:rPr>
              <w:t>Definition of a model</w:t>
            </w:r>
          </w:p>
        </w:tc>
        <w:tc>
          <w:tcPr>
            <w:tcW w:type="dxa" w:w="1757"/>
            <w:shd w:val="clear" w:color="auto" w:fill="F4F6FA"/>
          </w:tcPr>
          <w:p>
            <w:pPr>
              <w:pStyle w:val="TableText"/>
            </w:pPr>
            <w:r>
              <w:rPr>
                <w:rFonts w:ascii="Arial" w:hAnsi="Arial"/>
                <w:sz w:val="14"/>
              </w:rPr>
              <w:t>Broad function-based definition capturing deterministic actuarial and pricing calculations, which the US now excludes.</w:t>
            </w:r>
          </w:p>
        </w:tc>
        <w:tc>
          <w:tcPr>
            <w:tcW w:type="dxa" w:w="1701"/>
            <w:shd w:val="clear" w:color="auto" w:fill="F4F6FA"/>
          </w:tcPr>
          <w:p>
            <w:pPr>
              <w:pStyle w:val="TableText"/>
            </w:pPr>
            <w:r>
              <w:rPr>
                <w:rFonts w:ascii="Arial" w:hAnsi="Arial"/>
                <w:sz w:val="14"/>
              </w:rPr>
              <w:t>Narrowed in April 2026 to complex methods applying statistical, economic or financial theories; excludes spreadsheet arithmetic, deterministic rules, and generative and agentic AI.</w:t>
            </w:r>
          </w:p>
        </w:tc>
        <w:tc>
          <w:tcPr>
            <w:tcW w:type="dxa" w:w="1701"/>
            <w:shd w:val="clear" w:color="auto" w:fill="F4F6FA"/>
          </w:tcPr>
          <w:p>
            <w:pPr>
              <w:pStyle w:val="TableText"/>
            </w:pPr>
            <w:r>
              <w:rPr>
                <w:rFonts w:ascii="Arial" w:hAnsi="Arial"/>
                <w:sz w:val="14"/>
              </w:rPr>
              <w:t>Principle 1.1(a) sets out a definition firms should adopt as the basis for the scope of their framework, and expects consideration of quantitative methods falling outside it.</w:t>
            </w:r>
          </w:p>
        </w:tc>
        <w:tc>
          <w:tcPr>
            <w:tcW w:type="dxa" w:w="1701"/>
            <w:shd w:val="clear" w:color="auto" w:fill="F4F6FA"/>
          </w:tcPr>
          <w:p>
            <w:pPr>
              <w:pStyle w:val="TableText"/>
            </w:pPr>
            <w:r>
              <w:rPr>
                <w:rFonts w:ascii="Arial" w:hAnsi="Arial"/>
                <w:sz w:val="14"/>
              </w:rPr>
              <w:t>Model definition expressly includes AI and machine learning.</w:t>
            </w:r>
          </w:p>
        </w:tc>
        <w:tc>
          <w:tcPr>
            <w:tcW w:type="dxa" w:w="1701"/>
            <w:shd w:val="clear" w:color="auto" w:fill="F4F6FA"/>
          </w:tcPr>
          <w:p>
            <w:pPr>
              <w:pStyle w:val="TableText"/>
            </w:pPr>
            <w:r>
              <w:rPr>
                <w:rFonts w:ascii="Arial" w:hAnsi="Arial"/>
                <w:sz w:val="14"/>
              </w:rPr>
              <w:t>Internal models for regulatory capital; machine learning addressed as a technique within them.</w:t>
            </w:r>
          </w:p>
        </w:tc>
        <w:tc>
          <w:tcPr>
            <w:tcW w:type="dxa" w:w="1644"/>
            <w:shd w:val="clear" w:color="auto" w:fill="F4F6FA"/>
          </w:tcPr>
          <w:p>
            <w:pPr>
              <w:pStyle w:val="TableText"/>
            </w:pPr>
            <w:r>
              <w:rPr>
                <w:rFonts w:ascii="Arial" w:hAnsi="Arial"/>
                <w:sz w:val="14"/>
              </w:rPr>
              <w:t>Capital models defined in Notice 637; AI models addressed separately.</w:t>
            </w:r>
          </w:p>
        </w:tc>
        <w:tc>
          <w:tcPr>
            <w:tcW w:type="dxa" w:w="1531"/>
            <w:shd w:val="clear" w:color="auto" w:fill="F4F6FA"/>
          </w:tcPr>
          <w:p>
            <w:pPr>
              <w:pStyle w:val="TableText"/>
            </w:pPr>
            <w:r>
              <w:rPr>
                <w:rFonts w:ascii="Arial" w:hAnsi="Arial"/>
                <w:sz w:val="14"/>
              </w:rPr>
              <w:t>No general definition; BCBS 239 addresses risk data rather than models.</w:t>
            </w:r>
          </w:p>
        </w:tc>
        <w:tc>
          <w:tcPr>
            <w:tcW w:type="dxa" w:w="1417"/>
            <w:shd w:val="clear" w:color="auto" w:fill="F4F6FA"/>
          </w:tcPr>
          <w:p>
            <w:pPr>
              <w:pStyle w:val="TableText"/>
            </w:pPr>
            <w:r>
              <w:rPr>
                <w:rFonts w:ascii="Arial" w:hAnsi="Arial"/>
                <w:sz w:val="14"/>
              </w:rPr>
              <w:t>Uses the OECD AI definition rather than a model definition.</w:t>
            </w:r>
          </w:p>
        </w:tc>
      </w:tr>
      <w:tr>
        <w:tc>
          <w:tcPr>
            <w:tcW w:type="dxa" w:w="1417"/>
          </w:tcPr>
          <w:p>
            <w:pPr>
              <w:pStyle w:val="TableText"/>
            </w:pPr>
            <w:r>
              <w:rPr>
                <w:rFonts w:ascii="Arial" w:hAnsi="Arial"/>
                <w:sz w:val="14"/>
              </w:rPr>
              <w:t>Non-model quantitative tools</w:t>
            </w:r>
          </w:p>
        </w:tc>
        <w:tc>
          <w:tcPr>
            <w:tcW w:type="dxa" w:w="1757"/>
          </w:tcPr>
          <w:p>
            <w:pPr>
              <w:pStyle w:val="TableText"/>
            </w:pPr>
            <w:r>
              <w:rPr>
                <w:rFonts w:ascii="Arial" w:hAnsi="Arial"/>
                <w:sz w:val="14"/>
              </w:rPr>
              <w:t>Express requirement to identify material tools outside the definition and control them proportionately.</w:t>
            </w:r>
          </w:p>
        </w:tc>
        <w:tc>
          <w:tcPr>
            <w:tcW w:type="dxa" w:w="1701"/>
          </w:tcPr>
          <w:p>
            <w:pPr>
              <w:pStyle w:val="TableText"/>
            </w:pPr>
            <w:r>
              <w:rPr>
                <w:rFonts w:ascii="Arial" w:hAnsi="Arial"/>
                <w:sz w:val="14"/>
              </w:rPr>
              <w:t>Expressly excluded from the model definition; no control obligation stated in the 2026 guidance.</w:t>
            </w:r>
          </w:p>
        </w:tc>
        <w:tc>
          <w:tcPr>
            <w:tcW w:type="dxa" w:w="1701"/>
          </w:tcPr>
          <w:p>
            <w:pPr>
              <w:pStyle w:val="TableText"/>
            </w:pPr>
            <w:r>
              <w:rPr>
                <w:rFonts w:ascii="Arial" w:hAnsi="Arial"/>
                <w:sz w:val="14"/>
              </w:rPr>
              <w:t>Principle 1.1 expects firms to consider quantitative methods falling outside the model definition.</w:t>
            </w:r>
          </w:p>
        </w:tc>
        <w:tc>
          <w:tcPr>
            <w:tcW w:type="dxa" w:w="1701"/>
          </w:tcPr>
          <w:p>
            <w:pPr>
              <w:pStyle w:val="TableText"/>
            </w:pPr>
            <w:r>
              <w:rPr>
                <w:rFonts w:ascii="Arial" w:hAnsi="Arial"/>
                <w:sz w:val="14"/>
              </w:rPr>
              <w:t>Addressed through the risk-based approach.</w:t>
            </w:r>
          </w:p>
        </w:tc>
        <w:tc>
          <w:tcPr>
            <w:tcW w:type="dxa" w:w="1701"/>
          </w:tcPr>
          <w:p>
            <w:pPr>
              <w:pStyle w:val="TableText"/>
            </w:pPr>
            <w:r>
              <w:rPr>
                <w:rFonts w:ascii="Arial" w:hAnsi="Arial"/>
                <w:sz w:val="14"/>
              </w:rPr>
              <w:t>Not separately addressed.</w:t>
            </w:r>
          </w:p>
        </w:tc>
        <w:tc>
          <w:tcPr>
            <w:tcW w:type="dxa" w:w="1644"/>
          </w:tcPr>
          <w:p>
            <w:pPr>
              <w:pStyle w:val="TableText"/>
            </w:pPr>
            <w:r>
              <w:rPr>
                <w:rFonts w:ascii="Arial" w:hAnsi="Arial"/>
                <w:sz w:val="14"/>
              </w:rPr>
              <w:t>Not separately addressed.</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Not addressed.</w:t>
            </w:r>
          </w:p>
        </w:tc>
      </w:tr>
      <w:tr>
        <w:tc>
          <w:tcPr>
            <w:tcW w:type="dxa" w:w="1417"/>
            <w:shd w:val="clear" w:color="auto" w:fill="F4F6FA"/>
          </w:tcPr>
          <w:p>
            <w:pPr>
              <w:pStyle w:val="TableText"/>
            </w:pPr>
            <w:r>
              <w:rPr>
                <w:rFonts w:ascii="Arial" w:hAnsi="Arial"/>
                <w:sz w:val="14"/>
              </w:rPr>
              <w:t>Enterprise-wide scope</w:t>
            </w:r>
          </w:p>
        </w:tc>
        <w:tc>
          <w:tcPr>
            <w:tcW w:type="dxa" w:w="1757"/>
            <w:shd w:val="clear" w:color="auto" w:fill="F4F6FA"/>
          </w:tcPr>
          <w:p>
            <w:pPr>
              <w:pStyle w:val="TableText"/>
            </w:pPr>
            <w:r>
              <w:rPr>
                <w:rFonts w:ascii="Arial" w:hAnsi="Arial"/>
                <w:sz w:val="14"/>
              </w:rPr>
              <w:t>Enterprise-wide across all models, all business lines and all APRA-regulated industries.</w:t>
            </w:r>
          </w:p>
        </w:tc>
        <w:tc>
          <w:tcPr>
            <w:tcW w:type="dxa" w:w="1701"/>
            <w:shd w:val="clear" w:color="auto" w:fill="F4F6FA"/>
          </w:tcPr>
          <w:p>
            <w:pPr>
              <w:pStyle w:val="TableText"/>
            </w:pPr>
            <w:r>
              <w:rPr>
                <w:rFonts w:ascii="Arial" w:hAnsi="Arial"/>
                <w:sz w:val="14"/>
              </w:rPr>
              <w:t>Applies across the organisation; most relevant above $30bn total assets.</w:t>
            </w:r>
          </w:p>
        </w:tc>
        <w:tc>
          <w:tcPr>
            <w:tcW w:type="dxa" w:w="1701"/>
            <w:shd w:val="clear" w:color="auto" w:fill="F4F6FA"/>
          </w:tcPr>
          <w:p>
            <w:pPr>
              <w:pStyle w:val="TableText"/>
            </w:pPr>
            <w:r>
              <w:rPr>
                <w:rFonts w:ascii="Arial" w:hAnsi="Arial"/>
                <w:sz w:val="14"/>
              </w:rPr>
              <w:t>Enterprise-wide, but only for firms with internal model approval.</w:t>
            </w:r>
          </w:p>
        </w:tc>
        <w:tc>
          <w:tcPr>
            <w:tcW w:type="dxa" w:w="1701"/>
            <w:shd w:val="clear" w:color="auto" w:fill="F4F6FA"/>
          </w:tcPr>
          <w:p>
            <w:pPr>
              <w:pStyle w:val="TableText"/>
            </w:pPr>
            <w:r>
              <w:rPr>
                <w:rFonts w:ascii="Arial" w:hAnsi="Arial"/>
                <w:sz w:val="14"/>
              </w:rPr>
              <w:t>Enterprise-wide across all models regardless of source or purpose.</w:t>
            </w:r>
          </w:p>
        </w:tc>
        <w:tc>
          <w:tcPr>
            <w:tcW w:type="dxa" w:w="1701"/>
            <w:shd w:val="clear" w:color="auto" w:fill="F4F6FA"/>
          </w:tcPr>
          <w:p>
            <w:pPr>
              <w:pStyle w:val="TableText"/>
            </w:pPr>
            <w:r>
              <w:rPr>
                <w:rFonts w:ascii="Arial" w:hAnsi="Arial"/>
                <w:sz w:val="14"/>
              </w:rPr>
              <w:t>Limited to internal models used for regulatory capital.</w:t>
            </w:r>
          </w:p>
        </w:tc>
        <w:tc>
          <w:tcPr>
            <w:tcW w:type="dxa" w:w="1644"/>
            <w:shd w:val="clear" w:color="auto" w:fill="F4F6FA"/>
          </w:tcPr>
          <w:p>
            <w:pPr>
              <w:pStyle w:val="TableText"/>
            </w:pPr>
            <w:r>
              <w:rPr>
                <w:rFonts w:ascii="Arial" w:hAnsi="Arial"/>
                <w:sz w:val="14"/>
              </w:rPr>
              <w:t>Capital models; AI practices observed more broadly.</w:t>
            </w:r>
          </w:p>
        </w:tc>
        <w:tc>
          <w:tcPr>
            <w:tcW w:type="dxa" w:w="1531"/>
            <w:shd w:val="clear" w:color="auto" w:fill="F4F6FA"/>
          </w:tcPr>
          <w:p>
            <w:pPr>
              <w:pStyle w:val="TableText"/>
            </w:pPr>
            <w:r>
              <w:rPr>
                <w:rFonts w:ascii="Arial" w:hAnsi="Arial"/>
                <w:sz w:val="14"/>
              </w:rPr>
              <w:t>Not applicable.</w:t>
            </w:r>
          </w:p>
        </w:tc>
        <w:tc>
          <w:tcPr>
            <w:tcW w:type="dxa" w:w="1417"/>
            <w:shd w:val="clear" w:color="auto" w:fill="F4F6FA"/>
          </w:tcPr>
          <w:p>
            <w:pPr>
              <w:pStyle w:val="TableText"/>
            </w:pPr>
            <w:r>
              <w:rPr>
                <w:rFonts w:ascii="Arial" w:hAnsi="Arial"/>
                <w:sz w:val="14"/>
              </w:rPr>
              <w:t>Not applicable.</w:t>
            </w:r>
          </w:p>
        </w:tc>
      </w:tr>
      <w:tr>
        <w:tc>
          <w:tcPr>
            <w:tcW w:type="dxa" w:w="1417"/>
          </w:tcPr>
          <w:p>
            <w:pPr>
              <w:pStyle w:val="TableText"/>
            </w:pPr>
            <w:r>
              <w:rPr>
                <w:rFonts w:ascii="Arial" w:hAnsi="Arial"/>
                <w:sz w:val="14"/>
              </w:rPr>
              <w:t>Proportionality</w:t>
            </w:r>
          </w:p>
        </w:tc>
        <w:tc>
          <w:tcPr>
            <w:tcW w:type="dxa" w:w="1757"/>
          </w:tcPr>
          <w:p>
            <w:pPr>
              <w:pStyle w:val="TableText"/>
            </w:pPr>
            <w:r>
              <w:rPr>
                <w:rFonts w:ascii="Arial" w:hAnsi="Arial"/>
                <w:sz w:val="14"/>
              </w:rPr>
              <w:t>Proportionate by tier, with exceptions documented, time-bound, approved and reviewed.</w:t>
            </w:r>
          </w:p>
        </w:tc>
        <w:tc>
          <w:tcPr>
            <w:tcW w:type="dxa" w:w="1701"/>
          </w:tcPr>
          <w:p>
            <w:pPr>
              <w:pStyle w:val="TableText"/>
            </w:pPr>
            <w:r>
              <w:rPr>
                <w:rFonts w:ascii="Arial" w:hAnsi="Arial"/>
                <w:sz w:val="14"/>
              </w:rPr>
              <w:t>Risk-based; a 2025 bulletin confirms community banks need not validate annually.</w:t>
            </w:r>
          </w:p>
        </w:tc>
        <w:tc>
          <w:tcPr>
            <w:tcW w:type="dxa" w:w="1701"/>
          </w:tcPr>
          <w:p>
            <w:pPr>
              <w:pStyle w:val="TableText"/>
            </w:pPr>
            <w:r>
              <w:rPr>
                <w:rFonts w:ascii="Arial" w:hAnsi="Arial"/>
                <w:sz w:val="14"/>
              </w:rPr>
              <w:t>Tiering drives control intensity.</w:t>
            </w:r>
          </w:p>
        </w:tc>
        <w:tc>
          <w:tcPr>
            <w:tcW w:type="dxa" w:w="1701"/>
          </w:tcPr>
          <w:p>
            <w:pPr>
              <w:pStyle w:val="TableText"/>
            </w:pPr>
            <w:r>
              <w:rPr>
                <w:rFonts w:ascii="Arial" w:hAnsi="Arial"/>
                <w:sz w:val="14"/>
              </w:rPr>
              <w:t>Scope, scale and intensity commensurate with model risk (Principle 2.3).</w:t>
            </w:r>
          </w:p>
        </w:tc>
        <w:tc>
          <w:tcPr>
            <w:tcW w:type="dxa" w:w="1701"/>
          </w:tcPr>
          <w:p>
            <w:pPr>
              <w:pStyle w:val="TableText"/>
            </w:pPr>
            <w:r>
              <w:rPr>
                <w:rFonts w:ascii="Arial" w:hAnsi="Arial"/>
                <w:sz w:val="14"/>
              </w:rPr>
              <w:t>Materiality of the model within the capital framework.</w:t>
            </w:r>
          </w:p>
        </w:tc>
        <w:tc>
          <w:tcPr>
            <w:tcW w:type="dxa" w:w="1644"/>
          </w:tcPr>
          <w:p>
            <w:pPr>
              <w:pStyle w:val="TableText"/>
            </w:pPr>
            <w:r>
              <w:rPr>
                <w:rFonts w:ascii="Arial" w:hAnsi="Arial"/>
                <w:sz w:val="14"/>
              </w:rPr>
              <w:t>Risk materiality drives control intensity.</w:t>
            </w:r>
          </w:p>
        </w:tc>
        <w:tc>
          <w:tcPr>
            <w:tcW w:type="dxa" w:w="1531"/>
          </w:tcPr>
          <w:p>
            <w:pPr>
              <w:pStyle w:val="TableText"/>
            </w:pPr>
            <w:r>
              <w:rPr>
                <w:rFonts w:ascii="Arial" w:hAnsi="Arial"/>
                <w:sz w:val="14"/>
              </w:rPr>
              <w:t>Principles applied proportionately.</w:t>
            </w:r>
          </w:p>
        </w:tc>
        <w:tc>
          <w:tcPr>
            <w:tcW w:type="dxa" w:w="1417"/>
          </w:tcPr>
          <w:p>
            <w:pPr>
              <w:pStyle w:val="TableText"/>
            </w:pPr>
            <w:r>
              <w:rPr>
                <w:rFonts w:ascii="Arial" w:hAnsi="Arial"/>
                <w:sz w:val="14"/>
              </w:rPr>
              <w:t>Explicit proportionality by institution and use-case materiality.</w:t>
            </w:r>
          </w:p>
        </w:tc>
      </w:tr>
      <w:tr>
        <w:tc>
          <w:tcPr>
            <w:tcW w:type="dxa" w:w="1417"/>
            <w:shd w:val="clear" w:color="auto" w:fill="F4F6FA"/>
          </w:tcPr>
          <w:p>
            <w:pPr>
              <w:pStyle w:val="TableText"/>
            </w:pPr>
            <w:r>
              <w:rPr>
                <w:rFonts w:ascii="Arial" w:hAnsi="Arial"/>
                <w:sz w:val="14"/>
              </w:rPr>
              <w:t>De minimis and scope relief</w:t>
            </w:r>
          </w:p>
        </w:tc>
        <w:tc>
          <w:tcPr>
            <w:tcW w:type="dxa" w:w="1757"/>
            <w:shd w:val="clear" w:color="auto" w:fill="F4F6FA"/>
          </w:tcPr>
          <w:p>
            <w:pPr>
              <w:pStyle w:val="TableText"/>
            </w:pPr>
            <w:r>
              <w:rPr>
                <w:rFonts w:ascii="Arial" w:hAnsi="Arial"/>
                <w:sz w:val="14"/>
              </w:rPr>
              <w:t>Express de minimis determination at model level, confined to identification, inventory, ownership, classification and reassessment, with prohibited classes, an aggregate test and an anti-disaggregation limb.</w:t>
            </w:r>
          </w:p>
        </w:tc>
        <w:tc>
          <w:tcPr>
            <w:tcW w:type="dxa" w:w="1701"/>
            <w:shd w:val="clear" w:color="auto" w:fill="F4F6FA"/>
          </w:tcPr>
          <w:p>
            <w:pPr>
              <w:pStyle w:val="TableText"/>
            </w:pPr>
            <w:r>
              <w:rPr>
                <w:rFonts w:ascii="Arial" w:hAnsi="Arial"/>
                <w:sz w:val="14"/>
              </w:rPr>
              <w:t>Models deemed immaterial may attract only identification and monitoring of the conditions under which their use could become material; the guidance also applies mainly above a $30bn entity threshold.</w:t>
            </w:r>
          </w:p>
        </w:tc>
        <w:tc>
          <w:tcPr>
            <w:tcW w:type="dxa" w:w="1701"/>
            <w:shd w:val="clear" w:color="auto" w:fill="F4F6FA"/>
          </w:tcPr>
          <w:p>
            <w:pPr>
              <w:pStyle w:val="TableText"/>
            </w:pPr>
            <w:r>
              <w:rPr>
                <w:rFonts w:ascii="Arial" w:hAnsi="Arial"/>
                <w:sz w:val="14"/>
              </w:rPr>
              <w:t>Tiering determines control intensity; no separate de minimis category.</w:t>
            </w:r>
          </w:p>
        </w:tc>
        <w:tc>
          <w:tcPr>
            <w:tcW w:type="dxa" w:w="1701"/>
            <w:shd w:val="clear" w:color="auto" w:fill="F4F6FA"/>
          </w:tcPr>
          <w:p>
            <w:pPr>
              <w:pStyle w:val="TableText"/>
            </w:pPr>
            <w:r>
              <w:rPr>
                <w:rFonts w:ascii="Arial" w:hAnsi="Arial"/>
                <w:sz w:val="14"/>
              </w:rPr>
              <w:t>Principle 2.3 scales scope, scale and intensity to model risk, but Principle 2.1 keeps all models within identification.</w:t>
            </w:r>
          </w:p>
        </w:tc>
        <w:tc>
          <w:tcPr>
            <w:tcW w:type="dxa" w:w="1701"/>
            <w:shd w:val="clear" w:color="auto" w:fill="F4F6FA"/>
          </w:tcPr>
          <w:p>
            <w:pPr>
              <w:pStyle w:val="TableText"/>
            </w:pPr>
            <w:r>
              <w:rPr>
                <w:rFonts w:ascii="Arial" w:hAnsi="Arial"/>
                <w:sz w:val="14"/>
              </w:rPr>
              <w:t>Materiality assessment within the internal model framework; no de minimis category.</w:t>
            </w:r>
          </w:p>
        </w:tc>
        <w:tc>
          <w:tcPr>
            <w:tcW w:type="dxa" w:w="1644"/>
            <w:shd w:val="clear" w:color="auto" w:fill="F4F6FA"/>
          </w:tcPr>
          <w:p>
            <w:pPr>
              <w:pStyle w:val="TableText"/>
            </w:pPr>
            <w:r>
              <w:rPr>
                <w:rFonts w:ascii="Arial" w:hAnsi="Arial"/>
                <w:sz w:val="14"/>
              </w:rPr>
              <w:t>Risk materiality drives control intensity.</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Proportionality by use-case materiality.</w:t>
            </w:r>
          </w:p>
        </w:tc>
      </w:tr>
      <w:tr>
        <w:tc>
          <w:tcPr>
            <w:tcW w:type="dxa" w:w="1417"/>
          </w:tcPr>
          <w:p>
            <w:pPr>
              <w:pStyle w:val="TableText"/>
            </w:pPr>
            <w:r>
              <w:rPr>
                <w:rFonts w:ascii="Arial" w:hAnsi="Arial"/>
                <w:sz w:val="14"/>
              </w:rPr>
              <w:t>Model inventory</w:t>
            </w:r>
          </w:p>
        </w:tc>
        <w:tc>
          <w:tcPr>
            <w:tcW w:type="dxa" w:w="1757"/>
          </w:tcPr>
          <w:p>
            <w:pPr>
              <w:pStyle w:val="TableText"/>
            </w:pPr>
            <w:r>
              <w:rPr>
                <w:rFonts w:ascii="Arial" w:hAnsi="Arial"/>
                <w:sz w:val="14"/>
              </w:rPr>
              <w:t>Complete, current, controlled enterprise inventory including embedded, third-party and recently decommissioned models, with minimum fields prescribed.</w:t>
            </w:r>
          </w:p>
        </w:tc>
        <w:tc>
          <w:tcPr>
            <w:tcW w:type="dxa" w:w="1701"/>
          </w:tcPr>
          <w:p>
            <w:pPr>
              <w:pStyle w:val="TableText"/>
            </w:pPr>
            <w:r>
              <w:rPr>
                <w:rFonts w:ascii="Arial" w:hAnsi="Arial"/>
                <w:sz w:val="14"/>
              </w:rPr>
              <w:t>Described as common industry practice rather than an expectation.</w:t>
            </w:r>
          </w:p>
        </w:tc>
        <w:tc>
          <w:tcPr>
            <w:tcW w:type="dxa" w:w="1701"/>
          </w:tcPr>
          <w:p>
            <w:pPr>
              <w:pStyle w:val="TableText"/>
            </w:pPr>
            <w:r>
              <w:rPr>
                <w:rFonts w:ascii="Arial" w:hAnsi="Arial"/>
                <w:sz w:val="14"/>
              </w:rPr>
              <w:t>Principle 1.2 requires a model inventory.</w:t>
            </w:r>
          </w:p>
        </w:tc>
        <w:tc>
          <w:tcPr>
            <w:tcW w:type="dxa" w:w="1701"/>
          </w:tcPr>
          <w:p>
            <w:pPr>
              <w:pStyle w:val="TableText"/>
            </w:pPr>
            <w:r>
              <w:rPr>
                <w:rFonts w:ascii="Arial" w:hAnsi="Arial"/>
                <w:sz w:val="14"/>
              </w:rPr>
              <w:t>Principle 2.1 requires identification and tracking of all models in use or recently decommissioned.</w:t>
            </w:r>
          </w:p>
        </w:tc>
        <w:tc>
          <w:tcPr>
            <w:tcW w:type="dxa" w:w="1701"/>
          </w:tcPr>
          <w:p>
            <w:pPr>
              <w:pStyle w:val="TableText"/>
            </w:pPr>
            <w:r>
              <w:rPr>
                <w:rFonts w:ascii="Arial" w:hAnsi="Arial"/>
                <w:sz w:val="14"/>
              </w:rPr>
              <w:t>Model register expected for internal models.</w:t>
            </w:r>
          </w:p>
        </w:tc>
        <w:tc>
          <w:tcPr>
            <w:tcW w:type="dxa" w:w="1644"/>
          </w:tcPr>
          <w:p>
            <w:pPr>
              <w:pStyle w:val="TableText"/>
            </w:pPr>
            <w:r>
              <w:rPr>
                <w:rFonts w:ascii="Arial" w:hAnsi="Arial"/>
                <w:sz w:val="14"/>
              </w:rPr>
              <w:t>Expected for capital models; inventories observed in AI practice.</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Documentation of AI identified as a sound practice.</w:t>
            </w:r>
          </w:p>
        </w:tc>
      </w:tr>
      <w:tr>
        <w:tc>
          <w:tcPr>
            <w:tcW w:type="dxa" w:w="1417"/>
            <w:shd w:val="clear" w:color="auto" w:fill="F4F6FA"/>
          </w:tcPr>
          <w:p>
            <w:pPr>
              <w:pStyle w:val="TableText"/>
            </w:pPr>
            <w:r>
              <w:rPr>
                <w:rFonts w:ascii="Arial" w:hAnsi="Arial"/>
                <w:sz w:val="14"/>
              </w:rPr>
              <w:t>Risk tiering</w:t>
            </w:r>
          </w:p>
        </w:tc>
        <w:tc>
          <w:tcPr>
            <w:tcW w:type="dxa" w:w="1757"/>
            <w:shd w:val="clear" w:color="auto" w:fill="F4F6FA"/>
          </w:tcPr>
          <w:p>
            <w:pPr>
              <w:pStyle w:val="TableText"/>
            </w:pPr>
            <w:r>
              <w:rPr>
                <w:rFonts w:ascii="Arial" w:hAnsi="Arial"/>
                <w:sz w:val="14"/>
              </w:rPr>
              <w:t>Documented tiering on quantitative and qualitative factors, driving validation, monitoring, approval and reporting intensity.</w:t>
            </w:r>
          </w:p>
        </w:tc>
        <w:tc>
          <w:tcPr>
            <w:tcW w:type="dxa" w:w="1701"/>
            <w:shd w:val="clear" w:color="auto" w:fill="F4F6FA"/>
          </w:tcPr>
          <w:p>
            <w:pPr>
              <w:pStyle w:val="TableText"/>
            </w:pPr>
            <w:r>
              <w:rPr>
                <w:rFonts w:ascii="Arial" w:hAnsi="Arial"/>
                <w:sz w:val="14"/>
              </w:rPr>
              <w:t>Model risk framed as inherent risk in the context of materiality, itself a function of exposure and purpose.</w:t>
            </w:r>
          </w:p>
        </w:tc>
        <w:tc>
          <w:tcPr>
            <w:tcW w:type="dxa" w:w="1701"/>
            <w:shd w:val="clear" w:color="auto" w:fill="F4F6FA"/>
          </w:tcPr>
          <w:p>
            <w:pPr>
              <w:pStyle w:val="TableText"/>
            </w:pPr>
            <w:r>
              <w:rPr>
                <w:rFonts w:ascii="Arial" w:hAnsi="Arial"/>
                <w:sz w:val="14"/>
              </w:rPr>
              <w:t>Principle 1.3 model tiering.</w:t>
            </w:r>
          </w:p>
        </w:tc>
        <w:tc>
          <w:tcPr>
            <w:tcW w:type="dxa" w:w="1701"/>
            <w:shd w:val="clear" w:color="auto" w:fill="F4F6FA"/>
          </w:tcPr>
          <w:p>
            <w:pPr>
              <w:pStyle w:val="TableText"/>
            </w:pPr>
            <w:r>
              <w:rPr>
                <w:rFonts w:ascii="Arial" w:hAnsi="Arial"/>
                <w:sz w:val="14"/>
              </w:rPr>
              <w:t>Principle 2.2 requires a model risk rating approach assessing key dimensions.</w:t>
            </w:r>
          </w:p>
        </w:tc>
        <w:tc>
          <w:tcPr>
            <w:tcW w:type="dxa" w:w="1701"/>
            <w:shd w:val="clear" w:color="auto" w:fill="F4F6FA"/>
          </w:tcPr>
          <w:p>
            <w:pPr>
              <w:pStyle w:val="TableText"/>
            </w:pPr>
            <w:r>
              <w:rPr>
                <w:rFonts w:ascii="Arial" w:hAnsi="Arial"/>
                <w:sz w:val="14"/>
              </w:rPr>
              <w:t>Materiality assessment within the internal model framework.</w:t>
            </w:r>
          </w:p>
        </w:tc>
        <w:tc>
          <w:tcPr>
            <w:tcW w:type="dxa" w:w="1644"/>
            <w:shd w:val="clear" w:color="auto" w:fill="F4F6FA"/>
          </w:tcPr>
          <w:p>
            <w:pPr>
              <w:pStyle w:val="TableText"/>
            </w:pPr>
            <w:r>
              <w:rPr>
                <w:rFonts w:ascii="Arial" w:hAnsi="Arial"/>
                <w:sz w:val="14"/>
              </w:rPr>
              <w:t>Risk materiality assessment central to AI control intensity.</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Materiality and risk assessment at inception and thereafter.</w:t>
            </w:r>
          </w:p>
        </w:tc>
      </w:tr>
      <w:tr>
        <w:tc>
          <w:tcPr>
            <w:tcW w:type="dxa" w:w="1417"/>
          </w:tcPr>
          <w:p>
            <w:pPr>
              <w:pStyle w:val="TableText"/>
            </w:pPr>
            <w:r>
              <w:rPr>
                <w:rFonts w:ascii="Arial" w:hAnsi="Arial"/>
                <w:sz w:val="14"/>
              </w:rPr>
              <w:t>Board and senior accountability</w:t>
            </w:r>
          </w:p>
        </w:tc>
        <w:tc>
          <w:tcPr>
            <w:tcW w:type="dxa" w:w="1757"/>
          </w:tcPr>
          <w:p>
            <w:pPr>
              <w:pStyle w:val="TableText"/>
            </w:pPr>
            <w:r>
              <w:rPr>
                <w:rFonts w:ascii="Arial" w:hAnsi="Arial"/>
                <w:sz w:val="14"/>
              </w:rPr>
              <w:t>Board approves the framework and appetite; a named senior executive is accountable for the framework; every model has a named owner.</w:t>
            </w:r>
          </w:p>
        </w:tc>
        <w:tc>
          <w:tcPr>
            <w:tcW w:type="dxa" w:w="1701"/>
          </w:tcPr>
          <w:p>
            <w:pPr>
              <w:pStyle w:val="TableText"/>
            </w:pPr>
            <w:r>
              <w:rPr>
                <w:rFonts w:ascii="Arial" w:hAnsi="Arial"/>
                <w:sz w:val="14"/>
              </w:rPr>
              <w:t>Roles and responsibilities with defined accountability, including conflicts between development and validation.</w:t>
            </w:r>
          </w:p>
        </w:tc>
        <w:tc>
          <w:tcPr>
            <w:tcW w:type="dxa" w:w="1701"/>
          </w:tcPr>
          <w:p>
            <w:pPr>
              <w:pStyle w:val="TableText"/>
            </w:pPr>
            <w:r>
              <w:rPr>
                <w:rFonts w:ascii="Arial" w:hAnsi="Arial"/>
                <w:sz w:val="14"/>
              </w:rPr>
              <w:t>Principle 2.1 Board responsibilities and 2.2 SMF accountability for the framework.</w:t>
            </w:r>
          </w:p>
        </w:tc>
        <w:tc>
          <w:tcPr>
            <w:tcW w:type="dxa" w:w="1701"/>
          </w:tcPr>
          <w:p>
            <w:pPr>
              <w:pStyle w:val="TableText"/>
            </w:pPr>
            <w:r>
              <w:rPr>
                <w:rFonts w:ascii="Arial" w:hAnsi="Arial"/>
                <w:sz w:val="14"/>
              </w:rPr>
              <w:t>Principle 1.1 on reporting structures and resourcing.</w:t>
            </w:r>
          </w:p>
        </w:tc>
        <w:tc>
          <w:tcPr>
            <w:tcW w:type="dxa" w:w="1701"/>
          </w:tcPr>
          <w:p>
            <w:pPr>
              <w:pStyle w:val="TableText"/>
            </w:pPr>
            <w:r>
              <w:rPr>
                <w:rFonts w:ascii="Arial" w:hAnsi="Arial"/>
                <w:sz w:val="14"/>
              </w:rPr>
              <w:t>Section 5 identification of management body and senior management.</w:t>
            </w:r>
          </w:p>
        </w:tc>
        <w:tc>
          <w:tcPr>
            <w:tcW w:type="dxa" w:w="1644"/>
          </w:tcPr>
          <w:p>
            <w:pPr>
              <w:pStyle w:val="TableText"/>
            </w:pPr>
            <w:r>
              <w:rPr>
                <w:rFonts w:ascii="Arial" w:hAnsi="Arial"/>
                <w:sz w:val="14"/>
              </w:rPr>
              <w:t>Board and senior management oversight in observed AI practice.</w:t>
            </w:r>
          </w:p>
        </w:tc>
        <w:tc>
          <w:tcPr>
            <w:tcW w:type="dxa" w:w="1531"/>
          </w:tcPr>
          <w:p>
            <w:pPr>
              <w:pStyle w:val="TableText"/>
            </w:pPr>
            <w:r>
              <w:rPr>
                <w:rFonts w:ascii="Arial" w:hAnsi="Arial"/>
                <w:sz w:val="14"/>
              </w:rPr>
              <w:t>Governance is BCBS 239 Principle 1.</w:t>
            </w:r>
          </w:p>
        </w:tc>
        <w:tc>
          <w:tcPr>
            <w:tcW w:type="dxa" w:w="1417"/>
          </w:tcPr>
          <w:p>
            <w:pPr>
              <w:pStyle w:val="TableText"/>
            </w:pPr>
            <w:r>
              <w:rPr>
                <w:rFonts w:ascii="Arial" w:hAnsi="Arial"/>
                <w:sz w:val="14"/>
              </w:rPr>
              <w:t>Sound Practices 1 and 2 on strategic direction, oversight, governance and accountability.</w:t>
            </w:r>
          </w:p>
        </w:tc>
      </w:tr>
      <w:tr>
        <w:tc>
          <w:tcPr>
            <w:tcW w:type="dxa" w:w="1417"/>
            <w:shd w:val="clear" w:color="auto" w:fill="F4F6FA"/>
          </w:tcPr>
          <w:p>
            <w:pPr>
              <w:pStyle w:val="TableText"/>
            </w:pPr>
            <w:r>
              <w:rPr>
                <w:rFonts w:ascii="Arial" w:hAnsi="Arial"/>
                <w:sz w:val="14"/>
              </w:rPr>
              <w:t>Development and conceptual soundness</w:t>
            </w:r>
          </w:p>
        </w:tc>
        <w:tc>
          <w:tcPr>
            <w:tcW w:type="dxa" w:w="1757"/>
            <w:shd w:val="clear" w:color="auto" w:fill="F4F6FA"/>
          </w:tcPr>
          <w:p>
            <w:pPr>
              <w:pStyle w:val="TableText"/>
            </w:pPr>
            <w:r>
              <w:rPr>
                <w:rFonts w:ascii="Arial" w:hAnsi="Arial"/>
                <w:sz w:val="14"/>
              </w:rPr>
              <w:t>Documented development standards, conceptual soundness, consideration of alternatives, and recorded limitations for all material models.</w:t>
            </w:r>
          </w:p>
        </w:tc>
        <w:tc>
          <w:tcPr>
            <w:tcW w:type="dxa" w:w="1701"/>
            <w:shd w:val="clear" w:color="auto" w:fill="F4F6FA"/>
          </w:tcPr>
          <w:p>
            <w:pPr>
              <w:pStyle w:val="TableText"/>
            </w:pPr>
            <w:r>
              <w:rPr>
                <w:rFonts w:ascii="Arial" w:hAnsi="Arial"/>
                <w:sz w:val="14"/>
              </w:rPr>
              <w:t>Section IV on model development, including purpose statement, user input and testing.</w:t>
            </w:r>
          </w:p>
        </w:tc>
        <w:tc>
          <w:tcPr>
            <w:tcW w:type="dxa" w:w="1701"/>
            <w:shd w:val="clear" w:color="auto" w:fill="F4F6FA"/>
          </w:tcPr>
          <w:p>
            <w:pPr>
              <w:pStyle w:val="TableText"/>
            </w:pPr>
            <w:r>
              <w:rPr>
                <w:rFonts w:ascii="Arial" w:hAnsi="Arial"/>
                <w:sz w:val="14"/>
              </w:rPr>
              <w:t>Principle 3.1 model purpose and design; 3.3 development testing.</w:t>
            </w:r>
          </w:p>
        </w:tc>
        <w:tc>
          <w:tcPr>
            <w:tcW w:type="dxa" w:w="1701"/>
            <w:shd w:val="clear" w:color="auto" w:fill="F4F6FA"/>
          </w:tcPr>
          <w:p>
            <w:pPr>
              <w:pStyle w:val="TableText"/>
            </w:pPr>
            <w:r>
              <w:rPr>
                <w:rFonts w:ascii="Arial" w:hAnsi="Arial"/>
                <w:sz w:val="14"/>
              </w:rPr>
              <w:t>Principle 3.3 on development processes with clear standards.</w:t>
            </w:r>
          </w:p>
        </w:tc>
        <w:tc>
          <w:tcPr>
            <w:tcW w:type="dxa" w:w="1701"/>
            <w:shd w:val="clear" w:color="auto" w:fill="F4F6FA"/>
          </w:tcPr>
          <w:p>
            <w:pPr>
              <w:pStyle w:val="TableText"/>
            </w:pPr>
            <w:r>
              <w:rPr>
                <w:rFonts w:ascii="Arial" w:hAnsi="Arial"/>
                <w:sz w:val="14"/>
              </w:rPr>
              <w:t>Documentation and data governance sections of the overarching principles chapter.</w:t>
            </w:r>
          </w:p>
        </w:tc>
        <w:tc>
          <w:tcPr>
            <w:tcW w:type="dxa" w:w="1644"/>
            <w:shd w:val="clear" w:color="auto" w:fill="F4F6FA"/>
          </w:tcPr>
          <w:p>
            <w:pPr>
              <w:pStyle w:val="TableText"/>
            </w:pPr>
            <w:r>
              <w:rPr>
                <w:rFonts w:ascii="Arial" w:hAnsi="Arial"/>
                <w:sz w:val="14"/>
              </w:rPr>
              <w:t>Notice 637 for capital models.</w:t>
            </w:r>
          </w:p>
        </w:tc>
        <w:tc>
          <w:tcPr>
            <w:tcW w:type="dxa" w:w="1531"/>
            <w:shd w:val="clear" w:color="auto" w:fill="F4F6FA"/>
          </w:tcPr>
          <w:p>
            <w:pPr>
              <w:pStyle w:val="TableText"/>
            </w:pPr>
            <w:r>
              <w:rPr>
                <w:rFonts w:ascii="Arial" w:hAnsi="Arial"/>
                <w:sz w:val="14"/>
              </w:rPr>
              <w:t>Not addressed directly.</w:t>
            </w:r>
          </w:p>
        </w:tc>
        <w:tc>
          <w:tcPr>
            <w:tcW w:type="dxa" w:w="1417"/>
            <w:shd w:val="clear" w:color="auto" w:fill="F4F6FA"/>
          </w:tcPr>
          <w:p>
            <w:pPr>
              <w:pStyle w:val="TableText"/>
            </w:pPr>
            <w:r>
              <w:rPr>
                <w:rFonts w:ascii="Arial" w:hAnsi="Arial"/>
                <w:sz w:val="14"/>
              </w:rPr>
              <w:t>Sound Practice 6 on selection.</w:t>
            </w:r>
          </w:p>
        </w:tc>
      </w:tr>
      <w:tr>
        <w:tc>
          <w:tcPr>
            <w:tcW w:type="dxa" w:w="1417"/>
          </w:tcPr>
          <w:p>
            <w:pPr>
              <w:pStyle w:val="TableText"/>
            </w:pPr>
            <w:r>
              <w:rPr>
                <w:rFonts w:ascii="Arial" w:hAnsi="Arial"/>
                <w:sz w:val="14"/>
              </w:rPr>
              <w:t>Data</w:t>
            </w:r>
          </w:p>
        </w:tc>
        <w:tc>
          <w:tcPr>
            <w:tcW w:type="dxa" w:w="1757"/>
          </w:tcPr>
          <w:p>
            <w:pPr>
              <w:pStyle w:val="TableText"/>
            </w:pPr>
            <w:r>
              <w:rPr>
                <w:rFonts w:ascii="Arial" w:hAnsi="Arial"/>
                <w:sz w:val="14"/>
              </w:rPr>
              <w:t>Data appropriateness as well as quality, lineage to source, and documented treatment of proxy, external and synthetic data.</w:t>
            </w:r>
          </w:p>
        </w:tc>
        <w:tc>
          <w:tcPr>
            <w:tcW w:type="dxa" w:w="1701"/>
          </w:tcPr>
          <w:p>
            <w:pPr>
              <w:pStyle w:val="TableText"/>
            </w:pPr>
            <w:r>
              <w:rPr>
                <w:rFonts w:ascii="Arial" w:hAnsi="Arial"/>
                <w:sz w:val="14"/>
              </w:rPr>
              <w:t>Data quality, relevance and inputs assessed within development testing.</w:t>
            </w:r>
          </w:p>
        </w:tc>
        <w:tc>
          <w:tcPr>
            <w:tcW w:type="dxa" w:w="1701"/>
          </w:tcPr>
          <w:p>
            <w:pPr>
              <w:pStyle w:val="TableText"/>
            </w:pPr>
            <w:r>
              <w:rPr>
                <w:rFonts w:ascii="Arial" w:hAnsi="Arial"/>
                <w:sz w:val="14"/>
              </w:rPr>
              <w:t>Principle 3.2 the use of data.</w:t>
            </w:r>
          </w:p>
        </w:tc>
        <w:tc>
          <w:tcPr>
            <w:tcW w:type="dxa" w:w="1701"/>
          </w:tcPr>
          <w:p>
            <w:pPr>
              <w:pStyle w:val="TableText"/>
            </w:pPr>
            <w:r>
              <w:rPr>
                <w:rFonts w:ascii="Arial" w:hAnsi="Arial"/>
                <w:sz w:val="14"/>
              </w:rPr>
              <w:t>Principle 3.2 requires data suitable for the intended use.</w:t>
            </w:r>
          </w:p>
        </w:tc>
        <w:tc>
          <w:tcPr>
            <w:tcW w:type="dxa" w:w="1701"/>
          </w:tcPr>
          <w:p>
            <w:pPr>
              <w:pStyle w:val="TableText"/>
            </w:pPr>
            <w:r>
              <w:rPr>
                <w:rFonts w:ascii="Arial" w:hAnsi="Arial"/>
                <w:sz w:val="14"/>
              </w:rPr>
              <w:t>Section 3 data governance; separate guide on risk data aggregation and reporting.</w:t>
            </w:r>
          </w:p>
        </w:tc>
        <w:tc>
          <w:tcPr>
            <w:tcW w:type="dxa" w:w="1644"/>
          </w:tcPr>
          <w:p>
            <w:pPr>
              <w:pStyle w:val="TableText"/>
            </w:pPr>
            <w:r>
              <w:rPr>
                <w:rFonts w:ascii="Arial" w:hAnsi="Arial"/>
                <w:sz w:val="14"/>
              </w:rPr>
              <w:t>Data quality and representativeness prominent in AI practice.</w:t>
            </w:r>
          </w:p>
        </w:tc>
        <w:tc>
          <w:tcPr>
            <w:tcW w:type="dxa" w:w="1531"/>
          </w:tcPr>
          <w:p>
            <w:pPr>
              <w:pStyle w:val="TableText"/>
            </w:pPr>
            <w:r>
              <w:rPr>
                <w:rFonts w:ascii="Arial" w:hAnsi="Arial"/>
                <w:sz w:val="14"/>
              </w:rPr>
              <w:t>BCBS 239 sets fourteen principles on risk data aggregation and reporting.</w:t>
            </w:r>
          </w:p>
        </w:tc>
        <w:tc>
          <w:tcPr>
            <w:tcW w:type="dxa" w:w="1417"/>
          </w:tcPr>
          <w:p>
            <w:pPr>
              <w:pStyle w:val="TableText"/>
            </w:pPr>
            <w:r>
              <w:rPr>
                <w:rFonts w:ascii="Arial" w:hAnsi="Arial"/>
                <w:sz w:val="14"/>
              </w:rPr>
              <w:t>Sound Practice 7 on data governance.</w:t>
            </w:r>
          </w:p>
        </w:tc>
      </w:tr>
      <w:tr>
        <w:tc>
          <w:tcPr>
            <w:tcW w:type="dxa" w:w="1417"/>
            <w:shd w:val="clear" w:color="auto" w:fill="F4F6FA"/>
          </w:tcPr>
          <w:p>
            <w:pPr>
              <w:pStyle w:val="TableText"/>
            </w:pPr>
            <w:r>
              <w:rPr>
                <w:rFonts w:ascii="Arial" w:hAnsi="Arial"/>
                <w:sz w:val="14"/>
              </w:rPr>
              <w:t>Documentation</w:t>
            </w:r>
          </w:p>
        </w:tc>
        <w:tc>
          <w:tcPr>
            <w:tcW w:type="dxa" w:w="1757"/>
            <w:shd w:val="clear" w:color="auto" w:fill="F4F6FA"/>
          </w:tcPr>
          <w:p>
            <w:pPr>
              <w:pStyle w:val="TableText"/>
            </w:pPr>
            <w:r>
              <w:rPr>
                <w:rFonts w:ascii="Arial" w:hAnsi="Arial"/>
                <w:sz w:val="14"/>
              </w:rPr>
              <w:t>Reconstruction standard: sufficient for an independent competent person to reproduce material results.</w:t>
            </w:r>
          </w:p>
        </w:tc>
        <w:tc>
          <w:tcPr>
            <w:tcW w:type="dxa" w:w="1701"/>
            <w:shd w:val="clear" w:color="auto" w:fill="F4F6FA"/>
          </w:tcPr>
          <w:p>
            <w:pPr>
              <w:pStyle w:val="TableText"/>
            </w:pPr>
            <w:r>
              <w:rPr>
                <w:rFonts w:ascii="Arial" w:hAnsi="Arial"/>
                <w:sz w:val="14"/>
              </w:rPr>
              <w:t>Reduced in 2026 to a statement that adequate documentation helps support model risk management.</w:t>
            </w:r>
          </w:p>
        </w:tc>
        <w:tc>
          <w:tcPr>
            <w:tcW w:type="dxa" w:w="1701"/>
            <w:shd w:val="clear" w:color="auto" w:fill="F4F6FA"/>
          </w:tcPr>
          <w:p>
            <w:pPr>
              <w:pStyle w:val="TableText"/>
            </w:pPr>
            <w:r>
              <w:rPr>
                <w:rFonts w:ascii="Arial" w:hAnsi="Arial"/>
                <w:sz w:val="14"/>
              </w:rPr>
              <w:t>Principle 3.5 model development documentation.</w:t>
            </w:r>
          </w:p>
        </w:tc>
        <w:tc>
          <w:tcPr>
            <w:tcW w:type="dxa" w:w="1701"/>
            <w:shd w:val="clear" w:color="auto" w:fill="F4F6FA"/>
          </w:tcPr>
          <w:p>
            <w:pPr>
              <w:pStyle w:val="TableText"/>
            </w:pPr>
            <w:r>
              <w:rPr>
                <w:rFonts w:ascii="Arial" w:hAnsi="Arial"/>
                <w:sz w:val="14"/>
              </w:rPr>
              <w:t>Principle 3.3 covers documentation standards.</w:t>
            </w:r>
          </w:p>
        </w:tc>
        <w:tc>
          <w:tcPr>
            <w:tcW w:type="dxa" w:w="1701"/>
            <w:shd w:val="clear" w:color="auto" w:fill="F4F6FA"/>
          </w:tcPr>
          <w:p>
            <w:pPr>
              <w:pStyle w:val="TableText"/>
            </w:pPr>
            <w:r>
              <w:rPr>
                <w:rFonts w:ascii="Arial" w:hAnsi="Arial"/>
                <w:sz w:val="14"/>
              </w:rPr>
              <w:t>Section 2 documentation of internal models; CRR Article 188 makes it binding.</w:t>
            </w:r>
          </w:p>
        </w:tc>
        <w:tc>
          <w:tcPr>
            <w:tcW w:type="dxa" w:w="1644"/>
            <w:shd w:val="clear" w:color="auto" w:fill="F4F6FA"/>
          </w:tcPr>
          <w:p>
            <w:pPr>
              <w:pStyle w:val="TableText"/>
            </w:pPr>
            <w:r>
              <w:rPr>
                <w:rFonts w:ascii="Arial" w:hAnsi="Arial"/>
                <w:sz w:val="14"/>
              </w:rPr>
              <w:t>Required for capital models under Notice 637.</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Documentation identified as a sound practice.</w:t>
            </w:r>
          </w:p>
        </w:tc>
      </w:tr>
      <w:tr>
        <w:tc>
          <w:tcPr>
            <w:tcW w:type="dxa" w:w="1417"/>
          </w:tcPr>
          <w:p>
            <w:pPr>
              <w:pStyle w:val="TableText"/>
            </w:pPr>
            <w:r>
              <w:rPr>
                <w:rFonts w:ascii="Arial" w:hAnsi="Arial"/>
                <w:sz w:val="14"/>
              </w:rPr>
              <w:t>Testing before use</w:t>
            </w:r>
          </w:p>
        </w:tc>
        <w:tc>
          <w:tcPr>
            <w:tcW w:type="dxa" w:w="1757"/>
          </w:tcPr>
          <w:p>
            <w:pPr>
              <w:pStyle w:val="TableText"/>
            </w:pPr>
            <w:r>
              <w:rPr>
                <w:rFonts w:ascii="Arial" w:hAnsi="Arial"/>
                <w:sz w:val="14"/>
              </w:rPr>
              <w:t>Express bar: a model must not be used for a material purpose until tested and residual limitations accepted at an appropriate authority.</w:t>
            </w:r>
          </w:p>
        </w:tc>
        <w:tc>
          <w:tcPr>
            <w:tcW w:type="dxa" w:w="1701"/>
          </w:tcPr>
          <w:p>
            <w:pPr>
              <w:pStyle w:val="TableText"/>
            </w:pPr>
            <w:r>
              <w:rPr>
                <w:rFonts w:ascii="Arial" w:hAnsi="Arial"/>
                <w:sz w:val="14"/>
              </w:rPr>
              <w:t>Validation generally occurs before first use, but use before validation is permitted for urgent business need with compensating controls.</w:t>
            </w:r>
          </w:p>
        </w:tc>
        <w:tc>
          <w:tcPr>
            <w:tcW w:type="dxa" w:w="1701"/>
          </w:tcPr>
          <w:p>
            <w:pPr>
              <w:pStyle w:val="TableText"/>
            </w:pPr>
            <w:r>
              <w:rPr>
                <w:rFonts w:ascii="Arial" w:hAnsi="Arial"/>
                <w:sz w:val="14"/>
              </w:rPr>
              <w:t>Principle 3.3 model development testing.</w:t>
            </w:r>
          </w:p>
        </w:tc>
        <w:tc>
          <w:tcPr>
            <w:tcW w:type="dxa" w:w="1701"/>
          </w:tcPr>
          <w:p>
            <w:pPr>
              <w:pStyle w:val="TableText"/>
            </w:pPr>
            <w:r>
              <w:rPr>
                <w:rFonts w:ascii="Arial" w:hAnsi="Arial"/>
                <w:sz w:val="14"/>
              </w:rPr>
              <w:t>Within the model review and approval lifecycle stages.</w:t>
            </w:r>
          </w:p>
        </w:tc>
        <w:tc>
          <w:tcPr>
            <w:tcW w:type="dxa" w:w="1701"/>
          </w:tcPr>
          <w:p>
            <w:pPr>
              <w:pStyle w:val="TableText"/>
            </w:pPr>
            <w:r>
              <w:rPr>
                <w:rFonts w:ascii="Arial" w:hAnsi="Arial"/>
                <w:sz w:val="14"/>
              </w:rPr>
              <w:t>Pre-approval assessment by the supervisor for capital models.</w:t>
            </w:r>
          </w:p>
        </w:tc>
        <w:tc>
          <w:tcPr>
            <w:tcW w:type="dxa" w:w="1644"/>
          </w:tcPr>
          <w:p>
            <w:pPr>
              <w:pStyle w:val="TableText"/>
            </w:pPr>
            <w:r>
              <w:rPr>
                <w:rFonts w:ascii="Arial" w:hAnsi="Arial"/>
                <w:sz w:val="14"/>
              </w:rPr>
              <w:t>Pre-deployment validation expected for higher-risk AI.</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Performance assessment proportionate to risk.</w:t>
            </w:r>
          </w:p>
        </w:tc>
      </w:tr>
      <w:tr>
        <w:tc>
          <w:tcPr>
            <w:tcW w:type="dxa" w:w="1417"/>
            <w:shd w:val="clear" w:color="auto" w:fill="F4F6FA"/>
          </w:tcPr>
          <w:p>
            <w:pPr>
              <w:pStyle w:val="TableText"/>
            </w:pPr>
            <w:r>
              <w:rPr>
                <w:rFonts w:ascii="Arial" w:hAnsi="Arial"/>
                <w:sz w:val="14"/>
              </w:rPr>
              <w:t>Independent validation</w:t>
            </w:r>
          </w:p>
        </w:tc>
        <w:tc>
          <w:tcPr>
            <w:tcW w:type="dxa" w:w="1757"/>
            <w:shd w:val="clear" w:color="auto" w:fill="F4F6FA"/>
          </w:tcPr>
          <w:p>
            <w:pPr>
              <w:pStyle w:val="TableText"/>
            </w:pPr>
            <w:r>
              <w:rPr>
                <w:rFonts w:ascii="Arial" w:hAnsi="Arial"/>
                <w:sz w:val="14"/>
              </w:rPr>
              <w:t>Independent validation required for material models, with vendor or sponsor validation expressly insufficient.</w:t>
            </w:r>
          </w:p>
        </w:tc>
        <w:tc>
          <w:tcPr>
            <w:tcW w:type="dxa" w:w="1701"/>
            <w:shd w:val="clear" w:color="auto" w:fill="F4F6FA"/>
          </w:tcPr>
          <w:p>
            <w:pPr>
              <w:pStyle w:val="TableText"/>
            </w:pPr>
            <w:r>
              <w:rPr>
                <w:rFonts w:ascii="Arial" w:hAnsi="Arial"/>
                <w:sz w:val="14"/>
              </w:rPr>
              <w:t>Quality of validation depends on the rigour of the review rather than on organisational structure — a softening from the 2011 text.</w:t>
            </w:r>
          </w:p>
        </w:tc>
        <w:tc>
          <w:tcPr>
            <w:tcW w:type="dxa" w:w="1701"/>
            <w:shd w:val="clear" w:color="auto" w:fill="F4F6FA"/>
          </w:tcPr>
          <w:p>
            <w:pPr>
              <w:pStyle w:val="TableText"/>
            </w:pPr>
            <w:r>
              <w:rPr>
                <w:rFonts w:ascii="Arial" w:hAnsi="Arial"/>
                <w:sz w:val="14"/>
              </w:rPr>
              <w:t>Principle 4 independent model validation, with five sub-principles.</w:t>
            </w:r>
          </w:p>
        </w:tc>
        <w:tc>
          <w:tcPr>
            <w:tcW w:type="dxa" w:w="1701"/>
            <w:shd w:val="clear" w:color="auto" w:fill="F4F6FA"/>
          </w:tcPr>
          <w:p>
            <w:pPr>
              <w:pStyle w:val="TableText"/>
            </w:pPr>
            <w:r>
              <w:rPr>
                <w:rFonts w:ascii="Arial" w:hAnsi="Arial"/>
                <w:sz w:val="14"/>
              </w:rPr>
              <w:t>Principle 3.4 requires a process to independently assess conceptual soundness and performance.</w:t>
            </w:r>
          </w:p>
        </w:tc>
        <w:tc>
          <w:tcPr>
            <w:tcW w:type="dxa" w:w="1701"/>
            <w:shd w:val="clear" w:color="auto" w:fill="F4F6FA"/>
          </w:tcPr>
          <w:p>
            <w:pPr>
              <w:pStyle w:val="TableText"/>
            </w:pPr>
            <w:r>
              <w:rPr>
                <w:rFonts w:ascii="Arial" w:hAnsi="Arial"/>
                <w:sz w:val="14"/>
              </w:rPr>
              <w:t>Section 6 internal validation; CRR Articles 185 and 188 make validation binding.</w:t>
            </w:r>
          </w:p>
        </w:tc>
        <w:tc>
          <w:tcPr>
            <w:tcW w:type="dxa" w:w="1644"/>
            <w:shd w:val="clear" w:color="auto" w:fill="F4F6FA"/>
          </w:tcPr>
          <w:p>
            <w:pPr>
              <w:pStyle w:val="TableText"/>
            </w:pPr>
            <w:r>
              <w:rPr>
                <w:rFonts w:ascii="Arial" w:hAnsi="Arial"/>
                <w:sz w:val="14"/>
              </w:rPr>
              <w:t>Notice 637 paragraphs 2.5 and 2.6 on internal validation and its independent review.</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Performance management, with independence left flexible.</w:t>
            </w:r>
          </w:p>
        </w:tc>
      </w:tr>
      <w:tr>
        <w:tc>
          <w:tcPr>
            <w:tcW w:type="dxa" w:w="1417"/>
          </w:tcPr>
          <w:p>
            <w:pPr>
              <w:pStyle w:val="TableText"/>
            </w:pPr>
            <w:r>
              <w:rPr>
                <w:rFonts w:ascii="Arial" w:hAnsi="Arial"/>
                <w:sz w:val="14"/>
              </w:rPr>
              <w:t>Components of validation</w:t>
            </w:r>
          </w:p>
        </w:tc>
        <w:tc>
          <w:tcPr>
            <w:tcW w:type="dxa" w:w="1757"/>
          </w:tcPr>
          <w:p>
            <w:pPr>
              <w:pStyle w:val="TableText"/>
            </w:pPr>
            <w:r>
              <w:rPr>
                <w:rFonts w:ascii="Arial" w:hAnsi="Arial"/>
                <w:sz w:val="14"/>
              </w:rPr>
              <w:t>Conceptual soundness, outcomes analysis and ongoing model monitoring, with an explicit conclusion on fitness for use.</w:t>
            </w:r>
          </w:p>
        </w:tc>
        <w:tc>
          <w:tcPr>
            <w:tcW w:type="dxa" w:w="1701"/>
          </w:tcPr>
          <w:p>
            <w:pPr>
              <w:pStyle w:val="TableText"/>
            </w:pPr>
            <w:r>
              <w:rPr>
                <w:rFonts w:ascii="Arial" w:hAnsi="Arial"/>
                <w:sz w:val="14"/>
              </w:rPr>
              <w:t>Conceptual soundness, outcomes analysis, and ongoing model monitoring.</w:t>
            </w:r>
          </w:p>
        </w:tc>
        <w:tc>
          <w:tcPr>
            <w:tcW w:type="dxa" w:w="1701"/>
          </w:tcPr>
          <w:p>
            <w:pPr>
              <w:pStyle w:val="TableText"/>
            </w:pPr>
            <w:r>
              <w:rPr>
                <w:rFonts w:ascii="Arial" w:hAnsi="Arial"/>
                <w:sz w:val="14"/>
              </w:rPr>
              <w:t>Principles 4.2 independent review, 4.3 process verification, 4.4 performance monitoring, 4.5 periodic revalidation.</w:t>
            </w:r>
          </w:p>
        </w:tc>
        <w:tc>
          <w:tcPr>
            <w:tcW w:type="dxa" w:w="1701"/>
          </w:tcPr>
          <w:p>
            <w:pPr>
              <w:pStyle w:val="TableText"/>
            </w:pPr>
            <w:r>
              <w:rPr>
                <w:rFonts w:ascii="Arial" w:hAnsi="Arial"/>
                <w:sz w:val="14"/>
              </w:rPr>
              <w:t>Conceptual soundness and performance under Principle 3.4.</w:t>
            </w:r>
          </w:p>
        </w:tc>
        <w:tc>
          <w:tcPr>
            <w:tcW w:type="dxa" w:w="1701"/>
          </w:tcPr>
          <w:p>
            <w:pPr>
              <w:pStyle w:val="TableText"/>
            </w:pPr>
            <w:r>
              <w:rPr>
                <w:rFonts w:ascii="Arial" w:hAnsi="Arial"/>
                <w:sz w:val="14"/>
              </w:rPr>
              <w:t>Validation covering methodology, data and performance.</w:t>
            </w:r>
          </w:p>
        </w:tc>
        <w:tc>
          <w:tcPr>
            <w:tcW w:type="dxa" w:w="1644"/>
          </w:tcPr>
          <w:p>
            <w:pPr>
              <w:pStyle w:val="TableText"/>
            </w:pPr>
            <w:r>
              <w:rPr>
                <w:rFonts w:ascii="Arial" w:hAnsi="Arial"/>
                <w:sz w:val="14"/>
              </w:rPr>
              <w:t>Validation requirements in Section 7 of Notice 637.</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Not addressed.</w:t>
            </w:r>
          </w:p>
        </w:tc>
      </w:tr>
      <w:tr>
        <w:tc>
          <w:tcPr>
            <w:tcW w:type="dxa" w:w="1417"/>
            <w:shd w:val="clear" w:color="auto" w:fill="F4F6FA"/>
          </w:tcPr>
          <w:p>
            <w:pPr>
              <w:pStyle w:val="TableText"/>
            </w:pPr>
            <w:r>
              <w:rPr>
                <w:rFonts w:ascii="Arial" w:hAnsi="Arial"/>
                <w:sz w:val="14"/>
              </w:rPr>
              <w:t>Effective challenge</w:t>
            </w:r>
          </w:p>
        </w:tc>
        <w:tc>
          <w:tcPr>
            <w:tcW w:type="dxa" w:w="1757"/>
            <w:shd w:val="clear" w:color="auto" w:fill="F4F6FA"/>
          </w:tcPr>
          <w:p>
            <w:pPr>
              <w:pStyle w:val="TableText"/>
            </w:pPr>
            <w:r>
              <w:rPr>
                <w:rFonts w:ascii="Arial" w:hAnsi="Arial"/>
                <w:sz w:val="14"/>
              </w:rPr>
              <w:t>Express requirement, with an expectation that entities test whether challenge is operating effectively.</w:t>
            </w:r>
          </w:p>
        </w:tc>
        <w:tc>
          <w:tcPr>
            <w:tcW w:type="dxa" w:w="1701"/>
            <w:shd w:val="clear" w:color="auto" w:fill="F4F6FA"/>
          </w:tcPr>
          <w:p>
            <w:pPr>
              <w:pStyle w:val="TableText"/>
            </w:pPr>
            <w:r>
              <w:rPr>
                <w:rFonts w:ascii="Arial" w:hAnsi="Arial"/>
                <w:sz w:val="14"/>
              </w:rPr>
              <w:t>Retained and reformulated: expertise, sufficient independence, and organisational standing and influence to effect change.</w:t>
            </w:r>
          </w:p>
        </w:tc>
        <w:tc>
          <w:tcPr>
            <w:tcW w:type="dxa" w:w="1701"/>
            <w:shd w:val="clear" w:color="auto" w:fill="F4F6FA"/>
          </w:tcPr>
          <w:p>
            <w:pPr>
              <w:pStyle w:val="TableText"/>
            </w:pPr>
            <w:r>
              <w:rPr>
                <w:rFonts w:ascii="Arial" w:hAnsi="Arial"/>
                <w:sz w:val="14"/>
              </w:rPr>
              <w:t>Embedded in Principle 4 as ongoing, independent and effective challenge.</w:t>
            </w:r>
          </w:p>
        </w:tc>
        <w:tc>
          <w:tcPr>
            <w:tcW w:type="dxa" w:w="1701"/>
            <w:shd w:val="clear" w:color="auto" w:fill="F4F6FA"/>
          </w:tcPr>
          <w:p>
            <w:pPr>
              <w:pStyle w:val="TableText"/>
            </w:pPr>
            <w:r>
              <w:rPr>
                <w:rFonts w:ascii="Arial" w:hAnsi="Arial"/>
                <w:sz w:val="14"/>
              </w:rPr>
              <w:t>Implicit in the independent assessment principle.</w:t>
            </w:r>
          </w:p>
        </w:tc>
        <w:tc>
          <w:tcPr>
            <w:tcW w:type="dxa" w:w="1701"/>
            <w:shd w:val="clear" w:color="auto" w:fill="F4F6FA"/>
          </w:tcPr>
          <w:p>
            <w:pPr>
              <w:pStyle w:val="TableText"/>
            </w:pPr>
            <w:r>
              <w:rPr>
                <w:rFonts w:ascii="Arial" w:hAnsi="Arial"/>
                <w:sz w:val="14"/>
              </w:rPr>
              <w:t>Internal validation and internal audit principles.</w:t>
            </w:r>
          </w:p>
        </w:tc>
        <w:tc>
          <w:tcPr>
            <w:tcW w:type="dxa" w:w="1644"/>
            <w:shd w:val="clear" w:color="auto" w:fill="F4F6FA"/>
          </w:tcPr>
          <w:p>
            <w:pPr>
              <w:pStyle w:val="TableText"/>
            </w:pPr>
            <w:r>
              <w:rPr>
                <w:rFonts w:ascii="Arial" w:hAnsi="Arial"/>
                <w:sz w:val="14"/>
              </w:rPr>
              <w:t>Independent review under Notice 637.</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Not addressed.</w:t>
            </w:r>
          </w:p>
        </w:tc>
      </w:tr>
      <w:tr>
        <w:tc>
          <w:tcPr>
            <w:tcW w:type="dxa" w:w="1417"/>
          </w:tcPr>
          <w:p>
            <w:pPr>
              <w:pStyle w:val="TableText"/>
            </w:pPr>
            <w:r>
              <w:rPr>
                <w:rFonts w:ascii="Arial" w:hAnsi="Arial"/>
                <w:sz w:val="14"/>
              </w:rPr>
              <w:t>Model use and misuse</w:t>
            </w:r>
          </w:p>
        </w:tc>
        <w:tc>
          <w:tcPr>
            <w:tcW w:type="dxa" w:w="1757"/>
          </w:tcPr>
          <w:p>
            <w:pPr>
              <w:pStyle w:val="TableText"/>
            </w:pPr>
            <w:r>
              <w:rPr>
                <w:rFonts w:ascii="Arial" w:hAnsi="Arial"/>
                <w:sz w:val="14"/>
              </w:rPr>
              <w:t>Use confined to approved purpose and conditions, with limitations communicated to users rather than merely recorded.</w:t>
            </w:r>
          </w:p>
        </w:tc>
        <w:tc>
          <w:tcPr>
            <w:tcW w:type="dxa" w:w="1701"/>
          </w:tcPr>
          <w:p>
            <w:pPr>
              <w:pStyle w:val="TableText"/>
            </w:pPr>
            <w:r>
              <w:rPr>
                <w:rFonts w:ascii="Arial" w:hAnsi="Arial"/>
                <w:sz w:val="14"/>
              </w:rPr>
              <w:t>Recognised that a sound model can carry high model risk if misapplied or misused.</w:t>
            </w:r>
          </w:p>
        </w:tc>
        <w:tc>
          <w:tcPr>
            <w:tcW w:type="dxa" w:w="1701"/>
          </w:tcPr>
          <w:p>
            <w:pPr>
              <w:pStyle w:val="TableText"/>
            </w:pPr>
            <w:r>
              <w:rPr>
                <w:rFonts w:ascii="Arial" w:hAnsi="Arial"/>
                <w:sz w:val="14"/>
              </w:rPr>
              <w:t>Principle 3 covers model use.</w:t>
            </w:r>
          </w:p>
        </w:tc>
        <w:tc>
          <w:tcPr>
            <w:tcW w:type="dxa" w:w="1701"/>
          </w:tcPr>
          <w:p>
            <w:pPr>
              <w:pStyle w:val="TableText"/>
            </w:pPr>
            <w:r>
              <w:rPr>
                <w:rFonts w:ascii="Arial" w:hAnsi="Arial"/>
                <w:sz w:val="14"/>
              </w:rPr>
              <w:t>Principle 1.3 models should be appropriate for their business purposes.</w:t>
            </w:r>
          </w:p>
        </w:tc>
        <w:tc>
          <w:tcPr>
            <w:tcW w:type="dxa" w:w="1701"/>
          </w:tcPr>
          <w:p>
            <w:pPr>
              <w:pStyle w:val="TableText"/>
            </w:pPr>
            <w:r>
              <w:rPr>
                <w:rFonts w:ascii="Arial" w:hAnsi="Arial"/>
                <w:sz w:val="14"/>
              </w:rPr>
              <w:t>Credit risk chapter, general topics Section 6 model use; CRR Article 174 use of models is binding.</w:t>
            </w:r>
          </w:p>
        </w:tc>
        <w:tc>
          <w:tcPr>
            <w:tcW w:type="dxa" w:w="1644"/>
          </w:tcPr>
          <w:p>
            <w:pPr>
              <w:pStyle w:val="TableText"/>
            </w:pPr>
            <w:r>
              <w:rPr>
                <w:rFonts w:ascii="Arial" w:hAnsi="Arial"/>
                <w:sz w:val="14"/>
              </w:rPr>
              <w:t>Use test for capital models.</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Human oversight sound practice.</w:t>
            </w:r>
          </w:p>
        </w:tc>
      </w:tr>
      <w:tr>
        <w:tc>
          <w:tcPr>
            <w:tcW w:type="dxa" w:w="1417"/>
            <w:shd w:val="clear" w:color="auto" w:fill="F4F6FA"/>
          </w:tcPr>
          <w:p>
            <w:pPr>
              <w:pStyle w:val="TableText"/>
            </w:pPr>
            <w:r>
              <w:rPr>
                <w:rFonts w:ascii="Arial" w:hAnsi="Arial"/>
                <w:sz w:val="14"/>
              </w:rPr>
              <w:t>Overlays and expert judgement</w:t>
            </w:r>
          </w:p>
        </w:tc>
        <w:tc>
          <w:tcPr>
            <w:tcW w:type="dxa" w:w="1757"/>
            <w:shd w:val="clear" w:color="auto" w:fill="F4F6FA"/>
          </w:tcPr>
          <w:p>
            <w:pPr>
              <w:pStyle w:val="TableText"/>
            </w:pPr>
            <w:r>
              <w:rPr>
                <w:rFonts w:ascii="Arial" w:hAnsi="Arial"/>
                <w:sz w:val="14"/>
              </w:rPr>
              <w:t>Governance of basis, quantification, approval, duration and removal, with aggregate reporting of overlays in force.</w:t>
            </w:r>
          </w:p>
        </w:tc>
        <w:tc>
          <w:tcPr>
            <w:tcW w:type="dxa" w:w="1701"/>
            <w:shd w:val="clear" w:color="auto" w:fill="F4F6FA"/>
          </w:tcPr>
          <w:p>
            <w:pPr>
              <w:pStyle w:val="TableText"/>
            </w:pPr>
            <w:r>
              <w:rPr>
                <w:rFonts w:ascii="Arial" w:hAnsi="Arial"/>
                <w:sz w:val="14"/>
              </w:rPr>
              <w:t>Overlays and adjustments referenced within monitoring.</w:t>
            </w:r>
          </w:p>
        </w:tc>
        <w:tc>
          <w:tcPr>
            <w:tcW w:type="dxa" w:w="1701"/>
            <w:shd w:val="clear" w:color="auto" w:fill="F4F6FA"/>
          </w:tcPr>
          <w:p>
            <w:pPr>
              <w:pStyle w:val="TableText"/>
            </w:pPr>
            <w:r>
              <w:rPr>
                <w:rFonts w:ascii="Arial" w:hAnsi="Arial"/>
                <w:sz w:val="14"/>
              </w:rPr>
              <w:t>Principle 3.4 model adjustments and expert judgement; Principle 5.1 post-model adjustments.</w:t>
            </w:r>
          </w:p>
        </w:tc>
        <w:tc>
          <w:tcPr>
            <w:tcW w:type="dxa" w:w="1701"/>
            <w:shd w:val="clear" w:color="auto" w:fill="F4F6FA"/>
          </w:tcPr>
          <w:p>
            <w:pPr>
              <w:pStyle w:val="TableText"/>
            </w:pPr>
            <w:r>
              <w:rPr>
                <w:rFonts w:ascii="Arial" w:hAnsi="Arial"/>
                <w:sz w:val="14"/>
              </w:rPr>
              <w:t>Addressed within model monitoring standards.</w:t>
            </w:r>
          </w:p>
        </w:tc>
        <w:tc>
          <w:tcPr>
            <w:tcW w:type="dxa" w:w="1701"/>
            <w:shd w:val="clear" w:color="auto" w:fill="F4F6FA"/>
          </w:tcPr>
          <w:p>
            <w:pPr>
              <w:pStyle w:val="TableText"/>
            </w:pPr>
            <w:r>
              <w:rPr>
                <w:rFonts w:ascii="Arial" w:hAnsi="Arial"/>
                <w:sz w:val="14"/>
              </w:rPr>
              <w:t>Margin of conservatism framework for internal models.</w:t>
            </w:r>
          </w:p>
        </w:tc>
        <w:tc>
          <w:tcPr>
            <w:tcW w:type="dxa" w:w="1644"/>
            <w:shd w:val="clear" w:color="auto" w:fill="F4F6FA"/>
          </w:tcPr>
          <w:p>
            <w:pPr>
              <w:pStyle w:val="TableText"/>
            </w:pPr>
            <w:r>
              <w:rPr>
                <w:rFonts w:ascii="Arial" w:hAnsi="Arial"/>
                <w:sz w:val="14"/>
              </w:rPr>
              <w:t>Not addressed generally.</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Not addressed.</w:t>
            </w:r>
          </w:p>
        </w:tc>
      </w:tr>
      <w:tr>
        <w:tc>
          <w:tcPr>
            <w:tcW w:type="dxa" w:w="1417"/>
          </w:tcPr>
          <w:p>
            <w:pPr>
              <w:pStyle w:val="TableText"/>
            </w:pPr>
            <w:r>
              <w:rPr>
                <w:rFonts w:ascii="Arial" w:hAnsi="Arial"/>
                <w:sz w:val="14"/>
              </w:rPr>
              <w:t>Change management</w:t>
            </w:r>
          </w:p>
        </w:tc>
        <w:tc>
          <w:tcPr>
            <w:tcW w:type="dxa" w:w="1757"/>
          </w:tcPr>
          <w:p>
            <w:pPr>
              <w:pStyle w:val="TableText"/>
            </w:pPr>
            <w:r>
              <w:rPr>
                <w:rFonts w:ascii="Arial" w:hAnsi="Arial"/>
                <w:sz w:val="14"/>
              </w:rPr>
              <w:t>Materiality assessment of changes individually and cumulatively, with provider-initiated change treated as an entity change event.</w:t>
            </w:r>
          </w:p>
        </w:tc>
        <w:tc>
          <w:tcPr>
            <w:tcW w:type="dxa" w:w="1701"/>
          </w:tcPr>
          <w:p>
            <w:pPr>
              <w:pStyle w:val="TableText"/>
            </w:pPr>
            <w:r>
              <w:rPr>
                <w:rFonts w:ascii="Arial" w:hAnsi="Arial"/>
                <w:sz w:val="14"/>
              </w:rPr>
              <w:t>Frequency and scope of model changes inform validation timing.</w:t>
            </w:r>
          </w:p>
        </w:tc>
        <w:tc>
          <w:tcPr>
            <w:tcW w:type="dxa" w:w="1701"/>
          </w:tcPr>
          <w:p>
            <w:pPr>
              <w:pStyle w:val="TableText"/>
            </w:pPr>
            <w:r>
              <w:rPr>
                <w:rFonts w:ascii="Arial" w:hAnsi="Arial"/>
                <w:sz w:val="14"/>
              </w:rPr>
              <w:t>Within Principle 3 and Principle 4.5 periodic revalidation.</w:t>
            </w:r>
          </w:p>
        </w:tc>
        <w:tc>
          <w:tcPr>
            <w:tcW w:type="dxa" w:w="1701"/>
          </w:tcPr>
          <w:p>
            <w:pPr>
              <w:pStyle w:val="TableText"/>
            </w:pPr>
            <w:r>
              <w:rPr>
                <w:rFonts w:ascii="Arial" w:hAnsi="Arial"/>
                <w:sz w:val="14"/>
              </w:rPr>
              <w:t>Principle 3.5 deployment with quality and change control processes.</w:t>
            </w:r>
          </w:p>
        </w:tc>
        <w:tc>
          <w:tcPr>
            <w:tcW w:type="dxa" w:w="1701"/>
          </w:tcPr>
          <w:p>
            <w:pPr>
              <w:pStyle w:val="TableText"/>
            </w:pPr>
            <w:r>
              <w:rPr>
                <w:rFonts w:ascii="Arial" w:hAnsi="Arial"/>
                <w:sz w:val="14"/>
              </w:rPr>
              <w:t>Section 10 on implementation of a changed or extended model; a detailed model change regime.</w:t>
            </w:r>
          </w:p>
        </w:tc>
        <w:tc>
          <w:tcPr>
            <w:tcW w:type="dxa" w:w="1644"/>
          </w:tcPr>
          <w:p>
            <w:pPr>
              <w:pStyle w:val="TableText"/>
            </w:pPr>
            <w:r>
              <w:rPr>
                <w:rFonts w:ascii="Arial" w:hAnsi="Arial"/>
                <w:sz w:val="14"/>
              </w:rPr>
              <w:t>Change control for capital models.</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Organisational adaptability sound practice.</w:t>
            </w:r>
          </w:p>
        </w:tc>
      </w:tr>
      <w:tr>
        <w:tc>
          <w:tcPr>
            <w:tcW w:type="dxa" w:w="1417"/>
            <w:shd w:val="clear" w:color="auto" w:fill="F4F6FA"/>
          </w:tcPr>
          <w:p>
            <w:pPr>
              <w:pStyle w:val="TableText"/>
            </w:pPr>
            <w:r>
              <w:rPr>
                <w:rFonts w:ascii="Arial" w:hAnsi="Arial"/>
                <w:sz w:val="14"/>
              </w:rPr>
              <w:t>Monitoring and drift</w:t>
            </w:r>
          </w:p>
        </w:tc>
        <w:tc>
          <w:tcPr>
            <w:tcW w:type="dxa" w:w="1757"/>
            <w:shd w:val="clear" w:color="auto" w:fill="F4F6FA"/>
          </w:tcPr>
          <w:p>
            <w:pPr>
              <w:pStyle w:val="TableText"/>
            </w:pPr>
            <w:r>
              <w:rPr>
                <w:rFonts w:ascii="Arial" w:hAnsi="Arial"/>
                <w:sz w:val="14"/>
              </w:rPr>
              <w:t>Tier-based monitoring frequency with pre-set thresholds linked to investigation, restriction, revalidation or withdrawal.</w:t>
            </w:r>
          </w:p>
        </w:tc>
        <w:tc>
          <w:tcPr>
            <w:tcW w:type="dxa" w:w="1701"/>
            <w:shd w:val="clear" w:color="auto" w:fill="F4F6FA"/>
          </w:tcPr>
          <w:p>
            <w:pPr>
              <w:pStyle w:val="TableText"/>
            </w:pPr>
            <w:r>
              <w:rPr>
                <w:rFonts w:ascii="Arial" w:hAnsi="Arial"/>
                <w:sz w:val="14"/>
              </w:rPr>
              <w:t>Ongoing model monitoring as a named validation component.</w:t>
            </w:r>
          </w:p>
        </w:tc>
        <w:tc>
          <w:tcPr>
            <w:tcW w:type="dxa" w:w="1701"/>
            <w:shd w:val="clear" w:color="auto" w:fill="F4F6FA"/>
          </w:tcPr>
          <w:p>
            <w:pPr>
              <w:pStyle w:val="TableText"/>
            </w:pPr>
            <w:r>
              <w:rPr>
                <w:rFonts w:ascii="Arial" w:hAnsi="Arial"/>
                <w:sz w:val="14"/>
              </w:rPr>
              <w:t>Principle 4.4 model performance monitoring.</w:t>
            </w:r>
          </w:p>
        </w:tc>
        <w:tc>
          <w:tcPr>
            <w:tcW w:type="dxa" w:w="1701"/>
            <w:shd w:val="clear" w:color="auto" w:fill="F4F6FA"/>
          </w:tcPr>
          <w:p>
            <w:pPr>
              <w:pStyle w:val="TableText"/>
            </w:pPr>
            <w:r>
              <w:rPr>
                <w:rFonts w:ascii="Arial" w:hAnsi="Arial"/>
                <w:sz w:val="14"/>
              </w:rPr>
              <w:t>Principle 3.6 standards for model monitoring and decommission.</w:t>
            </w:r>
          </w:p>
        </w:tc>
        <w:tc>
          <w:tcPr>
            <w:tcW w:type="dxa" w:w="1701"/>
            <w:shd w:val="clear" w:color="auto" w:fill="F4F6FA"/>
          </w:tcPr>
          <w:p>
            <w:pPr>
              <w:pStyle w:val="TableText"/>
            </w:pPr>
            <w:r>
              <w:rPr>
                <w:rFonts w:ascii="Arial" w:hAnsi="Arial"/>
                <w:sz w:val="14"/>
              </w:rPr>
              <w:t>Within internal validation and model change provisions.</w:t>
            </w:r>
          </w:p>
        </w:tc>
        <w:tc>
          <w:tcPr>
            <w:tcW w:type="dxa" w:w="1644"/>
            <w:shd w:val="clear" w:color="auto" w:fill="F4F6FA"/>
          </w:tcPr>
          <w:p>
            <w:pPr>
              <w:pStyle w:val="TableText"/>
            </w:pPr>
            <w:r>
              <w:rPr>
                <w:rFonts w:ascii="Arial" w:hAnsi="Arial"/>
                <w:sz w:val="14"/>
              </w:rPr>
              <w:t>Post-deployment monitoring in observed AI practice.</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Sound Practice 9 performance management.</w:t>
            </w:r>
          </w:p>
        </w:tc>
      </w:tr>
      <w:tr>
        <w:tc>
          <w:tcPr>
            <w:tcW w:type="dxa" w:w="1417"/>
          </w:tcPr>
          <w:p>
            <w:pPr>
              <w:pStyle w:val="TableText"/>
            </w:pPr>
            <w:r>
              <w:rPr>
                <w:rFonts w:ascii="Arial" w:hAnsi="Arial"/>
                <w:sz w:val="14"/>
              </w:rPr>
              <w:t>Decommissioning</w:t>
            </w:r>
          </w:p>
        </w:tc>
        <w:tc>
          <w:tcPr>
            <w:tcW w:type="dxa" w:w="1757"/>
          </w:tcPr>
          <w:p>
            <w:pPr>
              <w:pStyle w:val="TableText"/>
            </w:pPr>
            <w:r>
              <w:rPr>
                <w:rFonts w:ascii="Arial" w:hAnsi="Arial"/>
                <w:sz w:val="14"/>
              </w:rPr>
              <w:t>Managed decommissioning covering downstream models, outputs still in force, records and data disposition.</w:t>
            </w:r>
          </w:p>
        </w:tc>
        <w:tc>
          <w:tcPr>
            <w:tcW w:type="dxa" w:w="1701"/>
          </w:tcPr>
          <w:p>
            <w:pPr>
              <w:pStyle w:val="TableText"/>
            </w:pPr>
            <w:r>
              <w:rPr>
                <w:rFonts w:ascii="Arial" w:hAnsi="Arial"/>
                <w:sz w:val="14"/>
              </w:rPr>
              <w:t>Not separately addressed.</w:t>
            </w:r>
          </w:p>
        </w:tc>
        <w:tc>
          <w:tcPr>
            <w:tcW w:type="dxa" w:w="1701"/>
          </w:tcPr>
          <w:p>
            <w:pPr>
              <w:pStyle w:val="TableText"/>
            </w:pPr>
            <w:r>
              <w:rPr>
                <w:rFonts w:ascii="Arial" w:hAnsi="Arial"/>
                <w:sz w:val="14"/>
              </w:rPr>
              <w:t>Not separately addressed.</w:t>
            </w:r>
          </w:p>
        </w:tc>
        <w:tc>
          <w:tcPr>
            <w:tcW w:type="dxa" w:w="1701"/>
          </w:tcPr>
          <w:p>
            <w:pPr>
              <w:pStyle w:val="TableText"/>
            </w:pPr>
            <w:r>
              <w:rPr>
                <w:rFonts w:ascii="Arial" w:hAnsi="Arial"/>
                <w:sz w:val="14"/>
              </w:rPr>
              <w:t>Principle 3.6 expressly covers model decommission.</w:t>
            </w:r>
          </w:p>
        </w:tc>
        <w:tc>
          <w:tcPr>
            <w:tcW w:type="dxa" w:w="1701"/>
          </w:tcPr>
          <w:p>
            <w:pPr>
              <w:pStyle w:val="TableText"/>
            </w:pPr>
            <w:r>
              <w:rPr>
                <w:rFonts w:ascii="Arial" w:hAnsi="Arial"/>
                <w:sz w:val="14"/>
              </w:rPr>
              <w:t>Not separately addressed.</w:t>
            </w:r>
          </w:p>
        </w:tc>
        <w:tc>
          <w:tcPr>
            <w:tcW w:type="dxa" w:w="1644"/>
          </w:tcPr>
          <w:p>
            <w:pPr>
              <w:pStyle w:val="TableText"/>
            </w:pPr>
            <w:r>
              <w:rPr>
                <w:rFonts w:ascii="Arial" w:hAnsi="Arial"/>
                <w:sz w:val="14"/>
              </w:rPr>
              <w:t>Not addressed.</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Not addressed.</w:t>
            </w:r>
          </w:p>
        </w:tc>
      </w:tr>
      <w:tr>
        <w:tc>
          <w:tcPr>
            <w:tcW w:type="dxa" w:w="1417"/>
            <w:shd w:val="clear" w:color="auto" w:fill="F4F6FA"/>
          </w:tcPr>
          <w:p>
            <w:pPr>
              <w:pStyle w:val="TableText"/>
            </w:pPr>
            <w:r>
              <w:rPr>
                <w:rFonts w:ascii="Arial" w:hAnsi="Arial"/>
                <w:sz w:val="14"/>
              </w:rPr>
              <w:t>Third-party and vendor models</w:t>
            </w:r>
          </w:p>
        </w:tc>
        <w:tc>
          <w:tcPr>
            <w:tcW w:type="dxa" w:w="1757"/>
            <w:shd w:val="clear" w:color="auto" w:fill="F4F6FA"/>
          </w:tcPr>
          <w:p>
            <w:pPr>
              <w:pStyle w:val="TableText"/>
            </w:pPr>
            <w:r>
              <w:rPr>
                <w:rFonts w:ascii="Arial" w:hAnsi="Arial"/>
                <w:sz w:val="14"/>
              </w:rPr>
              <w:t>Full framework applied to third-party models, with usable information rights and compensating controls where information is unavailable.</w:t>
            </w:r>
          </w:p>
        </w:tc>
        <w:tc>
          <w:tcPr>
            <w:tcW w:type="dxa" w:w="1701"/>
            <w:shd w:val="clear" w:color="auto" w:fill="F4F6FA"/>
          </w:tcPr>
          <w:p>
            <w:pPr>
              <w:pStyle w:val="TableText"/>
            </w:pPr>
            <w:r>
              <w:rPr>
                <w:rFonts w:ascii="Arial" w:hAnsi="Arial"/>
                <w:sz w:val="14"/>
              </w:rPr>
              <w:t>Section VII on vendor and other third-party products, including validation and ongoing monitoring of vendor models.</w:t>
            </w:r>
          </w:p>
        </w:tc>
        <w:tc>
          <w:tcPr>
            <w:tcW w:type="dxa" w:w="1701"/>
            <w:shd w:val="clear" w:color="auto" w:fill="F4F6FA"/>
          </w:tcPr>
          <w:p>
            <w:pPr>
              <w:pStyle w:val="TableText"/>
            </w:pPr>
            <w:r>
              <w:rPr>
                <w:rFonts w:ascii="Arial" w:hAnsi="Arial"/>
                <w:sz w:val="14"/>
              </w:rPr>
              <w:t>Principle 2.6 use of externally developed models and third-party vendor products.</w:t>
            </w:r>
          </w:p>
        </w:tc>
        <w:tc>
          <w:tcPr>
            <w:tcW w:type="dxa" w:w="1701"/>
            <w:shd w:val="clear" w:color="auto" w:fill="F4F6FA"/>
          </w:tcPr>
          <w:p>
            <w:pPr>
              <w:pStyle w:val="TableText"/>
            </w:pPr>
            <w:r>
              <w:rPr>
                <w:rFonts w:ascii="Arial" w:hAnsi="Arial"/>
                <w:sz w:val="14"/>
              </w:rPr>
              <w:t>All models in scope regardless of source; B-10 applies to the arrangement.</w:t>
            </w:r>
          </w:p>
        </w:tc>
        <w:tc>
          <w:tcPr>
            <w:tcW w:type="dxa" w:w="1701"/>
            <w:shd w:val="clear" w:color="auto" w:fill="F4F6FA"/>
          </w:tcPr>
          <w:p>
            <w:pPr>
              <w:pStyle w:val="TableText"/>
            </w:pPr>
            <w:r>
              <w:rPr>
                <w:rFonts w:ascii="Arial" w:hAnsi="Arial"/>
                <w:sz w:val="14"/>
              </w:rPr>
              <w:t>Section 11 third-party involvement.</w:t>
            </w:r>
          </w:p>
        </w:tc>
        <w:tc>
          <w:tcPr>
            <w:tcW w:type="dxa" w:w="1644"/>
            <w:shd w:val="clear" w:color="auto" w:fill="F4F6FA"/>
          </w:tcPr>
          <w:p>
            <w:pPr>
              <w:pStyle w:val="TableText"/>
            </w:pPr>
            <w:r>
              <w:rPr>
                <w:rFonts w:ascii="Arial" w:hAnsi="Arial"/>
                <w:sz w:val="14"/>
              </w:rPr>
              <w:t>Provider opacity and contingency prominent in AI practice.</w:t>
            </w:r>
          </w:p>
        </w:tc>
        <w:tc>
          <w:tcPr>
            <w:tcW w:type="dxa" w:w="1531"/>
            <w:shd w:val="clear" w:color="auto" w:fill="F4F6FA"/>
          </w:tcPr>
          <w:p>
            <w:pPr>
              <w:pStyle w:val="TableText"/>
            </w:pPr>
            <w:r>
              <w:rPr>
                <w:rFonts w:ascii="Arial" w:hAnsi="Arial"/>
                <w:sz w:val="14"/>
              </w:rPr>
              <w:t>Twelve third-party risk principles covering the full lifecycle.</w:t>
            </w:r>
          </w:p>
        </w:tc>
        <w:tc>
          <w:tcPr>
            <w:tcW w:type="dxa" w:w="1417"/>
            <w:shd w:val="clear" w:color="auto" w:fill="F4F6FA"/>
          </w:tcPr>
          <w:p>
            <w:pPr>
              <w:pStyle w:val="TableText"/>
            </w:pPr>
            <w:r>
              <w:rPr>
                <w:rFonts w:ascii="Arial" w:hAnsi="Arial"/>
                <w:sz w:val="14"/>
              </w:rPr>
              <w:t>Sound Practice 12 third-party AI risk management.</w:t>
            </w:r>
          </w:p>
        </w:tc>
      </w:tr>
      <w:tr>
        <w:tc>
          <w:tcPr>
            <w:tcW w:type="dxa" w:w="1417"/>
          </w:tcPr>
          <w:p>
            <w:pPr>
              <w:pStyle w:val="TableText"/>
            </w:pPr>
            <w:r>
              <w:rPr>
                <w:rFonts w:ascii="Arial" w:hAnsi="Arial"/>
                <w:sz w:val="14"/>
              </w:rPr>
              <w:t>Concentration and substitutability</w:t>
            </w:r>
          </w:p>
        </w:tc>
        <w:tc>
          <w:tcPr>
            <w:tcW w:type="dxa" w:w="1757"/>
          </w:tcPr>
          <w:p>
            <w:pPr>
              <w:pStyle w:val="TableText"/>
            </w:pPr>
            <w:r>
              <w:rPr>
                <w:rFonts w:ascii="Arial" w:hAnsi="Arial"/>
                <w:sz w:val="14"/>
              </w:rPr>
              <w:t>Entity-level concentration assessment, with support for sector-wide monitoring of common model and data dependencies.</w:t>
            </w:r>
          </w:p>
        </w:tc>
        <w:tc>
          <w:tcPr>
            <w:tcW w:type="dxa" w:w="1701"/>
          </w:tcPr>
          <w:p>
            <w:pPr>
              <w:pStyle w:val="TableText"/>
            </w:pPr>
            <w:r>
              <w:rPr>
                <w:rFonts w:ascii="Arial" w:hAnsi="Arial"/>
                <w:sz w:val="14"/>
              </w:rPr>
              <w:t>Not addressed as a systemic matter.</w:t>
            </w:r>
          </w:p>
        </w:tc>
        <w:tc>
          <w:tcPr>
            <w:tcW w:type="dxa" w:w="1701"/>
          </w:tcPr>
          <w:p>
            <w:pPr>
              <w:pStyle w:val="TableText"/>
            </w:pPr>
            <w:r>
              <w:rPr>
                <w:rFonts w:ascii="Arial" w:hAnsi="Arial"/>
                <w:sz w:val="14"/>
              </w:rPr>
              <w:t>Not AI-specific.</w:t>
            </w:r>
          </w:p>
        </w:tc>
        <w:tc>
          <w:tcPr>
            <w:tcW w:type="dxa" w:w="1701"/>
          </w:tcPr>
          <w:p>
            <w:pPr>
              <w:pStyle w:val="TableText"/>
            </w:pPr>
            <w:r>
              <w:rPr>
                <w:rFonts w:ascii="Arial" w:hAnsi="Arial"/>
                <w:sz w:val="14"/>
              </w:rPr>
              <w:t>Interconnectedness is a proportionality factor.</w:t>
            </w:r>
          </w:p>
        </w:tc>
        <w:tc>
          <w:tcPr>
            <w:tcW w:type="dxa" w:w="1701"/>
          </w:tcPr>
          <w:p>
            <w:pPr>
              <w:pStyle w:val="TableText"/>
            </w:pPr>
            <w:r>
              <w:rPr>
                <w:rFonts w:ascii="Arial" w:hAnsi="Arial"/>
                <w:sz w:val="14"/>
              </w:rPr>
              <w:t>Not addressed as a systemic matter.</w:t>
            </w:r>
          </w:p>
        </w:tc>
        <w:tc>
          <w:tcPr>
            <w:tcW w:type="dxa" w:w="1644"/>
          </w:tcPr>
          <w:p>
            <w:pPr>
              <w:pStyle w:val="TableText"/>
            </w:pPr>
            <w:r>
              <w:rPr>
                <w:rFonts w:ascii="Arial" w:hAnsi="Arial"/>
                <w:sz w:val="14"/>
              </w:rPr>
              <w:t>Provider concentration highlighted in AI practice.</w:t>
            </w:r>
          </w:p>
        </w:tc>
        <w:tc>
          <w:tcPr>
            <w:tcW w:type="dxa" w:w="1531"/>
          </w:tcPr>
          <w:p>
            <w:pPr>
              <w:pStyle w:val="TableText"/>
            </w:pPr>
            <w:r>
              <w:rPr>
                <w:rFonts w:ascii="Arial" w:hAnsi="Arial"/>
                <w:sz w:val="14"/>
              </w:rPr>
              <w:t>Concentration addressed in the third-party principles.</w:t>
            </w:r>
          </w:p>
        </w:tc>
        <w:tc>
          <w:tcPr>
            <w:tcW w:type="dxa" w:w="1417"/>
          </w:tcPr>
          <w:p>
            <w:pPr>
              <w:pStyle w:val="TableText"/>
            </w:pPr>
            <w:r>
              <w:rPr>
                <w:rFonts w:ascii="Arial" w:hAnsi="Arial"/>
                <w:sz w:val="14"/>
              </w:rPr>
              <w:t>Third-party dependencies and service provider concentration identified as a financial stability vulnerability.</w:t>
            </w:r>
          </w:p>
        </w:tc>
      </w:tr>
      <w:tr>
        <w:tc>
          <w:tcPr>
            <w:tcW w:type="dxa" w:w="1417"/>
            <w:shd w:val="clear" w:color="auto" w:fill="F4F6FA"/>
          </w:tcPr>
          <w:p>
            <w:pPr>
              <w:pStyle w:val="TableText"/>
            </w:pPr>
            <w:r>
              <w:rPr>
                <w:rFonts w:ascii="Arial" w:hAnsi="Arial"/>
                <w:sz w:val="14"/>
              </w:rPr>
              <w:t>AI and machine learning models</w:t>
            </w:r>
          </w:p>
        </w:tc>
        <w:tc>
          <w:tcPr>
            <w:tcW w:type="dxa" w:w="1757"/>
            <w:shd w:val="clear" w:color="auto" w:fill="F4F6FA"/>
          </w:tcPr>
          <w:p>
            <w:pPr>
              <w:pStyle w:val="TableText"/>
            </w:pPr>
            <w:r>
              <w:rPr>
                <w:rFonts w:ascii="Arial" w:hAnsi="Arial"/>
                <w:sz w:val="14"/>
              </w:rPr>
              <w:t>AI models within the framework as a model class, with an express boundary rule against the separate AI instrument.</w:t>
            </w:r>
          </w:p>
        </w:tc>
        <w:tc>
          <w:tcPr>
            <w:tcW w:type="dxa" w:w="1701"/>
            <w:shd w:val="clear" w:color="auto" w:fill="F4F6FA"/>
          </w:tcPr>
          <w:p>
            <w:pPr>
              <w:pStyle w:val="TableText"/>
            </w:pPr>
            <w:r>
              <w:rPr>
                <w:rFonts w:ascii="Arial" w:hAnsi="Arial"/>
                <w:sz w:val="14"/>
              </w:rPr>
              <w:t>Traditional and non-generative, non-agentic AI models in scope; generative and agentic AI expressly excluded.</w:t>
            </w:r>
          </w:p>
        </w:tc>
        <w:tc>
          <w:tcPr>
            <w:tcW w:type="dxa" w:w="1701"/>
            <w:shd w:val="clear" w:color="auto" w:fill="F4F6FA"/>
          </w:tcPr>
          <w:p>
            <w:pPr>
              <w:pStyle w:val="TableText"/>
            </w:pPr>
            <w:r>
              <w:rPr>
                <w:rFonts w:ascii="Arial" w:hAnsi="Arial"/>
                <w:sz w:val="14"/>
              </w:rPr>
              <w:t>Covered where AI meets the firm's model definition; a 2025 roundtable considered AI and ML in model risk.</w:t>
            </w:r>
          </w:p>
        </w:tc>
        <w:tc>
          <w:tcPr>
            <w:tcW w:type="dxa" w:w="1701"/>
            <w:shd w:val="clear" w:color="auto" w:fill="F4F6FA"/>
          </w:tcPr>
          <w:p>
            <w:pPr>
              <w:pStyle w:val="TableText"/>
            </w:pPr>
            <w:r>
              <w:rPr>
                <w:rFonts w:ascii="Arial" w:hAnsi="Arial"/>
                <w:sz w:val="14"/>
              </w:rPr>
              <w:t>Model definition expressly includes AI and machine learning.</w:t>
            </w:r>
          </w:p>
        </w:tc>
        <w:tc>
          <w:tcPr>
            <w:tcW w:type="dxa" w:w="1701"/>
            <w:shd w:val="clear" w:color="auto" w:fill="F4F6FA"/>
          </w:tcPr>
          <w:p>
            <w:pPr>
              <w:pStyle w:val="TableText"/>
            </w:pPr>
            <w:r>
              <w:rPr>
                <w:rFonts w:ascii="Arial" w:hAnsi="Arial"/>
                <w:sz w:val="14"/>
              </w:rPr>
              <w:t>Section 9 on the use of machine learning techniques in internal models.</w:t>
            </w:r>
          </w:p>
        </w:tc>
        <w:tc>
          <w:tcPr>
            <w:tcW w:type="dxa" w:w="1644"/>
            <w:shd w:val="clear" w:color="auto" w:fill="F4F6FA"/>
          </w:tcPr>
          <w:p>
            <w:pPr>
              <w:pStyle w:val="TableText"/>
            </w:pPr>
            <w:r>
              <w:rPr>
                <w:rFonts w:ascii="Arial" w:hAnsi="Arial"/>
                <w:sz w:val="14"/>
              </w:rPr>
              <w:t>Detailed observed practice for AI model risk management, including generative AI.</w:t>
            </w:r>
          </w:p>
        </w:tc>
        <w:tc>
          <w:tcPr>
            <w:tcW w:type="dxa" w:w="1531"/>
            <w:shd w:val="clear" w:color="auto" w:fill="F4F6FA"/>
          </w:tcPr>
          <w:p>
            <w:pPr>
              <w:pStyle w:val="TableText"/>
            </w:pPr>
            <w:r>
              <w:rPr>
                <w:rFonts w:ascii="Arial" w:hAnsi="Arial"/>
                <w:sz w:val="14"/>
              </w:rPr>
              <w:t>Analytical work on digitalisation and an AI/ML newsletter; no dedicated standard.</w:t>
            </w:r>
          </w:p>
        </w:tc>
        <w:tc>
          <w:tcPr>
            <w:tcW w:type="dxa" w:w="1417"/>
            <w:shd w:val="clear" w:color="auto" w:fill="F4F6FA"/>
          </w:tcPr>
          <w:p>
            <w:pPr>
              <w:pStyle w:val="TableText"/>
            </w:pPr>
            <w:r>
              <w:rPr>
                <w:rFonts w:ascii="Arial" w:hAnsi="Arial"/>
                <w:sz w:val="14"/>
              </w:rPr>
              <w:t>Twelve sound practices for AI adoption, expressly not a standard.</w:t>
            </w:r>
          </w:p>
        </w:tc>
      </w:tr>
      <w:tr>
        <w:tc>
          <w:tcPr>
            <w:tcW w:type="dxa" w:w="1417"/>
          </w:tcPr>
          <w:p>
            <w:pPr>
              <w:pStyle w:val="TableText"/>
            </w:pPr>
            <w:r>
              <w:rPr>
                <w:rFonts w:ascii="Arial" w:hAnsi="Arial"/>
                <w:sz w:val="14"/>
              </w:rPr>
              <w:t>Expected credit loss and provisioning models</w:t>
            </w:r>
          </w:p>
        </w:tc>
        <w:tc>
          <w:tcPr>
            <w:tcW w:type="dxa" w:w="1757"/>
          </w:tcPr>
          <w:p>
            <w:pPr>
              <w:pStyle w:val="TableText"/>
            </w:pPr>
            <w:r>
              <w:rPr>
                <w:rFonts w:ascii="Arial" w:hAnsi="Arial"/>
                <w:sz w:val="14"/>
              </w:rPr>
              <w:t>Express requirement that ECL and provisioning models are within the model risk framework, with judgement-based adjustments, overlays, assumptions and scenarios governed with the same discipline as the models, and a set of review focus areas in Annex G.</w:t>
            </w:r>
          </w:p>
        </w:tc>
        <w:tc>
          <w:tcPr>
            <w:tcW w:type="dxa" w:w="1701"/>
          </w:tcPr>
          <w:p>
            <w:pPr>
              <w:pStyle w:val="TableText"/>
            </w:pPr>
            <w:r>
              <w:rPr>
                <w:rFonts w:ascii="Arial" w:hAnsi="Arial"/>
                <w:sz w:val="14"/>
              </w:rPr>
              <w:t>Not addressed as a distinct model class in the model risk guidance; ECL sits in the accounting and credit supervision streams.</w:t>
            </w:r>
          </w:p>
        </w:tc>
        <w:tc>
          <w:tcPr>
            <w:tcW w:type="dxa" w:w="1701"/>
          </w:tcPr>
          <w:p>
            <w:pPr>
              <w:pStyle w:val="TableText"/>
            </w:pPr>
            <w:r>
              <w:rPr>
                <w:rFonts w:ascii="Arial" w:hAnsi="Arial"/>
                <w:sz w:val="14"/>
              </w:rPr>
              <w:t>Covered where an ECL model falls within the firm's model definition; no dedicated ECL provision in SS1/23.</w:t>
            </w:r>
          </w:p>
        </w:tc>
        <w:tc>
          <w:tcPr>
            <w:tcW w:type="dxa" w:w="1701"/>
          </w:tcPr>
          <w:p>
            <w:pPr>
              <w:pStyle w:val="TableText"/>
            </w:pPr>
            <w:r>
              <w:rPr>
                <w:rFonts w:ascii="Arial" w:hAnsi="Arial"/>
                <w:sz w:val="14"/>
              </w:rPr>
              <w:t>Covered by the general model definition; no dedicated ECL principle.</w:t>
            </w:r>
          </w:p>
        </w:tc>
        <w:tc>
          <w:tcPr>
            <w:tcW w:type="dxa" w:w="1701"/>
          </w:tcPr>
          <w:p>
            <w:pPr>
              <w:pStyle w:val="TableText"/>
            </w:pPr>
            <w:r>
              <w:rPr>
                <w:rFonts w:ascii="Arial" w:hAnsi="Arial"/>
                <w:sz w:val="14"/>
              </w:rPr>
              <w:t>IFRS 9 ECL models fall within the internal models and credit risk supervisory frameworks; no dedicated chapter in the internal models guide.</w:t>
            </w:r>
          </w:p>
        </w:tc>
        <w:tc>
          <w:tcPr>
            <w:tcW w:type="dxa" w:w="1644"/>
          </w:tcPr>
          <w:p>
            <w:pPr>
              <w:pStyle w:val="TableText"/>
            </w:pPr>
            <w:r>
              <w:rPr>
                <w:rFonts w:ascii="Arial" w:hAnsi="Arial"/>
                <w:sz w:val="14"/>
              </w:rPr>
              <w:t>Not addressed as a distinct model class.</w:t>
            </w:r>
          </w:p>
        </w:tc>
        <w:tc>
          <w:tcPr>
            <w:tcW w:type="dxa" w:w="1531"/>
          </w:tcPr>
          <w:p>
            <w:pPr>
              <w:pStyle w:val="TableText"/>
            </w:pPr>
            <w:r>
              <w:rPr>
                <w:rFonts w:ascii="Arial" w:hAnsi="Arial"/>
                <w:sz w:val="14"/>
              </w:rPr>
              <w:t>Dedicated guidance: eleven principles on credit risk and accounting for expected credit losses, including Principle 5 on ECL model validation and Principles 9 to 11 on supervisory evaluation.</w:t>
            </w:r>
          </w:p>
        </w:tc>
        <w:tc>
          <w:tcPr>
            <w:tcW w:type="dxa" w:w="1417"/>
          </w:tcPr>
          <w:p>
            <w:pPr>
              <w:pStyle w:val="TableText"/>
            </w:pPr>
            <w:r>
              <w:rPr>
                <w:rFonts w:ascii="Arial" w:hAnsi="Arial"/>
                <w:sz w:val="14"/>
              </w:rPr>
              <w:t>Not addressed.</w:t>
            </w:r>
          </w:p>
        </w:tc>
      </w:tr>
      <w:tr>
        <w:tc>
          <w:tcPr>
            <w:tcW w:type="dxa" w:w="1417"/>
            <w:shd w:val="clear" w:color="auto" w:fill="F4F6FA"/>
          </w:tcPr>
          <w:p>
            <w:pPr>
              <w:pStyle w:val="TableText"/>
            </w:pPr>
            <w:r>
              <w:rPr>
                <w:rFonts w:ascii="Arial" w:hAnsi="Arial"/>
                <w:sz w:val="14"/>
              </w:rPr>
              <w:t>Aggregate model risk</w:t>
            </w:r>
          </w:p>
        </w:tc>
        <w:tc>
          <w:tcPr>
            <w:tcW w:type="dxa" w:w="1757"/>
            <w:shd w:val="clear" w:color="auto" w:fill="F4F6FA"/>
          </w:tcPr>
          <w:p>
            <w:pPr>
              <w:pStyle w:val="TableText"/>
            </w:pPr>
            <w:r>
              <w:rPr>
                <w:rFonts w:ascii="Arial" w:hAnsi="Arial"/>
                <w:sz w:val="14"/>
              </w:rPr>
              <w:t>Aggregate assessment required and considered in internal capital assessment, with qualitative measures permitted where quantification is not yet feasible.</w:t>
            </w:r>
          </w:p>
        </w:tc>
        <w:tc>
          <w:tcPr>
            <w:tcW w:type="dxa" w:w="1701"/>
            <w:shd w:val="clear" w:color="auto" w:fill="F4F6FA"/>
          </w:tcPr>
          <w:p>
            <w:pPr>
              <w:pStyle w:val="TableText"/>
            </w:pPr>
            <w:r>
              <w:rPr>
                <w:rFonts w:ascii="Arial" w:hAnsi="Arial"/>
                <w:sz w:val="14"/>
              </w:rPr>
              <w:t>Sound practice to assess model risk individually and in aggregate, reflecting interactions, dependencies and reliance on common assumptions, data or methodologies.</w:t>
            </w:r>
          </w:p>
        </w:tc>
        <w:tc>
          <w:tcPr>
            <w:tcW w:type="dxa" w:w="1701"/>
            <w:shd w:val="clear" w:color="auto" w:fill="F4F6FA"/>
          </w:tcPr>
          <w:p>
            <w:pPr>
              <w:pStyle w:val="TableText"/>
            </w:pPr>
            <w:r>
              <w:rPr>
                <w:rFonts w:ascii="Arial" w:hAnsi="Arial"/>
                <w:sz w:val="14"/>
              </w:rPr>
              <w:t>Principle 2.1 board responsibilities, covering understanding and reporting of model risk in aggregate.</w:t>
            </w:r>
          </w:p>
        </w:tc>
        <w:tc>
          <w:tcPr>
            <w:tcW w:type="dxa" w:w="1701"/>
            <w:shd w:val="clear" w:color="auto" w:fill="F4F6FA"/>
          </w:tcPr>
          <w:p>
            <w:pPr>
              <w:pStyle w:val="TableText"/>
            </w:pPr>
            <w:r>
              <w:rPr>
                <w:rFonts w:ascii="Arial" w:hAnsi="Arial"/>
                <w:sz w:val="14"/>
              </w:rPr>
              <w:t>Outcome 1 requires model risk to be understood across the enterprise.</w:t>
            </w:r>
          </w:p>
        </w:tc>
        <w:tc>
          <w:tcPr>
            <w:tcW w:type="dxa" w:w="1701"/>
            <w:shd w:val="clear" w:color="auto" w:fill="F4F6FA"/>
          </w:tcPr>
          <w:p>
            <w:pPr>
              <w:pStyle w:val="TableText"/>
            </w:pPr>
            <w:r>
              <w:rPr>
                <w:rFonts w:ascii="Arial" w:hAnsi="Arial"/>
                <w:sz w:val="14"/>
              </w:rPr>
              <w:t>Model risk considered in supervisory review.</w:t>
            </w:r>
          </w:p>
        </w:tc>
        <w:tc>
          <w:tcPr>
            <w:tcW w:type="dxa" w:w="1644"/>
            <w:shd w:val="clear" w:color="auto" w:fill="F4F6FA"/>
          </w:tcPr>
          <w:p>
            <w:pPr>
              <w:pStyle w:val="TableText"/>
            </w:pPr>
            <w:r>
              <w:rPr>
                <w:rFonts w:ascii="Arial" w:hAnsi="Arial"/>
                <w:sz w:val="14"/>
              </w:rPr>
              <w:t>Not addressed.</w:t>
            </w:r>
          </w:p>
        </w:tc>
        <w:tc>
          <w:tcPr>
            <w:tcW w:type="dxa" w:w="1531"/>
            <w:shd w:val="clear" w:color="auto" w:fill="F4F6FA"/>
          </w:tcPr>
          <w:p>
            <w:pPr>
              <w:pStyle w:val="TableText"/>
            </w:pPr>
            <w:r>
              <w:rPr>
                <w:rFonts w:ascii="Arial" w:hAnsi="Arial"/>
                <w:sz w:val="14"/>
              </w:rPr>
              <w:t>Prudent valuation guidance (CAP50) and the Pillar 3 prudent valuation template may bear on aggregate model risk adjustment and disclosure; not confirmed from primary text at the as-of date.</w:t>
            </w:r>
          </w:p>
        </w:tc>
        <w:tc>
          <w:tcPr>
            <w:tcW w:type="dxa" w:w="1417"/>
            <w:shd w:val="clear" w:color="auto" w:fill="F4F6FA"/>
          </w:tcPr>
          <w:p>
            <w:pPr>
              <w:pStyle w:val="TableText"/>
            </w:pPr>
            <w:r>
              <w:rPr>
                <w:rFonts w:ascii="Arial" w:hAnsi="Arial"/>
                <w:sz w:val="14"/>
              </w:rPr>
              <w:t>Not addressed.</w:t>
            </w:r>
          </w:p>
        </w:tc>
      </w:tr>
      <w:tr>
        <w:tc>
          <w:tcPr>
            <w:tcW w:type="dxa" w:w="1417"/>
          </w:tcPr>
          <w:p>
            <w:pPr>
              <w:pStyle w:val="TableText"/>
            </w:pPr>
            <w:r>
              <w:rPr>
                <w:rFonts w:ascii="Arial" w:hAnsi="Arial"/>
                <w:sz w:val="14"/>
              </w:rPr>
              <w:t>Internal audit and assurance</w:t>
            </w:r>
          </w:p>
        </w:tc>
        <w:tc>
          <w:tcPr>
            <w:tcW w:type="dxa" w:w="1757"/>
          </w:tcPr>
          <w:p>
            <w:pPr>
              <w:pStyle w:val="TableText"/>
            </w:pPr>
            <w:r>
              <w:rPr>
                <w:rFonts w:ascii="Arial" w:hAnsi="Arial"/>
                <w:sz w:val="14"/>
              </w:rPr>
              <w:t>Periodic independent assessment of framework design and operating effectiveness, including the effectiveness of validation and challenge, reported to the Board Audit Committee.</w:t>
            </w:r>
          </w:p>
        </w:tc>
        <w:tc>
          <w:tcPr>
            <w:tcW w:type="dxa" w:w="1701"/>
          </w:tcPr>
          <w:p>
            <w:pPr>
              <w:pStyle w:val="TableText"/>
            </w:pPr>
            <w:r>
              <w:rPr>
                <w:rFonts w:ascii="Arial" w:hAnsi="Arial"/>
                <w:sz w:val="14"/>
              </w:rPr>
              <w:t>Internal audit evaluates whether model risk management practices are rigorous and effective, rather than duplicating validation.</w:t>
            </w:r>
          </w:p>
        </w:tc>
        <w:tc>
          <w:tcPr>
            <w:tcW w:type="dxa" w:w="1701"/>
          </w:tcPr>
          <w:p>
            <w:pPr>
              <w:pStyle w:val="TableText"/>
            </w:pPr>
            <w:r>
              <w:rPr>
                <w:rFonts w:ascii="Arial" w:hAnsi="Arial"/>
                <w:sz w:val="14"/>
              </w:rPr>
              <w:t>Principle 2.5 Internal Audit.</w:t>
            </w:r>
          </w:p>
        </w:tc>
        <w:tc>
          <w:tcPr>
            <w:tcW w:type="dxa" w:w="1701"/>
          </w:tcPr>
          <w:p>
            <w:pPr>
              <w:pStyle w:val="TableText"/>
            </w:pPr>
            <w:r>
              <w:rPr>
                <w:rFonts w:ascii="Arial" w:hAnsi="Arial"/>
                <w:sz w:val="14"/>
              </w:rPr>
              <w:t>Addressed within governance expectations.</w:t>
            </w:r>
          </w:p>
        </w:tc>
        <w:tc>
          <w:tcPr>
            <w:tcW w:type="dxa" w:w="1701"/>
          </w:tcPr>
          <w:p>
            <w:pPr>
              <w:pStyle w:val="TableText"/>
            </w:pPr>
            <w:r>
              <w:rPr>
                <w:rFonts w:ascii="Arial" w:hAnsi="Arial"/>
                <w:sz w:val="14"/>
              </w:rPr>
              <w:t>Section 7 internal audit; CRR Article 191 makes it binding.</w:t>
            </w:r>
          </w:p>
        </w:tc>
        <w:tc>
          <w:tcPr>
            <w:tcW w:type="dxa" w:w="1644"/>
          </w:tcPr>
          <w:p>
            <w:pPr>
              <w:pStyle w:val="TableText"/>
            </w:pPr>
            <w:r>
              <w:rPr>
                <w:rFonts w:ascii="Arial" w:hAnsi="Arial"/>
                <w:sz w:val="14"/>
              </w:rPr>
              <w:t>Independent review under Notice 637.</w:t>
            </w:r>
          </w:p>
        </w:tc>
        <w:tc>
          <w:tcPr>
            <w:tcW w:type="dxa" w:w="1531"/>
          </w:tcPr>
          <w:p>
            <w:pPr>
              <w:pStyle w:val="TableText"/>
            </w:pPr>
            <w:r>
              <w:rPr>
                <w:rFonts w:ascii="Arial" w:hAnsi="Arial"/>
                <w:sz w:val="14"/>
              </w:rPr>
              <w:t>Three lines concepts apply generally.</w:t>
            </w:r>
          </w:p>
        </w:tc>
        <w:tc>
          <w:tcPr>
            <w:tcW w:type="dxa" w:w="1417"/>
          </w:tcPr>
          <w:p>
            <w:pPr>
              <w:pStyle w:val="TableText"/>
            </w:pPr>
            <w:r>
              <w:rPr>
                <w:rFonts w:ascii="Arial" w:hAnsi="Arial"/>
                <w:sz w:val="14"/>
              </w:rPr>
              <w:t>Governance sound practices.</w:t>
            </w:r>
          </w:p>
        </w:tc>
      </w:tr>
      <w:tr>
        <w:tc>
          <w:tcPr>
            <w:tcW w:type="dxa" w:w="1417"/>
            <w:shd w:val="clear" w:color="auto" w:fill="F4F6FA"/>
          </w:tcPr>
          <w:p>
            <w:pPr>
              <w:pStyle w:val="TableText"/>
            </w:pPr>
            <w:r>
              <w:rPr>
                <w:rFonts w:ascii="Arial" w:hAnsi="Arial"/>
                <w:sz w:val="14"/>
              </w:rPr>
              <w:t>Supervisory notification</w:t>
            </w:r>
          </w:p>
        </w:tc>
        <w:tc>
          <w:tcPr>
            <w:tcW w:type="dxa" w:w="1757"/>
            <w:shd w:val="clear" w:color="auto" w:fill="F4F6FA"/>
          </w:tcPr>
          <w:p>
            <w:pPr>
              <w:pStyle w:val="TableText"/>
            </w:pPr>
            <w:r>
              <w:rPr>
                <w:rFonts w:ascii="Arial" w:hAnsi="Arial"/>
                <w:sz w:val="14"/>
              </w:rPr>
              <w:t>Cross-references CPS 230 and CPS 234 rather than creating a separate deadline, with early engagement expected on material model weakness.</w:t>
            </w:r>
          </w:p>
        </w:tc>
        <w:tc>
          <w:tcPr>
            <w:tcW w:type="dxa" w:w="1701"/>
            <w:shd w:val="clear" w:color="auto" w:fill="F4F6FA"/>
          </w:tcPr>
          <w:p>
            <w:pPr>
              <w:pStyle w:val="TableText"/>
            </w:pPr>
            <w:r>
              <w:rPr>
                <w:rFonts w:ascii="Arial" w:hAnsi="Arial"/>
                <w:sz w:val="14"/>
              </w:rPr>
              <w:t>No model-specific notification requirement.</w:t>
            </w:r>
          </w:p>
        </w:tc>
        <w:tc>
          <w:tcPr>
            <w:tcW w:type="dxa" w:w="1701"/>
            <w:shd w:val="clear" w:color="auto" w:fill="F4F6FA"/>
          </w:tcPr>
          <w:p>
            <w:pPr>
              <w:pStyle w:val="TableText"/>
            </w:pPr>
            <w:r>
              <w:rPr>
                <w:rFonts w:ascii="Arial" w:hAnsi="Arial"/>
                <w:sz w:val="14"/>
              </w:rPr>
              <w:t>Escalation within the framework; no notification rule.</w:t>
            </w:r>
          </w:p>
        </w:tc>
        <w:tc>
          <w:tcPr>
            <w:tcW w:type="dxa" w:w="1701"/>
            <w:shd w:val="clear" w:color="auto" w:fill="F4F6FA"/>
          </w:tcPr>
          <w:p>
            <w:pPr>
              <w:pStyle w:val="TableText"/>
            </w:pPr>
            <w:r>
              <w:rPr>
                <w:rFonts w:ascii="Arial" w:hAnsi="Arial"/>
                <w:sz w:val="14"/>
              </w:rPr>
              <w:t>Supervisory engagement expected.</w:t>
            </w:r>
          </w:p>
        </w:tc>
        <w:tc>
          <w:tcPr>
            <w:tcW w:type="dxa" w:w="1701"/>
            <w:shd w:val="clear" w:color="auto" w:fill="F4F6FA"/>
          </w:tcPr>
          <w:p>
            <w:pPr>
              <w:pStyle w:val="TableText"/>
            </w:pPr>
            <w:r>
              <w:rPr>
                <w:rFonts w:ascii="Arial" w:hAnsi="Arial"/>
                <w:sz w:val="14"/>
              </w:rPr>
              <w:t>Model change approval required from the supervisor for capital models.</w:t>
            </w:r>
          </w:p>
        </w:tc>
        <w:tc>
          <w:tcPr>
            <w:tcW w:type="dxa" w:w="1644"/>
            <w:shd w:val="clear" w:color="auto" w:fill="F4F6FA"/>
          </w:tcPr>
          <w:p>
            <w:pPr>
              <w:pStyle w:val="TableText"/>
            </w:pPr>
            <w:r>
              <w:rPr>
                <w:rFonts w:ascii="Arial" w:hAnsi="Arial"/>
                <w:sz w:val="14"/>
              </w:rPr>
              <w:t>Notification for capital model changes.</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Not addressed.</w:t>
            </w:r>
          </w:p>
        </w:tc>
      </w:tr>
    </w:tbl>
    <w:p>
      <w:pPr>
        <w:sectPr>
          <w:pgSz w:w="16838" w:h="11906" w:orient="landscape"/>
          <w:pgMar w:top="907" w:right="850" w:bottom="907" w:left="850" w:header="624" w:footer="567" w:gutter="0"/>
          <w:cols w:space="720"/>
          <w:docGrid w:linePitch="360"/>
        </w:sectPr>
      </w:pPr>
    </w:p>
    <w:p>
      <w:pPr>
        <w:pStyle w:val="Heading1"/>
      </w:pPr>
      <w:r>
        <w:t>Annex E — Source register</w:t>
      </w:r>
    </w:p>
    <w:p>
      <w:pPr>
        <w:pStyle w:val="Guidance"/>
      </w:pPr>
      <w:r>
        <w:t>Every source relied upon in this Prudential Standard and in CPG XXXX. URLs are to official authority websites and were checked on the date shown. Where a source could not be confirmed from an official domain it is marked accordingly and has not been relied upon for any statement of requirement.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569"/>
        <w:gridCol w:w="1569"/>
        <w:gridCol w:w="1569"/>
        <w:gridCol w:w="1569"/>
        <w:gridCol w:w="1569"/>
        <w:gridCol w:w="1569"/>
      </w:tblGrid>
      <w:tr>
        <w:trPr>
          <w:tblHeader w:val="true"/>
        </w:trPr>
        <w:tc>
          <w:tcPr>
            <w:tcW w:type="dxa" w:w="1077"/>
            <w:shd w:val="clear" w:color="auto" w:fill="1B335F"/>
          </w:tcPr>
          <w:p>
            <w:pPr>
              <w:pStyle w:val="TableHead"/>
            </w:pPr>
            <w:r>
              <w:rPr>
                <w:rFonts w:ascii="Arial" w:hAnsi="Arial"/>
                <w:b/>
                <w:color w:val="FFFFFF"/>
                <w:sz w:val="14"/>
              </w:rPr>
              <w:t>ID</w:t>
            </w:r>
          </w:p>
        </w:tc>
        <w:tc>
          <w:tcPr>
            <w:tcW w:type="dxa" w:w="850"/>
            <w:shd w:val="clear" w:color="auto" w:fill="1B335F"/>
          </w:tcPr>
          <w:p>
            <w:pPr>
              <w:pStyle w:val="TableHead"/>
            </w:pPr>
            <w:r>
              <w:rPr>
                <w:rFonts w:ascii="Arial" w:hAnsi="Arial"/>
                <w:b/>
                <w:color w:val="FFFFFF"/>
                <w:sz w:val="14"/>
              </w:rPr>
              <w:t>Authority</w:t>
            </w:r>
          </w:p>
        </w:tc>
        <w:tc>
          <w:tcPr>
            <w:tcW w:type="dxa" w:w="2494"/>
            <w:shd w:val="clear" w:color="auto" w:fill="1B335F"/>
          </w:tcPr>
          <w:p>
            <w:pPr>
              <w:pStyle w:val="TableHead"/>
            </w:pPr>
            <w:r>
              <w:rPr>
                <w:rFonts w:ascii="Arial" w:hAnsi="Arial"/>
                <w:b/>
                <w:color w:val="FFFFFF"/>
                <w:sz w:val="14"/>
              </w:rPr>
              <w:t>Title</w:t>
            </w:r>
          </w:p>
        </w:tc>
        <w:tc>
          <w:tcPr>
            <w:tcW w:type="dxa" w:w="1304"/>
            <w:shd w:val="clear" w:color="auto" w:fill="1B335F"/>
          </w:tcPr>
          <w:p>
            <w:pPr>
              <w:pStyle w:val="TableHead"/>
            </w:pPr>
            <w:r>
              <w:rPr>
                <w:rFonts w:ascii="Arial" w:hAnsi="Arial"/>
                <w:b/>
                <w:color w:val="FFFFFF"/>
                <w:sz w:val="14"/>
              </w:rPr>
              <w:t>Date / effect</w:t>
            </w:r>
          </w:p>
        </w:tc>
        <w:tc>
          <w:tcPr>
            <w:tcW w:type="dxa" w:w="1701"/>
            <w:shd w:val="clear" w:color="auto" w:fill="1B335F"/>
          </w:tcPr>
          <w:p>
            <w:pPr>
              <w:pStyle w:val="TableHead"/>
            </w:pPr>
            <w:r>
              <w:rPr>
                <w:rFonts w:ascii="Arial" w:hAnsi="Arial"/>
                <w:b/>
                <w:color w:val="FFFFFF"/>
                <w:sz w:val="14"/>
              </w:rPr>
              <w:t>Legal status</w:t>
            </w:r>
          </w:p>
        </w:tc>
        <w:tc>
          <w:tcPr>
            <w:tcW w:type="dxa" w:w="1984"/>
            <w:shd w:val="clear" w:color="auto" w:fill="1B335F"/>
          </w:tcPr>
          <w:p>
            <w:pPr>
              <w:pStyle w:val="TableHead"/>
            </w:pPr>
            <w:r>
              <w:rPr>
                <w:rFonts w:ascii="Arial" w:hAnsi="Arial"/>
                <w:b/>
                <w:color w:val="FFFFFF"/>
                <w:sz w:val="14"/>
              </w:rPr>
              <w:t>Official URL</w:t>
            </w:r>
          </w:p>
        </w:tc>
      </w:tr>
      <w:tr>
        <w:tc>
          <w:tcPr>
            <w:tcW w:type="dxa" w:w="1077"/>
          </w:tcPr>
          <w:p>
            <w:pPr>
              <w:pStyle w:val="TableText"/>
            </w:pPr>
            <w:r>
              <w:rPr>
                <w:rFonts w:ascii="Arial" w:hAnsi="Arial"/>
                <w:sz w:val="14"/>
              </w:rPr>
              <w:t>US-MRM-2026</w:t>
            </w:r>
          </w:p>
        </w:tc>
        <w:tc>
          <w:tcPr>
            <w:tcW w:type="dxa" w:w="850"/>
          </w:tcPr>
          <w:p>
            <w:pPr>
              <w:pStyle w:val="TableText"/>
            </w:pPr>
            <w:r>
              <w:rPr>
                <w:rFonts w:ascii="Arial" w:hAnsi="Arial"/>
                <w:sz w:val="14"/>
              </w:rPr>
              <w:t>OCC / FRB / FDIC</w:t>
            </w:r>
          </w:p>
        </w:tc>
        <w:tc>
          <w:tcPr>
            <w:tcW w:type="dxa" w:w="2494"/>
          </w:tcPr>
          <w:p>
            <w:pPr>
              <w:pStyle w:val="TableText"/>
            </w:pPr>
            <w:r>
              <w:rPr>
                <w:rFonts w:ascii="Arial" w:hAnsi="Arial"/>
                <w:sz w:val="14"/>
              </w:rPr>
              <w:t>Supervisory Guidance on Model Risk Management — interagency guidance issued as Federal Reserve SR 26-2, OCC Bulletin 2026-13 and FDIC FIL-15-2026</w:t>
            </w:r>
          </w:p>
        </w:tc>
        <w:tc>
          <w:tcPr>
            <w:tcW w:type="dxa" w:w="1304"/>
          </w:tcPr>
          <w:p>
            <w:pPr>
              <w:pStyle w:val="TableText"/>
            </w:pPr>
            <w:r>
              <w:rPr>
                <w:rFonts w:ascii="Arial" w:hAnsi="Arial"/>
                <w:sz w:val="14"/>
              </w:rPr>
              <w:t>17 Apr 2026</w:t>
            </w:r>
          </w:p>
        </w:tc>
        <w:tc>
          <w:tcPr>
            <w:tcW w:type="dxa" w:w="1701"/>
          </w:tcPr>
          <w:p>
            <w:pPr>
              <w:pStyle w:val="TableText"/>
            </w:pPr>
            <w:r>
              <w:rPr>
                <w:rFonts w:ascii="Arial" w:hAnsi="Arial"/>
                <w:sz w:val="14"/>
              </w:rPr>
              <w:t>Interagency supervisory guidance. Expressly non-enforceable: it 'does not set forth enforceable standards or prescriptive requirements' and non-compliance 'will not result in supervisory criticism'. US supervisory guidance does not have the force and effect of law.</w:t>
            </w:r>
          </w:p>
        </w:tc>
        <w:tc>
          <w:tcPr>
            <w:tcW w:type="dxa" w:w="1984"/>
          </w:tcPr>
          <w:p>
            <w:pPr>
              <w:pStyle w:val="TableText"/>
            </w:pPr>
            <w:r>
              <w:rPr>
                <w:rFonts w:ascii="Arial" w:hAnsi="Arial"/>
                <w:sz w:val="14"/>
              </w:rPr>
              <w:t>https://www.federalreserve.gov/supervisionreg/srletters/SR2602.htm</w:t>
            </w:r>
          </w:p>
        </w:tc>
      </w:tr>
      <w:tr>
        <w:tc>
          <w:tcPr>
            <w:tcW w:type="dxa" w:w="1077"/>
            <w:shd w:val="clear" w:color="auto" w:fill="F4F6FA"/>
          </w:tcPr>
          <w:p>
            <w:pPr>
              <w:pStyle w:val="TableText"/>
            </w:pPr>
            <w:r>
              <w:rPr>
                <w:rFonts w:ascii="Arial" w:hAnsi="Arial"/>
                <w:sz w:val="14"/>
              </w:rPr>
              <w:t>US-MRM-2011</w:t>
            </w:r>
          </w:p>
        </w:tc>
        <w:tc>
          <w:tcPr>
            <w:tcW w:type="dxa" w:w="850"/>
            <w:shd w:val="clear" w:color="auto" w:fill="F4F6FA"/>
          </w:tcPr>
          <w:p>
            <w:pPr>
              <w:pStyle w:val="TableText"/>
            </w:pPr>
            <w:r>
              <w:rPr>
                <w:rFonts w:ascii="Arial" w:hAnsi="Arial"/>
                <w:sz w:val="14"/>
              </w:rPr>
              <w:t>OCC / FRB</w:t>
            </w:r>
          </w:p>
        </w:tc>
        <w:tc>
          <w:tcPr>
            <w:tcW w:type="dxa" w:w="2494"/>
            <w:shd w:val="clear" w:color="auto" w:fill="F4F6FA"/>
          </w:tcPr>
          <w:p>
            <w:pPr>
              <w:pStyle w:val="TableText"/>
            </w:pPr>
            <w:r>
              <w:rPr>
                <w:rFonts w:ascii="Arial" w:hAnsi="Arial"/>
                <w:sz w:val="14"/>
              </w:rPr>
              <w:t>OCC Bulletin 2011-12 / Federal Reserve SR 11-7 — Supervisory Guidance on Model Risk Management</w:t>
            </w:r>
          </w:p>
        </w:tc>
        <w:tc>
          <w:tcPr>
            <w:tcW w:type="dxa" w:w="1304"/>
            <w:shd w:val="clear" w:color="auto" w:fill="F4F6FA"/>
          </w:tcPr>
          <w:p>
            <w:pPr>
              <w:pStyle w:val="TableText"/>
            </w:pPr>
            <w:r>
              <w:rPr>
                <w:rFonts w:ascii="Arial" w:hAnsi="Arial"/>
                <w:sz w:val="14"/>
              </w:rPr>
              <w:t>4 Apr 2011 (rescinded)</w:t>
            </w:r>
          </w:p>
        </w:tc>
        <w:tc>
          <w:tcPr>
            <w:tcW w:type="dxa" w:w="1701"/>
            <w:shd w:val="clear" w:color="auto" w:fill="F4F6FA"/>
          </w:tcPr>
          <w:p>
            <w:pPr>
              <w:pStyle w:val="TableText"/>
            </w:pPr>
            <w:r>
              <w:rPr>
                <w:rFonts w:ascii="Arial" w:hAnsi="Arial"/>
                <w:sz w:val="14"/>
              </w:rPr>
              <w:t>Superseded supervisory guidance. Rescinded by OCC Bulletin 2026-13 and superseded by Federal Reserve SR 26-2 on 17 April 2026. Was never a regulation. Retained here for provenance because it originated most of the discipline's architecture.</w:t>
            </w:r>
          </w:p>
        </w:tc>
        <w:tc>
          <w:tcPr>
            <w:tcW w:type="dxa" w:w="1984"/>
            <w:shd w:val="clear" w:color="auto" w:fill="F4F6FA"/>
          </w:tcPr>
          <w:p>
            <w:pPr>
              <w:pStyle w:val="TableText"/>
            </w:pPr>
            <w:r>
              <w:rPr>
                <w:rFonts w:ascii="Arial" w:hAnsi="Arial"/>
                <w:sz w:val="14"/>
              </w:rPr>
              <w:t>https://www.occ.gov/static/rescinded-bulletins/bulletin-2011-12.pdf</w:t>
            </w:r>
          </w:p>
        </w:tc>
      </w:tr>
      <w:tr>
        <w:tc>
          <w:tcPr>
            <w:tcW w:type="dxa" w:w="1077"/>
          </w:tcPr>
          <w:p>
            <w:pPr>
              <w:pStyle w:val="TableText"/>
            </w:pPr>
            <w:r>
              <w:rPr>
                <w:rFonts w:ascii="Arial" w:hAnsi="Arial"/>
                <w:sz w:val="14"/>
              </w:rPr>
              <w:t>US-SG-STATUS</w:t>
            </w:r>
          </w:p>
        </w:tc>
        <w:tc>
          <w:tcPr>
            <w:tcW w:type="dxa" w:w="850"/>
          </w:tcPr>
          <w:p>
            <w:pPr>
              <w:pStyle w:val="TableText"/>
            </w:pPr>
            <w:r>
              <w:rPr>
                <w:rFonts w:ascii="Arial" w:hAnsi="Arial"/>
                <w:sz w:val="14"/>
              </w:rPr>
              <w:t>OCC / FRB / FDIC</w:t>
            </w:r>
          </w:p>
        </w:tc>
        <w:tc>
          <w:tcPr>
            <w:tcW w:type="dxa" w:w="2494"/>
          </w:tcPr>
          <w:p>
            <w:pPr>
              <w:pStyle w:val="TableText"/>
            </w:pPr>
            <w:r>
              <w:rPr>
                <w:rFonts w:ascii="Arial" w:hAnsi="Arial"/>
                <w:sz w:val="14"/>
              </w:rPr>
              <w:t>Use of supervisory guidance — 12 CFR Part 4 Subpart F (OCC), 12 CFR §262.7 and Part 262 Appendix A (Board), 12 CFR Part 302 Appendix A (FDIC)</w:t>
            </w:r>
          </w:p>
        </w:tc>
        <w:tc>
          <w:tcPr>
            <w:tcW w:type="dxa" w:w="1304"/>
          </w:tcPr>
          <w:p>
            <w:pPr>
              <w:pStyle w:val="TableText"/>
            </w:pPr>
            <w:r>
              <w:rPr>
                <w:rFonts w:ascii="Arial" w:hAnsi="Arial"/>
                <w:sz w:val="14"/>
              </w:rPr>
              <w:t>2021</w:t>
            </w:r>
          </w:p>
        </w:tc>
        <w:tc>
          <w:tcPr>
            <w:tcW w:type="dxa" w:w="1701"/>
          </w:tcPr>
          <w:p>
            <w:pPr>
              <w:pStyle w:val="TableText"/>
            </w:pPr>
            <w:r>
              <w:rPr>
                <w:rFonts w:ascii="Arial" w:hAnsi="Arial"/>
                <w:sz w:val="14"/>
              </w:rPr>
              <w:t>Codified regulation. Binding on the agencies, not on supervised institutions. Provides that supervisory guidance does not have the force and effect of law and that the agencies do not take enforcement action on the basis of guidance.</w:t>
            </w:r>
          </w:p>
        </w:tc>
        <w:tc>
          <w:tcPr>
            <w:tcW w:type="dxa" w:w="1984"/>
          </w:tcPr>
          <w:p>
            <w:pPr>
              <w:pStyle w:val="TableText"/>
            </w:pPr>
            <w:r>
              <w:rPr>
                <w:rFonts w:ascii="Arial" w:hAnsi="Arial"/>
                <w:sz w:val="14"/>
              </w:rPr>
              <w:t>https://www.ecfr.gov/current/title-12/chapter-I/part-4/subpart-F</w:t>
            </w:r>
          </w:p>
        </w:tc>
      </w:tr>
      <w:tr>
        <w:tc>
          <w:tcPr>
            <w:tcW w:type="dxa" w:w="1077"/>
            <w:shd w:val="clear" w:color="auto" w:fill="F4F6FA"/>
          </w:tcPr>
          <w:p>
            <w:pPr>
              <w:pStyle w:val="TableText"/>
            </w:pPr>
            <w:r>
              <w:rPr>
                <w:rFonts w:ascii="Arial" w:hAnsi="Arial"/>
                <w:sz w:val="14"/>
              </w:rPr>
              <w:t>OCC-CB-2025</w:t>
            </w:r>
          </w:p>
        </w:tc>
        <w:tc>
          <w:tcPr>
            <w:tcW w:type="dxa" w:w="850"/>
            <w:shd w:val="clear" w:color="auto" w:fill="F4F6FA"/>
          </w:tcPr>
          <w:p>
            <w:pPr>
              <w:pStyle w:val="TableText"/>
            </w:pPr>
            <w:r>
              <w:rPr>
                <w:rFonts w:ascii="Arial" w:hAnsi="Arial"/>
                <w:sz w:val="14"/>
              </w:rPr>
              <w:t>OCC</w:t>
            </w:r>
          </w:p>
        </w:tc>
        <w:tc>
          <w:tcPr>
            <w:tcW w:type="dxa" w:w="2494"/>
            <w:shd w:val="clear" w:color="auto" w:fill="F4F6FA"/>
          </w:tcPr>
          <w:p>
            <w:pPr>
              <w:pStyle w:val="TableText"/>
            </w:pPr>
            <w:r>
              <w:rPr>
                <w:rFonts w:ascii="Arial" w:hAnsi="Arial"/>
                <w:sz w:val="14"/>
              </w:rPr>
              <w:t>OCC Bulletin 2025-26 — Model Risk Management: Clarification for Community Banks</w:t>
            </w:r>
          </w:p>
        </w:tc>
        <w:tc>
          <w:tcPr>
            <w:tcW w:type="dxa" w:w="1304"/>
            <w:shd w:val="clear" w:color="auto" w:fill="F4F6FA"/>
          </w:tcPr>
          <w:p>
            <w:pPr>
              <w:pStyle w:val="TableText"/>
            </w:pPr>
            <w:r>
              <w:rPr>
                <w:rFonts w:ascii="Arial" w:hAnsi="Arial"/>
                <w:sz w:val="14"/>
              </w:rPr>
              <w:t>6 Oct 2025</w:t>
            </w:r>
          </w:p>
        </w:tc>
        <w:tc>
          <w:tcPr>
            <w:tcW w:type="dxa" w:w="1701"/>
            <w:shd w:val="clear" w:color="auto" w:fill="F4F6FA"/>
          </w:tcPr>
          <w:p>
            <w:pPr>
              <w:pStyle w:val="TableText"/>
            </w:pPr>
            <w:r>
              <w:rPr>
                <w:rFonts w:ascii="Arial" w:hAnsi="Arial"/>
                <w:sz w:val="14"/>
              </w:rPr>
              <w:t>Bulletin clarifying the application of existing supervisory guidance. Not a regulation. Not rescinded by OCC Bulletin 2026-13.</w:t>
            </w:r>
          </w:p>
        </w:tc>
        <w:tc>
          <w:tcPr>
            <w:tcW w:type="dxa" w:w="1984"/>
            <w:shd w:val="clear" w:color="auto" w:fill="F4F6FA"/>
          </w:tcPr>
          <w:p>
            <w:pPr>
              <w:pStyle w:val="TableText"/>
            </w:pPr>
            <w:r>
              <w:rPr>
                <w:rFonts w:ascii="Arial" w:hAnsi="Arial"/>
                <w:sz w:val="14"/>
              </w:rPr>
              <w:t>https://www.occ.gov/news-issuances/bulletins/2025/bulletin-2025-26.html</w:t>
            </w:r>
          </w:p>
        </w:tc>
      </w:tr>
      <w:tr>
        <w:tc>
          <w:tcPr>
            <w:tcW w:type="dxa" w:w="1077"/>
          </w:tcPr>
          <w:p>
            <w:pPr>
              <w:pStyle w:val="TableText"/>
            </w:pPr>
            <w:r>
              <w:rPr>
                <w:rFonts w:ascii="Arial" w:hAnsi="Arial"/>
                <w:sz w:val="14"/>
              </w:rPr>
              <w:t>OCC-HANDBOOK</w:t>
            </w:r>
          </w:p>
        </w:tc>
        <w:tc>
          <w:tcPr>
            <w:tcW w:type="dxa" w:w="850"/>
          </w:tcPr>
          <w:p>
            <w:pPr>
              <w:pStyle w:val="TableText"/>
            </w:pPr>
            <w:r>
              <w:rPr>
                <w:rFonts w:ascii="Arial" w:hAnsi="Arial"/>
                <w:sz w:val="14"/>
              </w:rPr>
              <w:t>OCC</w:t>
            </w:r>
          </w:p>
        </w:tc>
        <w:tc>
          <w:tcPr>
            <w:tcW w:type="dxa" w:w="2494"/>
          </w:tcPr>
          <w:p>
            <w:pPr>
              <w:pStyle w:val="TableText"/>
            </w:pPr>
            <w:r>
              <w:rPr>
                <w:rFonts w:ascii="Arial" w:hAnsi="Arial"/>
                <w:sz w:val="14"/>
              </w:rPr>
              <w:t>Comptroller's Handbook — Model Risk Management booklet</w:t>
            </w:r>
          </w:p>
        </w:tc>
        <w:tc>
          <w:tcPr>
            <w:tcW w:type="dxa" w:w="1304"/>
          </w:tcPr>
          <w:p>
            <w:pPr>
              <w:pStyle w:val="TableText"/>
            </w:pPr>
            <w:r>
              <w:rPr>
                <w:rFonts w:ascii="Arial" w:hAnsi="Arial"/>
                <w:sz w:val="14"/>
              </w:rPr>
              <w:t>Aug 2021 (rescinded)</w:t>
            </w:r>
          </w:p>
        </w:tc>
        <w:tc>
          <w:tcPr>
            <w:tcW w:type="dxa" w:w="1701"/>
          </w:tcPr>
          <w:p>
            <w:pPr>
              <w:pStyle w:val="TableText"/>
            </w:pPr>
            <w:r>
              <w:rPr>
                <w:rFonts w:ascii="Arial" w:hAnsi="Arial"/>
                <w:sz w:val="14"/>
              </w:rPr>
              <w:t>Examiner handbook booklet, rescinded by OCC Bulletin 2026-13. Was guidance for OCC examiners, not a regulation.</w:t>
            </w:r>
          </w:p>
        </w:tc>
        <w:tc>
          <w:tcPr>
            <w:tcW w:type="dxa" w:w="1984"/>
          </w:tcPr>
          <w:p>
            <w:pPr>
              <w:pStyle w:val="TableText"/>
            </w:pPr>
            <w:r>
              <w:rPr>
                <w:rFonts w:ascii="Arial" w:hAnsi="Arial"/>
                <w:sz w:val="14"/>
              </w:rPr>
              <w:t>https://www.occ.gov/news-issuances/bulletins/2021/bulletin-2021-39.html</w:t>
            </w:r>
          </w:p>
        </w:tc>
      </w:tr>
      <w:tr>
        <w:tc>
          <w:tcPr>
            <w:tcW w:type="dxa" w:w="1077"/>
            <w:shd w:val="clear" w:color="auto" w:fill="F4F6FA"/>
          </w:tcPr>
          <w:p>
            <w:pPr>
              <w:pStyle w:val="TableText"/>
            </w:pPr>
            <w:r>
              <w:rPr>
                <w:rFonts w:ascii="Arial" w:hAnsi="Arial"/>
                <w:sz w:val="14"/>
              </w:rPr>
              <w:t>PRA-SS1-23</w:t>
            </w:r>
          </w:p>
        </w:tc>
        <w:tc>
          <w:tcPr>
            <w:tcW w:type="dxa" w:w="850"/>
            <w:shd w:val="clear" w:color="auto" w:fill="F4F6FA"/>
          </w:tcPr>
          <w:p>
            <w:pPr>
              <w:pStyle w:val="TableText"/>
            </w:pPr>
            <w:r>
              <w:rPr>
                <w:rFonts w:ascii="Arial" w:hAnsi="Arial"/>
                <w:sz w:val="14"/>
              </w:rPr>
              <w:t>PRA</w:t>
            </w:r>
          </w:p>
        </w:tc>
        <w:tc>
          <w:tcPr>
            <w:tcW w:type="dxa" w:w="2494"/>
            <w:shd w:val="clear" w:color="auto" w:fill="F4F6FA"/>
          </w:tcPr>
          <w:p>
            <w:pPr>
              <w:pStyle w:val="TableText"/>
            </w:pPr>
            <w:r>
              <w:rPr>
                <w:rFonts w:ascii="Arial" w:hAnsi="Arial"/>
                <w:sz w:val="14"/>
              </w:rPr>
              <w:t>SS1/23 — Model risk management principles for banks</w:t>
            </w:r>
          </w:p>
        </w:tc>
        <w:tc>
          <w:tcPr>
            <w:tcW w:type="dxa" w:w="1304"/>
            <w:shd w:val="clear" w:color="auto" w:fill="F4F6FA"/>
          </w:tcPr>
          <w:p>
            <w:pPr>
              <w:pStyle w:val="TableText"/>
            </w:pPr>
            <w:r>
              <w:rPr>
                <w:rFonts w:ascii="Arial" w:hAnsi="Arial"/>
                <w:sz w:val="14"/>
              </w:rPr>
              <w:t>17 May 2023; upd. 16 Apr 2026</w:t>
            </w:r>
          </w:p>
        </w:tc>
        <w:tc>
          <w:tcPr>
            <w:tcW w:type="dxa" w:w="1701"/>
            <w:shd w:val="clear" w:color="auto" w:fill="F4F6FA"/>
          </w:tcPr>
          <w:p>
            <w:pPr>
              <w:pStyle w:val="TableText"/>
            </w:pPr>
            <w:r>
              <w:rPr>
                <w:rFonts w:ascii="Arial" w:hAnsi="Arial"/>
                <w:sz w:val="14"/>
              </w:rPr>
              <w:t>Supervisory statement setting out PRA expectations. Not a PRA Rulebook instrument and not binding law.</w:t>
            </w:r>
          </w:p>
        </w:tc>
        <w:tc>
          <w:tcPr>
            <w:tcW w:type="dxa" w:w="1984"/>
            <w:shd w:val="clear" w:color="auto" w:fill="F4F6FA"/>
          </w:tcPr>
          <w:p>
            <w:pPr>
              <w:pStyle w:val="TableText"/>
            </w:pPr>
            <w:r>
              <w:rPr>
                <w:rFonts w:ascii="Arial" w:hAnsi="Arial"/>
                <w:sz w:val="14"/>
              </w:rPr>
              <w:t>https://www.bankofengland.co.uk/prudential-regulation/publication/2023/may/model-risk-management-principles-for-banks</w:t>
            </w:r>
          </w:p>
        </w:tc>
      </w:tr>
      <w:tr>
        <w:tc>
          <w:tcPr>
            <w:tcW w:type="dxa" w:w="1077"/>
          </w:tcPr>
          <w:p>
            <w:pPr>
              <w:pStyle w:val="TableText"/>
            </w:pPr>
            <w:r>
              <w:rPr>
                <w:rFonts w:ascii="Arial" w:hAnsi="Arial"/>
                <w:sz w:val="14"/>
              </w:rPr>
              <w:t>PRA-PS6-23</w:t>
            </w:r>
          </w:p>
        </w:tc>
        <w:tc>
          <w:tcPr>
            <w:tcW w:type="dxa" w:w="850"/>
          </w:tcPr>
          <w:p>
            <w:pPr>
              <w:pStyle w:val="TableText"/>
            </w:pPr>
            <w:r>
              <w:rPr>
                <w:rFonts w:ascii="Arial" w:hAnsi="Arial"/>
                <w:sz w:val="14"/>
              </w:rPr>
              <w:t>PRA</w:t>
            </w:r>
          </w:p>
        </w:tc>
        <w:tc>
          <w:tcPr>
            <w:tcW w:type="dxa" w:w="2494"/>
          </w:tcPr>
          <w:p>
            <w:pPr>
              <w:pStyle w:val="TableText"/>
            </w:pPr>
            <w:r>
              <w:rPr>
                <w:rFonts w:ascii="Arial" w:hAnsi="Arial"/>
                <w:sz w:val="14"/>
              </w:rPr>
              <w:t>PS6/23 — Model risk management principles for banks (Policy Statement)</w:t>
            </w:r>
          </w:p>
        </w:tc>
        <w:tc>
          <w:tcPr>
            <w:tcW w:type="dxa" w:w="1304"/>
          </w:tcPr>
          <w:p>
            <w:pPr>
              <w:pStyle w:val="TableText"/>
            </w:pPr>
            <w:r>
              <w:rPr>
                <w:rFonts w:ascii="Arial" w:hAnsi="Arial"/>
                <w:sz w:val="14"/>
              </w:rPr>
              <w:t>17 May 2023</w:t>
            </w:r>
          </w:p>
        </w:tc>
        <w:tc>
          <w:tcPr>
            <w:tcW w:type="dxa" w:w="1701"/>
          </w:tcPr>
          <w:p>
            <w:pPr>
              <w:pStyle w:val="TableText"/>
            </w:pPr>
            <w:r>
              <w:rPr>
                <w:rFonts w:ascii="Arial" w:hAnsi="Arial"/>
                <w:sz w:val="14"/>
              </w:rPr>
              <w:t>Policy statement. Explains the final policy and feedback; the operative expectations sit in SS1/23.</w:t>
            </w:r>
          </w:p>
        </w:tc>
        <w:tc>
          <w:tcPr>
            <w:tcW w:type="dxa" w:w="1984"/>
          </w:tcPr>
          <w:p>
            <w:pPr>
              <w:pStyle w:val="TableText"/>
            </w:pPr>
            <w:r>
              <w:rPr>
                <w:rFonts w:ascii="Arial" w:hAnsi="Arial"/>
                <w:sz w:val="14"/>
              </w:rPr>
              <w:t>https://www.bankofengland.co.uk/prudential-regulation/publication/2023/may/model-risk-management-principles-for-banks</w:t>
            </w:r>
          </w:p>
        </w:tc>
      </w:tr>
      <w:tr>
        <w:tc>
          <w:tcPr>
            <w:tcW w:type="dxa" w:w="1077"/>
            <w:shd w:val="clear" w:color="auto" w:fill="F4F6FA"/>
          </w:tcPr>
          <w:p>
            <w:pPr>
              <w:pStyle w:val="TableText"/>
            </w:pPr>
            <w:r>
              <w:rPr>
                <w:rFonts w:ascii="Arial" w:hAnsi="Arial"/>
                <w:sz w:val="14"/>
              </w:rPr>
              <w:t>PRA-SS3-18</w:t>
            </w:r>
          </w:p>
        </w:tc>
        <w:tc>
          <w:tcPr>
            <w:tcW w:type="dxa" w:w="850"/>
            <w:shd w:val="clear" w:color="auto" w:fill="F4F6FA"/>
          </w:tcPr>
          <w:p>
            <w:pPr>
              <w:pStyle w:val="TableText"/>
            </w:pPr>
            <w:r>
              <w:rPr>
                <w:rFonts w:ascii="Arial" w:hAnsi="Arial"/>
                <w:sz w:val="14"/>
              </w:rPr>
              <w:t>PRA</w:t>
            </w:r>
          </w:p>
        </w:tc>
        <w:tc>
          <w:tcPr>
            <w:tcW w:type="dxa" w:w="2494"/>
            <w:shd w:val="clear" w:color="auto" w:fill="F4F6FA"/>
          </w:tcPr>
          <w:p>
            <w:pPr>
              <w:pStyle w:val="TableText"/>
            </w:pPr>
            <w:r>
              <w:rPr>
                <w:rFonts w:ascii="Arial" w:hAnsi="Arial"/>
                <w:sz w:val="14"/>
              </w:rPr>
              <w:t>SS3/18 — Model risk management principles for stress testing</w:t>
            </w:r>
          </w:p>
        </w:tc>
        <w:tc>
          <w:tcPr>
            <w:tcW w:type="dxa" w:w="1304"/>
            <w:shd w:val="clear" w:color="auto" w:fill="F4F6FA"/>
          </w:tcPr>
          <w:p>
            <w:pPr>
              <w:pStyle w:val="TableText"/>
            </w:pPr>
            <w:r>
              <w:rPr>
                <w:rFonts w:ascii="Arial" w:hAnsi="Arial"/>
                <w:sz w:val="14"/>
              </w:rPr>
              <w:t>Apr 2018; upd. Apr 2026</w:t>
            </w:r>
          </w:p>
        </w:tc>
        <w:tc>
          <w:tcPr>
            <w:tcW w:type="dxa" w:w="1701"/>
            <w:shd w:val="clear" w:color="auto" w:fill="F4F6FA"/>
          </w:tcPr>
          <w:p>
            <w:pPr>
              <w:pStyle w:val="TableText"/>
            </w:pPr>
            <w:r>
              <w:rPr>
                <w:rFonts w:ascii="Arial" w:hAnsi="Arial"/>
                <w:sz w:val="14"/>
              </w:rPr>
              <w:t>Supervisory statement. PRA expectations, not binding law.</w:t>
            </w:r>
          </w:p>
        </w:tc>
        <w:tc>
          <w:tcPr>
            <w:tcW w:type="dxa" w:w="1984"/>
            <w:shd w:val="clear" w:color="auto" w:fill="F4F6FA"/>
          </w:tcPr>
          <w:p>
            <w:pPr>
              <w:pStyle w:val="TableText"/>
            </w:pPr>
            <w:r>
              <w:rPr>
                <w:rFonts w:ascii="Arial" w:hAnsi="Arial"/>
                <w:sz w:val="14"/>
              </w:rPr>
              <w:t>https://www.bankofengland.co.uk/prudential-regulation/publication/2018/model-risk-management-principles-for-stress-testing-ss</w:t>
            </w:r>
          </w:p>
        </w:tc>
      </w:tr>
      <w:tr>
        <w:tc>
          <w:tcPr>
            <w:tcW w:type="dxa" w:w="1077"/>
          </w:tcPr>
          <w:p>
            <w:pPr>
              <w:pStyle w:val="TableText"/>
            </w:pPr>
            <w:r>
              <w:rPr>
                <w:rFonts w:ascii="Arial" w:hAnsi="Arial"/>
                <w:sz w:val="14"/>
              </w:rPr>
              <w:t>OSFI-E23</w:t>
            </w:r>
          </w:p>
        </w:tc>
        <w:tc>
          <w:tcPr>
            <w:tcW w:type="dxa" w:w="850"/>
          </w:tcPr>
          <w:p>
            <w:pPr>
              <w:pStyle w:val="TableText"/>
            </w:pPr>
            <w:r>
              <w:rPr>
                <w:rFonts w:ascii="Arial" w:hAnsi="Arial"/>
                <w:sz w:val="14"/>
              </w:rPr>
              <w:t>OSFI</w:t>
            </w:r>
          </w:p>
        </w:tc>
        <w:tc>
          <w:tcPr>
            <w:tcW w:type="dxa" w:w="2494"/>
          </w:tcPr>
          <w:p>
            <w:pPr>
              <w:pStyle w:val="TableText"/>
            </w:pPr>
            <w:r>
              <w:rPr>
                <w:rFonts w:ascii="Arial" w:hAnsi="Arial"/>
                <w:sz w:val="14"/>
              </w:rPr>
              <w:t>Guideline E-23 — Model Risk Management (2027)</w:t>
            </w:r>
          </w:p>
        </w:tc>
        <w:tc>
          <w:tcPr>
            <w:tcW w:type="dxa" w:w="1304"/>
          </w:tcPr>
          <w:p>
            <w:pPr>
              <w:pStyle w:val="TableText"/>
            </w:pPr>
            <w:r>
              <w:rPr>
                <w:rFonts w:ascii="Arial" w:hAnsi="Arial"/>
                <w:sz w:val="14"/>
              </w:rPr>
              <w:t>11 Sep 2025; eff. 1 May 2027</w:t>
            </w:r>
          </w:p>
        </w:tc>
        <w:tc>
          <w:tcPr>
            <w:tcW w:type="dxa" w:w="1701"/>
          </w:tcPr>
          <w:p>
            <w:pPr>
              <w:pStyle w:val="TableText"/>
            </w:pPr>
            <w:r>
              <w:rPr>
                <w:rFonts w:ascii="Arial" w:hAnsi="Arial"/>
                <w:sz w:val="14"/>
              </w:rPr>
              <w:t>Final supervisory guideline. Not yet in effect at the as-of date. Sound Business and Financial Practices category.</w:t>
            </w:r>
          </w:p>
        </w:tc>
        <w:tc>
          <w:tcPr>
            <w:tcW w:type="dxa" w:w="1984"/>
          </w:tcPr>
          <w:p>
            <w:pPr>
              <w:pStyle w:val="TableText"/>
            </w:pPr>
            <w:r>
              <w:rPr>
                <w:rFonts w:ascii="Arial" w:hAnsi="Arial"/>
                <w:sz w:val="14"/>
              </w:rPr>
              <w:t>https://www.osfi-bsif.gc.ca/en/guidance/guidance-library/guideline-e-23-model-risk-management-2027</w:t>
            </w:r>
          </w:p>
        </w:tc>
      </w:tr>
      <w:tr>
        <w:tc>
          <w:tcPr>
            <w:tcW w:type="dxa" w:w="1077"/>
            <w:shd w:val="clear" w:color="auto" w:fill="F4F6FA"/>
          </w:tcPr>
          <w:p>
            <w:pPr>
              <w:pStyle w:val="TableText"/>
            </w:pPr>
            <w:r>
              <w:rPr>
                <w:rFonts w:ascii="Arial" w:hAnsi="Arial"/>
                <w:sz w:val="14"/>
              </w:rPr>
              <w:t>OSFI-E23-2017</w:t>
            </w:r>
          </w:p>
        </w:tc>
        <w:tc>
          <w:tcPr>
            <w:tcW w:type="dxa" w:w="850"/>
            <w:shd w:val="clear" w:color="auto" w:fill="F4F6FA"/>
          </w:tcPr>
          <w:p>
            <w:pPr>
              <w:pStyle w:val="TableText"/>
            </w:pPr>
            <w:r>
              <w:rPr>
                <w:rFonts w:ascii="Arial" w:hAnsi="Arial"/>
                <w:sz w:val="14"/>
              </w:rPr>
              <w:t>OSFI</w:t>
            </w:r>
          </w:p>
        </w:tc>
        <w:tc>
          <w:tcPr>
            <w:tcW w:type="dxa" w:w="2494"/>
            <w:shd w:val="clear" w:color="auto" w:fill="F4F6FA"/>
          </w:tcPr>
          <w:p>
            <w:pPr>
              <w:pStyle w:val="TableText"/>
            </w:pPr>
            <w:r>
              <w:rPr>
                <w:rFonts w:ascii="Arial" w:hAnsi="Arial"/>
                <w:sz w:val="14"/>
              </w:rPr>
              <w:t>Guideline E-23 — Enterprise-Wide Model Risk Management for Deposit-Taking Institutions (2017)</w:t>
            </w:r>
          </w:p>
        </w:tc>
        <w:tc>
          <w:tcPr>
            <w:tcW w:type="dxa" w:w="1304"/>
            <w:shd w:val="clear" w:color="auto" w:fill="F4F6FA"/>
          </w:tcPr>
          <w:p>
            <w:pPr>
              <w:pStyle w:val="TableText"/>
            </w:pPr>
            <w:r>
              <w:rPr>
                <w:rFonts w:ascii="Arial" w:hAnsi="Arial"/>
                <w:sz w:val="14"/>
              </w:rPr>
              <w:t>Sep 2017 (superseded)</w:t>
            </w:r>
          </w:p>
        </w:tc>
        <w:tc>
          <w:tcPr>
            <w:tcW w:type="dxa" w:w="1701"/>
            <w:shd w:val="clear" w:color="auto" w:fill="F4F6FA"/>
          </w:tcPr>
          <w:p>
            <w:pPr>
              <w:pStyle w:val="TableText"/>
            </w:pPr>
            <w:r>
              <w:rPr>
                <w:rFonts w:ascii="Arial" w:hAnsi="Arial"/>
                <w:sz w:val="14"/>
              </w:rPr>
              <w:t>Supervisory guideline. OSFI's guidance library presents the 2027 guideline as its replacement from 1 May 2027, but no express supersession clause was located in either the 2027 guideline or its covering letter, so the relationship is stated as OSFI presents it rather than as a quoted provision.</w:t>
            </w:r>
          </w:p>
        </w:tc>
        <w:tc>
          <w:tcPr>
            <w:tcW w:type="dxa" w:w="1984"/>
            <w:shd w:val="clear" w:color="auto" w:fill="F4F6FA"/>
          </w:tcPr>
          <w:p>
            <w:pPr>
              <w:pStyle w:val="TableText"/>
            </w:pPr>
            <w:r>
              <w:rPr>
                <w:rFonts w:ascii="Arial" w:hAnsi="Arial"/>
                <w:sz w:val="14"/>
              </w:rPr>
              <w:t>https://www.osfi-bsif.gc.ca/en/guidance/guidance-library/enterprise-wide-model-risk-management-deposit-taking-institutions</w:t>
            </w:r>
          </w:p>
        </w:tc>
      </w:tr>
      <w:tr>
        <w:tc>
          <w:tcPr>
            <w:tcW w:type="dxa" w:w="1077"/>
          </w:tcPr>
          <w:p>
            <w:pPr>
              <w:pStyle w:val="TableText"/>
            </w:pPr>
            <w:r>
              <w:rPr>
                <w:rFonts w:ascii="Arial" w:hAnsi="Arial"/>
                <w:sz w:val="14"/>
              </w:rPr>
              <w:t>OSFI-B10</w:t>
            </w:r>
          </w:p>
        </w:tc>
        <w:tc>
          <w:tcPr>
            <w:tcW w:type="dxa" w:w="850"/>
          </w:tcPr>
          <w:p>
            <w:pPr>
              <w:pStyle w:val="TableText"/>
            </w:pPr>
            <w:r>
              <w:rPr>
                <w:rFonts w:ascii="Arial" w:hAnsi="Arial"/>
                <w:sz w:val="14"/>
              </w:rPr>
              <w:t>OSFI</w:t>
            </w:r>
          </w:p>
        </w:tc>
        <w:tc>
          <w:tcPr>
            <w:tcW w:type="dxa" w:w="2494"/>
          </w:tcPr>
          <w:p>
            <w:pPr>
              <w:pStyle w:val="TableText"/>
            </w:pPr>
            <w:r>
              <w:rPr>
                <w:rFonts w:ascii="Arial" w:hAnsi="Arial"/>
                <w:sz w:val="14"/>
              </w:rPr>
              <w:t>Guideline B-10 — Third-Party Risk Management</w:t>
            </w:r>
          </w:p>
        </w:tc>
        <w:tc>
          <w:tcPr>
            <w:tcW w:type="dxa" w:w="1304"/>
          </w:tcPr>
          <w:p>
            <w:pPr>
              <w:pStyle w:val="TableText"/>
            </w:pPr>
            <w:r>
              <w:rPr>
                <w:rFonts w:ascii="Arial" w:hAnsi="Arial"/>
                <w:sz w:val="14"/>
              </w:rPr>
              <w:t>Apr 2023; eff. 1 May 2024</w:t>
            </w:r>
          </w:p>
        </w:tc>
        <w:tc>
          <w:tcPr>
            <w:tcW w:type="dxa" w:w="1701"/>
          </w:tcPr>
          <w:p>
            <w:pPr>
              <w:pStyle w:val="TableText"/>
            </w:pPr>
            <w:r>
              <w:rPr>
                <w:rFonts w:ascii="Arial" w:hAnsi="Arial"/>
                <w:sz w:val="14"/>
              </w:rPr>
              <w:t>Supervisory guideline.</w:t>
            </w:r>
          </w:p>
        </w:tc>
        <w:tc>
          <w:tcPr>
            <w:tcW w:type="dxa" w:w="1984"/>
          </w:tcPr>
          <w:p>
            <w:pPr>
              <w:pStyle w:val="TableText"/>
            </w:pPr>
            <w:r>
              <w:rPr>
                <w:rFonts w:ascii="Arial" w:hAnsi="Arial"/>
                <w:sz w:val="14"/>
              </w:rPr>
              <w:t>https://www.osfi-bsif.gc.ca/en/guidance/guidance-library/third-party-risk-management-guideline</w:t>
            </w:r>
          </w:p>
        </w:tc>
      </w:tr>
      <w:tr>
        <w:tc>
          <w:tcPr>
            <w:tcW w:type="dxa" w:w="1077"/>
            <w:shd w:val="clear" w:color="auto" w:fill="F4F6FA"/>
          </w:tcPr>
          <w:p>
            <w:pPr>
              <w:pStyle w:val="TableText"/>
            </w:pPr>
            <w:r>
              <w:rPr>
                <w:rFonts w:ascii="Arial" w:hAnsi="Arial"/>
                <w:sz w:val="14"/>
              </w:rPr>
              <w:t>ECB-GIM</w:t>
            </w:r>
          </w:p>
        </w:tc>
        <w:tc>
          <w:tcPr>
            <w:tcW w:type="dxa" w:w="850"/>
            <w:shd w:val="clear" w:color="auto" w:fill="F4F6FA"/>
          </w:tcPr>
          <w:p>
            <w:pPr>
              <w:pStyle w:val="TableText"/>
            </w:pPr>
            <w:r>
              <w:rPr>
                <w:rFonts w:ascii="Arial" w:hAnsi="Arial"/>
                <w:sz w:val="14"/>
              </w:rPr>
              <w:t>ECB</w:t>
            </w:r>
          </w:p>
        </w:tc>
        <w:tc>
          <w:tcPr>
            <w:tcW w:type="dxa" w:w="2494"/>
            <w:shd w:val="clear" w:color="auto" w:fill="F4F6FA"/>
          </w:tcPr>
          <w:p>
            <w:pPr>
              <w:pStyle w:val="TableText"/>
            </w:pPr>
            <w:r>
              <w:rPr>
                <w:rFonts w:ascii="Arial" w:hAnsi="Arial"/>
                <w:sz w:val="14"/>
              </w:rPr>
              <w:t>ECB Guide to internal models</w:t>
            </w:r>
          </w:p>
        </w:tc>
        <w:tc>
          <w:tcPr>
            <w:tcW w:type="dxa" w:w="1304"/>
            <w:shd w:val="clear" w:color="auto" w:fill="F4F6FA"/>
          </w:tcPr>
          <w:p>
            <w:pPr>
              <w:pStyle w:val="TableText"/>
            </w:pPr>
            <w:r>
              <w:rPr>
                <w:rFonts w:ascii="Arial" w:hAnsi="Arial"/>
                <w:sz w:val="14"/>
              </w:rPr>
              <w:t>Jun 2026 (rel. 4.1)</w:t>
            </w:r>
          </w:p>
        </w:tc>
        <w:tc>
          <w:tcPr>
            <w:tcW w:type="dxa" w:w="1701"/>
            <w:shd w:val="clear" w:color="auto" w:fill="F4F6FA"/>
          </w:tcPr>
          <w:p>
            <w:pPr>
              <w:pStyle w:val="TableText"/>
            </w:pPr>
            <w:r>
              <w:rPr>
                <w:rFonts w:ascii="Arial" w:hAnsi="Arial"/>
                <w:sz w:val="14"/>
              </w:rPr>
              <w:t>Supervisory guide. Sets out how the ECB understands and applies binding EU law; the guide itself is not a legal act and does not create obligations beyond the CRR.</w:t>
            </w:r>
          </w:p>
        </w:tc>
        <w:tc>
          <w:tcPr>
            <w:tcW w:type="dxa" w:w="1984"/>
            <w:shd w:val="clear" w:color="auto" w:fill="F4F6FA"/>
          </w:tcPr>
          <w:p>
            <w:pPr>
              <w:pStyle w:val="TableText"/>
            </w:pPr>
            <w:r>
              <w:rPr>
                <w:rFonts w:ascii="Arial" w:hAnsi="Arial"/>
                <w:sz w:val="14"/>
              </w:rPr>
              <w:t>https://www.bankingsupervision.europa.eu/activities/internal_models/html/index.en.html</w:t>
            </w:r>
          </w:p>
        </w:tc>
      </w:tr>
      <w:tr>
        <w:tc>
          <w:tcPr>
            <w:tcW w:type="dxa" w:w="1077"/>
          </w:tcPr>
          <w:p>
            <w:pPr>
              <w:pStyle w:val="TableText"/>
            </w:pPr>
            <w:r>
              <w:rPr>
                <w:rFonts w:ascii="Arial" w:hAnsi="Arial"/>
                <w:sz w:val="14"/>
              </w:rPr>
              <w:t>ECB-CRR</w:t>
            </w:r>
          </w:p>
        </w:tc>
        <w:tc>
          <w:tcPr>
            <w:tcW w:type="dxa" w:w="850"/>
          </w:tcPr>
          <w:p>
            <w:pPr>
              <w:pStyle w:val="TableText"/>
            </w:pPr>
            <w:r>
              <w:rPr>
                <w:rFonts w:ascii="Arial" w:hAnsi="Arial"/>
                <w:sz w:val="14"/>
              </w:rPr>
              <w:t>EU</w:t>
            </w:r>
          </w:p>
        </w:tc>
        <w:tc>
          <w:tcPr>
            <w:tcW w:type="dxa" w:w="2494"/>
          </w:tcPr>
          <w:p>
            <w:pPr>
              <w:pStyle w:val="TableText"/>
            </w:pPr>
            <w:r>
              <w:rPr>
                <w:rFonts w:ascii="Arial" w:hAnsi="Arial"/>
                <w:sz w:val="14"/>
              </w:rPr>
              <w:t>Regulation (EU) No 575/2013 (Capital Requirements Regulation), internal model provisions: Article 174 Use of models, Article 179 Overall requirements for estimation, Article 185 Validation of internal estimates, Article 188 Validation and documentation, Article 189 Corporate governance, Article 191 Internal audit</w:t>
            </w:r>
          </w:p>
        </w:tc>
        <w:tc>
          <w:tcPr>
            <w:tcW w:type="dxa" w:w="1304"/>
          </w:tcPr>
          <w:p>
            <w:pPr>
              <w:pStyle w:val="TableText"/>
            </w:pPr>
            <w:r>
              <w:rPr>
                <w:rFonts w:ascii="Arial" w:hAnsi="Arial"/>
                <w:sz w:val="14"/>
              </w:rPr>
              <w:t>2013, as amended</w:t>
            </w:r>
          </w:p>
        </w:tc>
        <w:tc>
          <w:tcPr>
            <w:tcW w:type="dxa" w:w="1701"/>
          </w:tcPr>
          <w:p>
            <w:pPr>
              <w:pStyle w:val="TableText"/>
            </w:pPr>
            <w:r>
              <w:rPr>
                <w:rFonts w:ascii="Arial" w:hAnsi="Arial"/>
                <w:sz w:val="14"/>
              </w:rPr>
              <w:t>Binding EU regulation, directly applicable in Member States. This is the binding law that the ECB guide interprets.</w:t>
            </w:r>
          </w:p>
        </w:tc>
        <w:tc>
          <w:tcPr>
            <w:tcW w:type="dxa" w:w="1984"/>
          </w:tcPr>
          <w:p>
            <w:pPr>
              <w:pStyle w:val="TableText"/>
            </w:pPr>
            <w:r>
              <w:rPr>
                <w:rFonts w:ascii="Arial" w:hAnsi="Arial"/>
                <w:sz w:val="14"/>
              </w:rPr>
              <w:t>https://eur-lex.europa.eu/legal-content/EN/TXT/?uri=CELEX%3A32013R0575</w:t>
            </w:r>
          </w:p>
        </w:tc>
      </w:tr>
      <w:tr>
        <w:tc>
          <w:tcPr>
            <w:tcW w:type="dxa" w:w="1077"/>
            <w:shd w:val="clear" w:color="auto" w:fill="F4F6FA"/>
          </w:tcPr>
          <w:p>
            <w:pPr>
              <w:pStyle w:val="TableText"/>
            </w:pPr>
            <w:r>
              <w:rPr>
                <w:rFonts w:ascii="Arial" w:hAnsi="Arial"/>
                <w:sz w:val="14"/>
              </w:rPr>
              <w:t>ECB-RDARR</w:t>
            </w:r>
          </w:p>
        </w:tc>
        <w:tc>
          <w:tcPr>
            <w:tcW w:type="dxa" w:w="850"/>
            <w:shd w:val="clear" w:color="auto" w:fill="F4F6FA"/>
          </w:tcPr>
          <w:p>
            <w:pPr>
              <w:pStyle w:val="TableText"/>
            </w:pPr>
            <w:r>
              <w:rPr>
                <w:rFonts w:ascii="Arial" w:hAnsi="Arial"/>
                <w:sz w:val="14"/>
              </w:rPr>
              <w:t>ECB</w:t>
            </w:r>
          </w:p>
        </w:tc>
        <w:tc>
          <w:tcPr>
            <w:tcW w:type="dxa" w:w="2494"/>
            <w:shd w:val="clear" w:color="auto" w:fill="F4F6FA"/>
          </w:tcPr>
          <w:p>
            <w:pPr>
              <w:pStyle w:val="TableText"/>
            </w:pPr>
            <w:r>
              <w:rPr>
                <w:rFonts w:ascii="Arial" w:hAnsi="Arial"/>
                <w:sz w:val="14"/>
              </w:rPr>
              <w:t>Guide on effective risk data aggregation and risk reporting</w:t>
            </w:r>
          </w:p>
        </w:tc>
        <w:tc>
          <w:tcPr>
            <w:tcW w:type="dxa" w:w="1304"/>
            <w:shd w:val="clear" w:color="auto" w:fill="F4F6FA"/>
          </w:tcPr>
          <w:p>
            <w:pPr>
              <w:pStyle w:val="TableText"/>
            </w:pPr>
            <w:r>
              <w:rPr>
                <w:rFonts w:ascii="Arial" w:hAnsi="Arial"/>
                <w:sz w:val="14"/>
              </w:rPr>
              <w:t>May 2024</w:t>
            </w:r>
          </w:p>
        </w:tc>
        <w:tc>
          <w:tcPr>
            <w:tcW w:type="dxa" w:w="1701"/>
            <w:shd w:val="clear" w:color="auto" w:fill="F4F6FA"/>
          </w:tcPr>
          <w:p>
            <w:pPr>
              <w:pStyle w:val="TableText"/>
            </w:pPr>
            <w:r>
              <w:rPr>
                <w:rFonts w:ascii="Arial" w:hAnsi="Arial"/>
                <w:sz w:val="14"/>
              </w:rPr>
              <w:t>Supervisory guide. Sets out ECB expectations; not a legal act.</w:t>
            </w:r>
          </w:p>
        </w:tc>
        <w:tc>
          <w:tcPr>
            <w:tcW w:type="dxa" w:w="1984"/>
            <w:shd w:val="clear" w:color="auto" w:fill="F4F6FA"/>
          </w:tcPr>
          <w:p>
            <w:pPr>
              <w:pStyle w:val="TableText"/>
            </w:pPr>
            <w:r>
              <w:rPr>
                <w:rFonts w:ascii="Arial" w:hAnsi="Arial"/>
                <w:sz w:val="14"/>
              </w:rPr>
              <w:t>https://www.bankingsupervision.europa.eu/framework/legal-framework/public-consultations/html/rdarr.en.html</w:t>
            </w:r>
          </w:p>
        </w:tc>
      </w:tr>
      <w:tr>
        <w:tc>
          <w:tcPr>
            <w:tcW w:type="dxa" w:w="1077"/>
          </w:tcPr>
          <w:p>
            <w:pPr>
              <w:pStyle w:val="TableText"/>
            </w:pPr>
            <w:r>
              <w:rPr>
                <w:rFonts w:ascii="Arial" w:hAnsi="Arial"/>
                <w:sz w:val="14"/>
              </w:rPr>
              <w:t>MAS-AIMRM-2024</w:t>
            </w:r>
          </w:p>
        </w:tc>
        <w:tc>
          <w:tcPr>
            <w:tcW w:type="dxa" w:w="850"/>
          </w:tcPr>
          <w:p>
            <w:pPr>
              <w:pStyle w:val="TableText"/>
            </w:pPr>
            <w:r>
              <w:rPr>
                <w:rFonts w:ascii="Arial" w:hAnsi="Arial"/>
                <w:sz w:val="14"/>
              </w:rPr>
              <w:t>MAS</w:t>
            </w:r>
          </w:p>
        </w:tc>
        <w:tc>
          <w:tcPr>
            <w:tcW w:type="dxa" w:w="2494"/>
          </w:tcPr>
          <w:p>
            <w:pPr>
              <w:pStyle w:val="TableText"/>
            </w:pPr>
            <w:r>
              <w:rPr>
                <w:rFonts w:ascii="Arial" w:hAnsi="Arial"/>
                <w:sz w:val="14"/>
              </w:rPr>
              <w:t>Artificial Intelligence Model Risk Management — Observations from a Thematic Review</w:t>
            </w:r>
          </w:p>
        </w:tc>
        <w:tc>
          <w:tcPr>
            <w:tcW w:type="dxa" w:w="1304"/>
          </w:tcPr>
          <w:p>
            <w:pPr>
              <w:pStyle w:val="TableText"/>
            </w:pPr>
            <w:r>
              <w:rPr>
                <w:rFonts w:ascii="Arial" w:hAnsi="Arial"/>
                <w:sz w:val="14"/>
              </w:rPr>
              <w:t>Dec 2024</w:t>
            </w:r>
          </w:p>
        </w:tc>
        <w:tc>
          <w:tcPr>
            <w:tcW w:type="dxa" w:w="1701"/>
          </w:tcPr>
          <w:p>
            <w:pPr>
              <w:pStyle w:val="TableText"/>
            </w:pPr>
            <w:r>
              <w:rPr>
                <w:rFonts w:ascii="Arial" w:hAnsi="Arial"/>
                <w:sz w:val="14"/>
              </w:rPr>
              <w:t>Information paper describing observed good practices. Not mandatory guidelines and not a Notice.</w:t>
            </w:r>
          </w:p>
        </w:tc>
        <w:tc>
          <w:tcPr>
            <w:tcW w:type="dxa" w:w="1984"/>
          </w:tcPr>
          <w:p>
            <w:pPr>
              <w:pStyle w:val="TableText"/>
            </w:pPr>
            <w:r>
              <w:rPr>
                <w:rFonts w:ascii="Arial" w:hAnsi="Arial"/>
                <w:sz w:val="14"/>
              </w:rPr>
              <w:t>https://www.mas.gov.sg/publications/monographs-or-information-paper/2024/artificial-intelligence-model-risk-management</w:t>
            </w:r>
          </w:p>
        </w:tc>
      </w:tr>
      <w:tr>
        <w:tc>
          <w:tcPr>
            <w:tcW w:type="dxa" w:w="1077"/>
            <w:shd w:val="clear" w:color="auto" w:fill="F4F6FA"/>
          </w:tcPr>
          <w:p>
            <w:pPr>
              <w:pStyle w:val="TableText"/>
            </w:pPr>
            <w:r>
              <w:rPr>
                <w:rFonts w:ascii="Arial" w:hAnsi="Arial"/>
                <w:sz w:val="14"/>
              </w:rPr>
              <w:t>MAS-FEAT</w:t>
            </w:r>
          </w:p>
        </w:tc>
        <w:tc>
          <w:tcPr>
            <w:tcW w:type="dxa" w:w="850"/>
            <w:shd w:val="clear" w:color="auto" w:fill="F4F6FA"/>
          </w:tcPr>
          <w:p>
            <w:pPr>
              <w:pStyle w:val="TableText"/>
            </w:pPr>
            <w:r>
              <w:rPr>
                <w:rFonts w:ascii="Arial" w:hAnsi="Arial"/>
                <w:sz w:val="14"/>
              </w:rPr>
              <w:t>MAS</w:t>
            </w:r>
          </w:p>
        </w:tc>
        <w:tc>
          <w:tcPr>
            <w:tcW w:type="dxa" w:w="2494"/>
            <w:shd w:val="clear" w:color="auto" w:fill="F4F6FA"/>
          </w:tcPr>
          <w:p>
            <w:pPr>
              <w:pStyle w:val="TableText"/>
            </w:pPr>
            <w:r>
              <w:rPr>
                <w:rFonts w:ascii="Arial" w:hAnsi="Arial"/>
                <w:sz w:val="14"/>
              </w:rPr>
              <w:t>Principles to Promote Fairness, Ethics, Accountability and Transparency (FEAT) in the Use of Artificial Intelligence and Data Analytics in Singapore's Financial Sector</w:t>
            </w:r>
          </w:p>
        </w:tc>
        <w:tc>
          <w:tcPr>
            <w:tcW w:type="dxa" w:w="1304"/>
            <w:shd w:val="clear" w:color="auto" w:fill="F4F6FA"/>
          </w:tcPr>
          <w:p>
            <w:pPr>
              <w:pStyle w:val="TableText"/>
            </w:pPr>
            <w:r>
              <w:rPr>
                <w:rFonts w:ascii="Arial" w:hAnsi="Arial"/>
                <w:sz w:val="14"/>
              </w:rPr>
              <w:t>Nov 2018</w:t>
            </w:r>
          </w:p>
        </w:tc>
        <w:tc>
          <w:tcPr>
            <w:tcW w:type="dxa" w:w="1701"/>
            <w:shd w:val="clear" w:color="auto" w:fill="F4F6FA"/>
          </w:tcPr>
          <w:p>
            <w:pPr>
              <w:pStyle w:val="TableText"/>
            </w:pPr>
            <w:r>
              <w:rPr>
                <w:rFonts w:ascii="Arial" w:hAnsi="Arial"/>
                <w:sz w:val="14"/>
              </w:rPr>
              <w:t>Voluntary principles. Not binding.</w:t>
            </w:r>
          </w:p>
        </w:tc>
        <w:tc>
          <w:tcPr>
            <w:tcW w:type="dxa" w:w="1984"/>
            <w:shd w:val="clear" w:color="auto" w:fill="F4F6FA"/>
          </w:tcPr>
          <w:p>
            <w:pPr>
              <w:pStyle w:val="TableText"/>
            </w:pPr>
            <w:r>
              <w:rPr>
                <w:rFonts w:ascii="Arial" w:hAnsi="Arial"/>
                <w:sz w:val="14"/>
              </w:rPr>
              <w:t>https://www.mas.gov.sg/publications/monographs-or-information-paper/2018/feat</w:t>
            </w:r>
          </w:p>
        </w:tc>
      </w:tr>
      <w:tr>
        <w:tc>
          <w:tcPr>
            <w:tcW w:type="dxa" w:w="1077"/>
          </w:tcPr>
          <w:p>
            <w:pPr>
              <w:pStyle w:val="TableText"/>
            </w:pPr>
            <w:r>
              <w:rPr>
                <w:rFonts w:ascii="Arial" w:hAnsi="Arial"/>
                <w:sz w:val="14"/>
              </w:rPr>
              <w:t>MAS-NOTICE637</w:t>
            </w:r>
          </w:p>
        </w:tc>
        <w:tc>
          <w:tcPr>
            <w:tcW w:type="dxa" w:w="850"/>
          </w:tcPr>
          <w:p>
            <w:pPr>
              <w:pStyle w:val="TableText"/>
            </w:pPr>
            <w:r>
              <w:rPr>
                <w:rFonts w:ascii="Arial" w:hAnsi="Arial"/>
                <w:sz w:val="14"/>
              </w:rPr>
              <w:t>MAS</w:t>
            </w:r>
          </w:p>
        </w:tc>
        <w:tc>
          <w:tcPr>
            <w:tcW w:type="dxa" w:w="2494"/>
          </w:tcPr>
          <w:p>
            <w:pPr>
              <w:pStyle w:val="TableText"/>
            </w:pPr>
            <w:r>
              <w:rPr>
                <w:rFonts w:ascii="Arial" w:hAnsi="Arial"/>
                <w:sz w:val="14"/>
              </w:rPr>
              <w:t>MAS Notice 637 — Risk Based Capital Adequacy Requirements for Banks Incorporated in Singapore</w:t>
            </w:r>
          </w:p>
        </w:tc>
        <w:tc>
          <w:tcPr>
            <w:tcW w:type="dxa" w:w="1304"/>
          </w:tcPr>
          <w:p>
            <w:pPr>
              <w:pStyle w:val="TableText"/>
            </w:pPr>
            <w:r>
              <w:rPr>
                <w:rFonts w:ascii="Arial" w:hAnsi="Arial"/>
                <w:sz w:val="14"/>
              </w:rPr>
              <w:t>As amended</w:t>
            </w:r>
          </w:p>
        </w:tc>
        <w:tc>
          <w:tcPr>
            <w:tcW w:type="dxa" w:w="1701"/>
          </w:tcPr>
          <w:p>
            <w:pPr>
              <w:pStyle w:val="TableText"/>
            </w:pPr>
            <w:r>
              <w:rPr>
                <w:rFonts w:ascii="Arial" w:hAnsi="Arial"/>
                <w:sz w:val="14"/>
              </w:rPr>
              <w:t>Binding Notice issued under the Banking Act. Legally enforceable in Singapore.</w:t>
            </w:r>
          </w:p>
        </w:tc>
        <w:tc>
          <w:tcPr>
            <w:tcW w:type="dxa" w:w="1984"/>
          </w:tcPr>
          <w:p>
            <w:pPr>
              <w:pStyle w:val="TableText"/>
            </w:pPr>
            <w:r>
              <w:rPr>
                <w:rFonts w:ascii="Arial" w:hAnsi="Arial"/>
                <w:sz w:val="14"/>
              </w:rPr>
              <w:t>https://www.mas.gov.sg/regulation/notices/notice-637</w:t>
            </w:r>
          </w:p>
        </w:tc>
      </w:tr>
      <w:tr>
        <w:tc>
          <w:tcPr>
            <w:tcW w:type="dxa" w:w="1077"/>
            <w:shd w:val="clear" w:color="auto" w:fill="F4F6FA"/>
          </w:tcPr>
          <w:p>
            <w:pPr>
              <w:pStyle w:val="TableText"/>
            </w:pPr>
            <w:r>
              <w:rPr>
                <w:rFonts w:ascii="Arial" w:hAnsi="Arial"/>
                <w:sz w:val="14"/>
              </w:rPr>
              <w:t>BCBS-239</w:t>
            </w:r>
          </w:p>
        </w:tc>
        <w:tc>
          <w:tcPr>
            <w:tcW w:type="dxa" w:w="850"/>
            <w:shd w:val="clear" w:color="auto" w:fill="F4F6FA"/>
          </w:tcPr>
          <w:p>
            <w:pPr>
              <w:pStyle w:val="TableText"/>
            </w:pPr>
            <w:r>
              <w:rPr>
                <w:rFonts w:ascii="Arial" w:hAnsi="Arial"/>
                <w:sz w:val="14"/>
              </w:rPr>
              <w:t>BCBS</w:t>
            </w:r>
          </w:p>
        </w:tc>
        <w:tc>
          <w:tcPr>
            <w:tcW w:type="dxa" w:w="2494"/>
            <w:shd w:val="clear" w:color="auto" w:fill="F4F6FA"/>
          </w:tcPr>
          <w:p>
            <w:pPr>
              <w:pStyle w:val="TableText"/>
            </w:pPr>
            <w:r>
              <w:rPr>
                <w:rFonts w:ascii="Arial" w:hAnsi="Arial"/>
                <w:sz w:val="14"/>
              </w:rPr>
              <w:t>Principles for effective risk data aggregation and risk reporting (BCBS 239)</w:t>
            </w:r>
          </w:p>
        </w:tc>
        <w:tc>
          <w:tcPr>
            <w:tcW w:type="dxa" w:w="1304"/>
            <w:shd w:val="clear" w:color="auto" w:fill="F4F6FA"/>
          </w:tcPr>
          <w:p>
            <w:pPr>
              <w:pStyle w:val="TableText"/>
            </w:pPr>
            <w:r>
              <w:rPr>
                <w:rFonts w:ascii="Arial" w:hAnsi="Arial"/>
                <w:sz w:val="14"/>
              </w:rPr>
              <w:t>Jan 2013</w:t>
            </w:r>
          </w:p>
        </w:tc>
        <w:tc>
          <w:tcPr>
            <w:tcW w:type="dxa" w:w="1701"/>
            <w:shd w:val="clear" w:color="auto" w:fill="F4F6FA"/>
          </w:tcPr>
          <w:p>
            <w:pPr>
              <w:pStyle w:val="TableText"/>
            </w:pPr>
            <w:r>
              <w:rPr>
                <w:rFonts w:ascii="Arial" w:hAnsi="Arial"/>
                <w:sz w:val="14"/>
              </w:rPr>
              <w:t>BIS-classified Guidelines, not a Standard. Not directly binding; effect depends on domestic implementation by national authorities.</w:t>
            </w:r>
          </w:p>
        </w:tc>
        <w:tc>
          <w:tcPr>
            <w:tcW w:type="dxa" w:w="1984"/>
            <w:shd w:val="clear" w:color="auto" w:fill="F4F6FA"/>
          </w:tcPr>
          <w:p>
            <w:pPr>
              <w:pStyle w:val="TableText"/>
            </w:pPr>
            <w:r>
              <w:rPr>
                <w:rFonts w:ascii="Arial" w:hAnsi="Arial"/>
                <w:sz w:val="14"/>
              </w:rPr>
              <w:t>https://www.bis.org/publ/bcbs239.htm</w:t>
            </w:r>
          </w:p>
        </w:tc>
      </w:tr>
      <w:tr>
        <w:tc>
          <w:tcPr>
            <w:tcW w:type="dxa" w:w="1077"/>
          </w:tcPr>
          <w:p>
            <w:pPr>
              <w:pStyle w:val="TableText"/>
            </w:pPr>
            <w:r>
              <w:rPr>
                <w:rFonts w:ascii="Arial" w:hAnsi="Arial"/>
                <w:sz w:val="14"/>
              </w:rPr>
              <w:t>BCBS-STRESS</w:t>
            </w:r>
          </w:p>
        </w:tc>
        <w:tc>
          <w:tcPr>
            <w:tcW w:type="dxa" w:w="850"/>
          </w:tcPr>
          <w:p>
            <w:pPr>
              <w:pStyle w:val="TableText"/>
            </w:pPr>
            <w:r>
              <w:rPr>
                <w:rFonts w:ascii="Arial" w:hAnsi="Arial"/>
                <w:sz w:val="14"/>
              </w:rPr>
              <w:t>BCBS</w:t>
            </w:r>
          </w:p>
        </w:tc>
        <w:tc>
          <w:tcPr>
            <w:tcW w:type="dxa" w:w="2494"/>
          </w:tcPr>
          <w:p>
            <w:pPr>
              <w:pStyle w:val="TableText"/>
            </w:pPr>
            <w:r>
              <w:rPr>
                <w:rFonts w:ascii="Arial" w:hAnsi="Arial"/>
                <w:sz w:val="14"/>
              </w:rPr>
              <w:t>Stress testing principles</w:t>
            </w:r>
          </w:p>
        </w:tc>
        <w:tc>
          <w:tcPr>
            <w:tcW w:type="dxa" w:w="1304"/>
          </w:tcPr>
          <w:p>
            <w:pPr>
              <w:pStyle w:val="TableText"/>
            </w:pPr>
            <w:r>
              <w:rPr>
                <w:rFonts w:ascii="Arial" w:hAnsi="Arial"/>
                <w:sz w:val="14"/>
              </w:rPr>
              <w:t>Oct 2018</w:t>
            </w:r>
          </w:p>
        </w:tc>
        <w:tc>
          <w:tcPr>
            <w:tcW w:type="dxa" w:w="1701"/>
          </w:tcPr>
          <w:p>
            <w:pPr>
              <w:pStyle w:val="TableText"/>
            </w:pPr>
            <w:r>
              <w:rPr>
                <w:rFonts w:ascii="Arial" w:hAnsi="Arial"/>
                <w:sz w:val="14"/>
              </w:rPr>
              <w:t>BIS-classified Guidelines. The document expressly states that the principles do not constitute Standards, for which the Basel Committee expects full implementation. Domestic effect depends on implementation by national authorities.</w:t>
            </w:r>
          </w:p>
        </w:tc>
        <w:tc>
          <w:tcPr>
            <w:tcW w:type="dxa" w:w="1984"/>
          </w:tcPr>
          <w:p>
            <w:pPr>
              <w:pStyle w:val="TableText"/>
            </w:pPr>
            <w:r>
              <w:rPr>
                <w:rFonts w:ascii="Arial" w:hAnsi="Arial"/>
                <w:sz w:val="14"/>
              </w:rPr>
              <w:t>https://www.bis.org/bcbs/publ/d450.htm</w:t>
            </w:r>
          </w:p>
        </w:tc>
      </w:tr>
      <w:tr>
        <w:tc>
          <w:tcPr>
            <w:tcW w:type="dxa" w:w="1077"/>
            <w:shd w:val="clear" w:color="auto" w:fill="F4F6FA"/>
          </w:tcPr>
          <w:p>
            <w:pPr>
              <w:pStyle w:val="TableText"/>
            </w:pPr>
            <w:r>
              <w:rPr>
                <w:rFonts w:ascii="Arial" w:hAnsi="Arial"/>
                <w:sz w:val="14"/>
              </w:rPr>
              <w:t>BCBS-FVP</w:t>
            </w:r>
          </w:p>
        </w:tc>
        <w:tc>
          <w:tcPr>
            <w:tcW w:type="dxa" w:w="850"/>
            <w:shd w:val="clear" w:color="auto" w:fill="F4F6FA"/>
          </w:tcPr>
          <w:p>
            <w:pPr>
              <w:pStyle w:val="TableText"/>
            </w:pPr>
            <w:r>
              <w:rPr>
                <w:rFonts w:ascii="Arial" w:hAnsi="Arial"/>
                <w:sz w:val="14"/>
              </w:rPr>
              <w:t>BCBS</w:t>
            </w:r>
          </w:p>
        </w:tc>
        <w:tc>
          <w:tcPr>
            <w:tcW w:type="dxa" w:w="2494"/>
            <w:shd w:val="clear" w:color="auto" w:fill="F4F6FA"/>
          </w:tcPr>
          <w:p>
            <w:pPr>
              <w:pStyle w:val="TableText"/>
            </w:pPr>
            <w:r>
              <w:rPr>
                <w:rFonts w:ascii="Arial" w:hAnsi="Arial"/>
                <w:sz w:val="14"/>
              </w:rPr>
              <w:t>Supervisory guidance for assessing banks' financial instrument fair value practices</w:t>
            </w:r>
          </w:p>
        </w:tc>
        <w:tc>
          <w:tcPr>
            <w:tcW w:type="dxa" w:w="1304"/>
            <w:shd w:val="clear" w:color="auto" w:fill="F4F6FA"/>
          </w:tcPr>
          <w:p>
            <w:pPr>
              <w:pStyle w:val="TableText"/>
            </w:pPr>
            <w:r>
              <w:rPr>
                <w:rFonts w:ascii="Arial" w:hAnsi="Arial"/>
                <w:sz w:val="14"/>
              </w:rPr>
              <w:t>Apr 2009</w:t>
            </w:r>
          </w:p>
        </w:tc>
        <w:tc>
          <w:tcPr>
            <w:tcW w:type="dxa" w:w="1701"/>
            <w:shd w:val="clear" w:color="auto" w:fill="F4F6FA"/>
          </w:tcPr>
          <w:p>
            <w:pPr>
              <w:pStyle w:val="TableText"/>
            </w:pPr>
            <w:r>
              <w:rPr>
                <w:rFonts w:ascii="Arial" w:hAnsi="Arial"/>
                <w:sz w:val="14"/>
              </w:rPr>
              <w:t>Supervisory guidance. Effect depends on domestic implementation.</w:t>
            </w:r>
          </w:p>
        </w:tc>
        <w:tc>
          <w:tcPr>
            <w:tcW w:type="dxa" w:w="1984"/>
            <w:shd w:val="clear" w:color="auto" w:fill="F4F6FA"/>
          </w:tcPr>
          <w:p>
            <w:pPr>
              <w:pStyle w:val="TableText"/>
            </w:pPr>
            <w:r>
              <w:rPr>
                <w:rFonts w:ascii="Arial" w:hAnsi="Arial"/>
                <w:sz w:val="14"/>
              </w:rPr>
              <w:t>https://www.bis.org/publ/bcbs153.htm</w:t>
            </w:r>
          </w:p>
        </w:tc>
      </w:tr>
      <w:tr>
        <w:tc>
          <w:tcPr>
            <w:tcW w:type="dxa" w:w="1077"/>
          </w:tcPr>
          <w:p>
            <w:pPr>
              <w:pStyle w:val="TableText"/>
            </w:pPr>
            <w:r>
              <w:rPr>
                <w:rFonts w:ascii="Arial" w:hAnsi="Arial"/>
                <w:sz w:val="14"/>
              </w:rPr>
              <w:t>BCBS-DIGI</w:t>
            </w:r>
          </w:p>
        </w:tc>
        <w:tc>
          <w:tcPr>
            <w:tcW w:type="dxa" w:w="850"/>
          </w:tcPr>
          <w:p>
            <w:pPr>
              <w:pStyle w:val="TableText"/>
            </w:pPr>
            <w:r>
              <w:rPr>
                <w:rFonts w:ascii="Arial" w:hAnsi="Arial"/>
                <w:sz w:val="14"/>
              </w:rPr>
              <w:t>BCBS</w:t>
            </w:r>
          </w:p>
        </w:tc>
        <w:tc>
          <w:tcPr>
            <w:tcW w:type="dxa" w:w="2494"/>
          </w:tcPr>
          <w:p>
            <w:pPr>
              <w:pStyle w:val="TableText"/>
            </w:pPr>
            <w:r>
              <w:rPr>
                <w:rFonts w:ascii="Arial" w:hAnsi="Arial"/>
                <w:sz w:val="14"/>
              </w:rPr>
              <w:t>Digitalisation of finance</w:t>
            </w:r>
          </w:p>
        </w:tc>
        <w:tc>
          <w:tcPr>
            <w:tcW w:type="dxa" w:w="1304"/>
          </w:tcPr>
          <w:p>
            <w:pPr>
              <w:pStyle w:val="TableText"/>
            </w:pPr>
            <w:r>
              <w:rPr>
                <w:rFonts w:ascii="Arial" w:hAnsi="Arial"/>
                <w:sz w:val="14"/>
              </w:rPr>
              <w:t>May 2024</w:t>
            </w:r>
          </w:p>
        </w:tc>
        <w:tc>
          <w:tcPr>
            <w:tcW w:type="dxa" w:w="1701"/>
          </w:tcPr>
          <w:p>
            <w:pPr>
              <w:pStyle w:val="TableText"/>
            </w:pPr>
            <w:r>
              <w:rPr>
                <w:rFonts w:ascii="Arial" w:hAnsi="Arial"/>
                <w:sz w:val="14"/>
              </w:rPr>
              <w:t>Analytical report. Not a standard and not binding.</w:t>
            </w:r>
          </w:p>
        </w:tc>
        <w:tc>
          <w:tcPr>
            <w:tcW w:type="dxa" w:w="1984"/>
          </w:tcPr>
          <w:p>
            <w:pPr>
              <w:pStyle w:val="TableText"/>
            </w:pPr>
            <w:r>
              <w:rPr>
                <w:rFonts w:ascii="Arial" w:hAnsi="Arial"/>
                <w:sz w:val="14"/>
              </w:rPr>
              <w:t>https://www.bis.org/bcbs/publ/d575.htm</w:t>
            </w:r>
          </w:p>
        </w:tc>
      </w:tr>
      <w:tr>
        <w:tc>
          <w:tcPr>
            <w:tcW w:type="dxa" w:w="1077"/>
            <w:shd w:val="clear" w:color="auto" w:fill="F4F6FA"/>
          </w:tcPr>
          <w:p>
            <w:pPr>
              <w:pStyle w:val="TableText"/>
            </w:pPr>
            <w:r>
              <w:rPr>
                <w:rFonts w:ascii="Arial" w:hAnsi="Arial"/>
                <w:sz w:val="14"/>
              </w:rPr>
              <w:t>BCBS-AIML</w:t>
            </w:r>
          </w:p>
        </w:tc>
        <w:tc>
          <w:tcPr>
            <w:tcW w:type="dxa" w:w="850"/>
            <w:shd w:val="clear" w:color="auto" w:fill="F4F6FA"/>
          </w:tcPr>
          <w:p>
            <w:pPr>
              <w:pStyle w:val="TableText"/>
            </w:pPr>
            <w:r>
              <w:rPr>
                <w:rFonts w:ascii="Arial" w:hAnsi="Arial"/>
                <w:sz w:val="14"/>
              </w:rPr>
              <w:t>BCBS</w:t>
            </w:r>
          </w:p>
        </w:tc>
        <w:tc>
          <w:tcPr>
            <w:tcW w:type="dxa" w:w="2494"/>
            <w:shd w:val="clear" w:color="auto" w:fill="F4F6FA"/>
          </w:tcPr>
          <w:p>
            <w:pPr>
              <w:pStyle w:val="TableText"/>
            </w:pPr>
            <w:r>
              <w:rPr>
                <w:rFonts w:ascii="Arial" w:hAnsi="Arial"/>
                <w:sz w:val="14"/>
              </w:rPr>
              <w:t>Newsletter on artificial intelligence and machine learning</w:t>
            </w:r>
          </w:p>
        </w:tc>
        <w:tc>
          <w:tcPr>
            <w:tcW w:type="dxa" w:w="1304"/>
            <w:shd w:val="clear" w:color="auto" w:fill="F4F6FA"/>
          </w:tcPr>
          <w:p>
            <w:pPr>
              <w:pStyle w:val="TableText"/>
            </w:pPr>
            <w:r>
              <w:rPr>
                <w:rFonts w:ascii="Arial" w:hAnsi="Arial"/>
                <w:sz w:val="14"/>
              </w:rPr>
              <w:t>16 Mar 2022</w:t>
            </w:r>
          </w:p>
        </w:tc>
        <w:tc>
          <w:tcPr>
            <w:tcW w:type="dxa" w:w="1701"/>
            <w:shd w:val="clear" w:color="auto" w:fill="F4F6FA"/>
          </w:tcPr>
          <w:p>
            <w:pPr>
              <w:pStyle w:val="TableText"/>
            </w:pPr>
            <w:r>
              <w:rPr>
                <w:rFonts w:ascii="Arial" w:hAnsi="Arial"/>
                <w:sz w:val="14"/>
              </w:rPr>
              <w:t>Supervisory newsletter. Not a standard.</w:t>
            </w:r>
          </w:p>
        </w:tc>
        <w:tc>
          <w:tcPr>
            <w:tcW w:type="dxa" w:w="1984"/>
            <w:shd w:val="clear" w:color="auto" w:fill="F4F6FA"/>
          </w:tcPr>
          <w:p>
            <w:pPr>
              <w:pStyle w:val="TableText"/>
            </w:pPr>
            <w:r>
              <w:rPr>
                <w:rFonts w:ascii="Arial" w:hAnsi="Arial"/>
                <w:sz w:val="14"/>
              </w:rPr>
              <w:t>https://www.bis.org/publ/bcbs_nl27.htm</w:t>
            </w:r>
          </w:p>
        </w:tc>
      </w:tr>
      <w:tr>
        <w:tc>
          <w:tcPr>
            <w:tcW w:type="dxa" w:w="1077"/>
          </w:tcPr>
          <w:p>
            <w:pPr>
              <w:pStyle w:val="TableText"/>
            </w:pPr>
            <w:r>
              <w:rPr>
                <w:rFonts w:ascii="Arial" w:hAnsi="Arial"/>
                <w:sz w:val="14"/>
              </w:rPr>
              <w:t>BCBS-TPRM</w:t>
            </w:r>
          </w:p>
        </w:tc>
        <w:tc>
          <w:tcPr>
            <w:tcW w:type="dxa" w:w="850"/>
          </w:tcPr>
          <w:p>
            <w:pPr>
              <w:pStyle w:val="TableText"/>
            </w:pPr>
            <w:r>
              <w:rPr>
                <w:rFonts w:ascii="Arial" w:hAnsi="Arial"/>
                <w:sz w:val="14"/>
              </w:rPr>
              <w:t>BCBS</w:t>
            </w:r>
          </w:p>
        </w:tc>
        <w:tc>
          <w:tcPr>
            <w:tcW w:type="dxa" w:w="2494"/>
          </w:tcPr>
          <w:p>
            <w:pPr>
              <w:pStyle w:val="TableText"/>
            </w:pPr>
            <w:r>
              <w:rPr>
                <w:rFonts w:ascii="Arial" w:hAnsi="Arial"/>
                <w:sz w:val="14"/>
              </w:rPr>
              <w:t>Principles for the sound management of third-party risk (BCBS d605)</w:t>
            </w:r>
          </w:p>
        </w:tc>
        <w:tc>
          <w:tcPr>
            <w:tcW w:type="dxa" w:w="1304"/>
          </w:tcPr>
          <w:p>
            <w:pPr>
              <w:pStyle w:val="TableText"/>
            </w:pPr>
            <w:r>
              <w:rPr>
                <w:rFonts w:ascii="Arial" w:hAnsi="Arial"/>
                <w:sz w:val="14"/>
              </w:rPr>
              <w:t>2025</w:t>
            </w:r>
          </w:p>
        </w:tc>
        <w:tc>
          <w:tcPr>
            <w:tcW w:type="dxa" w:w="1701"/>
          </w:tcPr>
          <w:p>
            <w:pPr>
              <w:pStyle w:val="TableText"/>
            </w:pPr>
            <w:r>
              <w:rPr>
                <w:rFonts w:ascii="Arial" w:hAnsi="Arial"/>
                <w:sz w:val="14"/>
              </w:rPr>
              <w:t>BIS-classified Guidelines, not a Standard. Domestic effect depends on implementation by national authorities.</w:t>
            </w:r>
          </w:p>
        </w:tc>
        <w:tc>
          <w:tcPr>
            <w:tcW w:type="dxa" w:w="1984"/>
          </w:tcPr>
          <w:p>
            <w:pPr>
              <w:pStyle w:val="TableText"/>
            </w:pPr>
            <w:r>
              <w:rPr>
                <w:rFonts w:ascii="Arial" w:hAnsi="Arial"/>
                <w:sz w:val="14"/>
              </w:rPr>
              <w:t>https://www.bis.org/bcbs/publ/d605.htm</w:t>
            </w:r>
          </w:p>
        </w:tc>
      </w:tr>
      <w:tr>
        <w:tc>
          <w:tcPr>
            <w:tcW w:type="dxa" w:w="1077"/>
            <w:shd w:val="clear" w:color="auto" w:fill="F4F6FA"/>
          </w:tcPr>
          <w:p>
            <w:pPr>
              <w:pStyle w:val="TableText"/>
            </w:pPr>
            <w:r>
              <w:rPr>
                <w:rFonts w:ascii="Arial" w:hAnsi="Arial"/>
                <w:sz w:val="14"/>
              </w:rPr>
              <w:t>FSB-SP-2026</w:t>
            </w:r>
          </w:p>
        </w:tc>
        <w:tc>
          <w:tcPr>
            <w:tcW w:type="dxa" w:w="850"/>
            <w:shd w:val="clear" w:color="auto" w:fill="F4F6FA"/>
          </w:tcPr>
          <w:p>
            <w:pPr>
              <w:pStyle w:val="TableText"/>
            </w:pPr>
            <w:r>
              <w:rPr>
                <w:rFonts w:ascii="Arial" w:hAnsi="Arial"/>
                <w:sz w:val="14"/>
              </w:rPr>
              <w:t>FSB</w:t>
            </w:r>
          </w:p>
        </w:tc>
        <w:tc>
          <w:tcPr>
            <w:tcW w:type="dxa" w:w="2494"/>
            <w:shd w:val="clear" w:color="auto" w:fill="F4F6FA"/>
          </w:tcPr>
          <w:p>
            <w:pPr>
              <w:pStyle w:val="TableText"/>
            </w:pPr>
            <w:r>
              <w:rPr>
                <w:rFonts w:ascii="Arial" w:hAnsi="Arial"/>
                <w:sz w:val="14"/>
              </w:rPr>
              <w:t>Sound Practices for Responsible Adoption of Artificial Intelligence — consultation report</w:t>
            </w:r>
          </w:p>
        </w:tc>
        <w:tc>
          <w:tcPr>
            <w:tcW w:type="dxa" w:w="1304"/>
            <w:shd w:val="clear" w:color="auto" w:fill="F4F6FA"/>
          </w:tcPr>
          <w:p>
            <w:pPr>
              <w:pStyle w:val="TableText"/>
            </w:pPr>
            <w:r>
              <w:rPr>
                <w:rFonts w:ascii="Arial" w:hAnsi="Arial"/>
                <w:sz w:val="14"/>
              </w:rPr>
              <w:t>Jun 2026 (consultation)</w:t>
            </w:r>
          </w:p>
        </w:tc>
        <w:tc>
          <w:tcPr>
            <w:tcW w:type="dxa" w:w="1701"/>
            <w:shd w:val="clear" w:color="auto" w:fill="F4F6FA"/>
          </w:tcPr>
          <w:p>
            <w:pPr>
              <w:pStyle w:val="TableText"/>
            </w:pPr>
            <w:r>
              <w:rPr>
                <w:rFonts w:ascii="Arial" w:hAnsi="Arial"/>
                <w:sz w:val="14"/>
              </w:rPr>
              <w:t>Consultation report. The FSB states expressly that the sound practices are not intended to establish an international standard. Not binding anywhere.</w:t>
            </w:r>
          </w:p>
        </w:tc>
        <w:tc>
          <w:tcPr>
            <w:tcW w:type="dxa" w:w="1984"/>
            <w:shd w:val="clear" w:color="auto" w:fill="F4F6FA"/>
          </w:tcPr>
          <w:p>
            <w:pPr>
              <w:pStyle w:val="TableText"/>
            </w:pPr>
            <w:r>
              <w:rPr>
                <w:rFonts w:ascii="Arial" w:hAnsi="Arial"/>
                <w:sz w:val="14"/>
              </w:rPr>
              <w:t>https://www.fsb.org/2026/06/sound-practices-for-responsible-adoption-of-artificial-intelligence-ai/</w:t>
            </w:r>
          </w:p>
        </w:tc>
      </w:tr>
      <w:tr>
        <w:tc>
          <w:tcPr>
            <w:tcW w:type="dxa" w:w="1077"/>
          </w:tcPr>
          <w:p>
            <w:pPr>
              <w:pStyle w:val="TableText"/>
            </w:pPr>
            <w:r>
              <w:rPr>
                <w:rFonts w:ascii="Arial" w:hAnsi="Arial"/>
                <w:sz w:val="14"/>
              </w:rPr>
              <w:t>FSB-AI-2024</w:t>
            </w:r>
          </w:p>
        </w:tc>
        <w:tc>
          <w:tcPr>
            <w:tcW w:type="dxa" w:w="850"/>
          </w:tcPr>
          <w:p>
            <w:pPr>
              <w:pStyle w:val="TableText"/>
            </w:pPr>
            <w:r>
              <w:rPr>
                <w:rFonts w:ascii="Arial" w:hAnsi="Arial"/>
                <w:sz w:val="14"/>
              </w:rPr>
              <w:t>FSB</w:t>
            </w:r>
          </w:p>
        </w:tc>
        <w:tc>
          <w:tcPr>
            <w:tcW w:type="dxa" w:w="2494"/>
          </w:tcPr>
          <w:p>
            <w:pPr>
              <w:pStyle w:val="TableText"/>
            </w:pPr>
            <w:r>
              <w:rPr>
                <w:rFonts w:ascii="Arial" w:hAnsi="Arial"/>
                <w:sz w:val="14"/>
              </w:rPr>
              <w:t>The Financial Stability Implications of Artificial Intelligence</w:t>
            </w:r>
          </w:p>
        </w:tc>
        <w:tc>
          <w:tcPr>
            <w:tcW w:type="dxa" w:w="1304"/>
          </w:tcPr>
          <w:p>
            <w:pPr>
              <w:pStyle w:val="TableText"/>
            </w:pPr>
            <w:r>
              <w:rPr>
                <w:rFonts w:ascii="Arial" w:hAnsi="Arial"/>
                <w:sz w:val="14"/>
              </w:rPr>
              <w:t>14 Nov 2024</w:t>
            </w:r>
          </w:p>
        </w:tc>
        <w:tc>
          <w:tcPr>
            <w:tcW w:type="dxa" w:w="1701"/>
          </w:tcPr>
          <w:p>
            <w:pPr>
              <w:pStyle w:val="TableText"/>
            </w:pPr>
            <w:r>
              <w:rPr>
                <w:rFonts w:ascii="Arial" w:hAnsi="Arial"/>
                <w:sz w:val="14"/>
              </w:rPr>
              <w:t>Analytical report. Expressly not a standard.</w:t>
            </w:r>
          </w:p>
        </w:tc>
        <w:tc>
          <w:tcPr>
            <w:tcW w:type="dxa" w:w="1984"/>
          </w:tcPr>
          <w:p>
            <w:pPr>
              <w:pStyle w:val="TableText"/>
            </w:pPr>
            <w:r>
              <w:rPr>
                <w:rFonts w:ascii="Arial" w:hAnsi="Arial"/>
                <w:sz w:val="14"/>
              </w:rPr>
              <w:t>https://www.fsb.org/2024/11/the-financial-stability-implications-of-artificial-intelligence/</w:t>
            </w:r>
          </w:p>
        </w:tc>
      </w:tr>
      <w:tr>
        <w:tc>
          <w:tcPr>
            <w:tcW w:type="dxa" w:w="1077"/>
            <w:shd w:val="clear" w:color="auto" w:fill="F4F6FA"/>
          </w:tcPr>
          <w:p>
            <w:pPr>
              <w:pStyle w:val="TableText"/>
            </w:pPr>
            <w:r>
              <w:rPr>
                <w:rFonts w:ascii="Arial" w:hAnsi="Arial"/>
                <w:sz w:val="14"/>
              </w:rPr>
              <w:t>FSB-AI-2017</w:t>
            </w:r>
          </w:p>
        </w:tc>
        <w:tc>
          <w:tcPr>
            <w:tcW w:type="dxa" w:w="850"/>
            <w:shd w:val="clear" w:color="auto" w:fill="F4F6FA"/>
          </w:tcPr>
          <w:p>
            <w:pPr>
              <w:pStyle w:val="TableText"/>
            </w:pPr>
            <w:r>
              <w:rPr>
                <w:rFonts w:ascii="Arial" w:hAnsi="Arial"/>
                <w:sz w:val="14"/>
              </w:rPr>
              <w:t>FSB</w:t>
            </w:r>
          </w:p>
        </w:tc>
        <w:tc>
          <w:tcPr>
            <w:tcW w:type="dxa" w:w="2494"/>
            <w:shd w:val="clear" w:color="auto" w:fill="F4F6FA"/>
          </w:tcPr>
          <w:p>
            <w:pPr>
              <w:pStyle w:val="TableText"/>
            </w:pPr>
            <w:r>
              <w:rPr>
                <w:rFonts w:ascii="Arial" w:hAnsi="Arial"/>
                <w:sz w:val="14"/>
              </w:rPr>
              <w:t>Artificial intelligence and machine learning in financial services</w:t>
            </w:r>
          </w:p>
        </w:tc>
        <w:tc>
          <w:tcPr>
            <w:tcW w:type="dxa" w:w="1304"/>
            <w:shd w:val="clear" w:color="auto" w:fill="F4F6FA"/>
          </w:tcPr>
          <w:p>
            <w:pPr>
              <w:pStyle w:val="TableText"/>
            </w:pPr>
            <w:r>
              <w:rPr>
                <w:rFonts w:ascii="Arial" w:hAnsi="Arial"/>
                <w:sz w:val="14"/>
              </w:rPr>
              <w:t>1 Nov 2017</w:t>
            </w:r>
          </w:p>
        </w:tc>
        <w:tc>
          <w:tcPr>
            <w:tcW w:type="dxa" w:w="1701"/>
            <w:shd w:val="clear" w:color="auto" w:fill="F4F6FA"/>
          </w:tcPr>
          <w:p>
            <w:pPr>
              <w:pStyle w:val="TableText"/>
            </w:pPr>
            <w:r>
              <w:rPr>
                <w:rFonts w:ascii="Arial" w:hAnsi="Arial"/>
                <w:sz w:val="14"/>
              </w:rPr>
              <w:t>Analytical report. Not a standard.</w:t>
            </w:r>
          </w:p>
        </w:tc>
        <w:tc>
          <w:tcPr>
            <w:tcW w:type="dxa" w:w="1984"/>
            <w:shd w:val="clear" w:color="auto" w:fill="F4F6FA"/>
          </w:tcPr>
          <w:p>
            <w:pPr>
              <w:pStyle w:val="TableText"/>
            </w:pPr>
            <w:r>
              <w:rPr>
                <w:rFonts w:ascii="Arial" w:hAnsi="Arial"/>
                <w:sz w:val="14"/>
              </w:rPr>
              <w:t>https://www.fsb.org/2017/11/artificial-intelligence-and-machine-learning-in-financial-service/</w:t>
            </w:r>
          </w:p>
        </w:tc>
      </w:tr>
      <w:tr>
        <w:tc>
          <w:tcPr>
            <w:tcW w:type="dxa" w:w="1077"/>
          </w:tcPr>
          <w:p>
            <w:pPr>
              <w:pStyle w:val="TableText"/>
            </w:pPr>
            <w:r>
              <w:rPr>
                <w:rFonts w:ascii="Arial" w:hAnsi="Arial"/>
                <w:sz w:val="14"/>
              </w:rPr>
              <w:t>BCBS-ECL-2015</w:t>
            </w:r>
          </w:p>
        </w:tc>
        <w:tc>
          <w:tcPr>
            <w:tcW w:type="dxa" w:w="850"/>
          </w:tcPr>
          <w:p>
            <w:pPr>
              <w:pStyle w:val="TableText"/>
            </w:pPr>
            <w:r>
              <w:rPr>
                <w:rFonts w:ascii="Arial" w:hAnsi="Arial"/>
                <w:sz w:val="14"/>
              </w:rPr>
              <w:t>BCBS</w:t>
            </w:r>
          </w:p>
        </w:tc>
        <w:tc>
          <w:tcPr>
            <w:tcW w:type="dxa" w:w="2494"/>
          </w:tcPr>
          <w:p>
            <w:pPr>
              <w:pStyle w:val="TableText"/>
            </w:pPr>
            <w:r>
              <w:rPr>
                <w:rFonts w:ascii="Arial" w:hAnsi="Arial"/>
                <w:sz w:val="14"/>
              </w:rPr>
              <w:t>Guidance on credit risk and accounting for expected credit losses (BCBS d350)</w:t>
            </w:r>
          </w:p>
        </w:tc>
        <w:tc>
          <w:tcPr>
            <w:tcW w:type="dxa" w:w="1304"/>
          </w:tcPr>
          <w:p>
            <w:pPr>
              <w:pStyle w:val="TableText"/>
            </w:pPr>
            <w:r>
              <w:rPr>
                <w:rFonts w:ascii="Arial" w:hAnsi="Arial"/>
                <w:sz w:val="14"/>
              </w:rPr>
              <w:t>18 Dec 2015</w:t>
            </w:r>
          </w:p>
        </w:tc>
        <w:tc>
          <w:tcPr>
            <w:tcW w:type="dxa" w:w="1701"/>
          </w:tcPr>
          <w:p>
            <w:pPr>
              <w:pStyle w:val="TableText"/>
            </w:pPr>
            <w:r>
              <w:rPr>
                <w:rFonts w:ascii="Arial" w:hAnsi="Arial"/>
                <w:sz w:val="14"/>
              </w:rPr>
              <w:t>BIS-classified Guidelines. Supervisory guidance intended not to contradict applicable accounting standards. Domestic effect depends on implementation; in Australia APG 220 directs ADIs to have regard to it.</w:t>
            </w:r>
          </w:p>
        </w:tc>
        <w:tc>
          <w:tcPr>
            <w:tcW w:type="dxa" w:w="1984"/>
          </w:tcPr>
          <w:p>
            <w:pPr>
              <w:pStyle w:val="TableText"/>
            </w:pPr>
            <w:r>
              <w:rPr>
                <w:rFonts w:ascii="Arial" w:hAnsi="Arial"/>
                <w:sz w:val="14"/>
              </w:rPr>
              <w:t>https://www.bis.org/bcbs/publ/d350.htm</w:t>
            </w:r>
          </w:p>
        </w:tc>
      </w:tr>
      <w:tr>
        <w:tc>
          <w:tcPr>
            <w:tcW w:type="dxa" w:w="1077"/>
            <w:shd w:val="clear" w:color="auto" w:fill="F4F6FA"/>
          </w:tcPr>
          <w:p>
            <w:pPr>
              <w:pStyle w:val="TableText"/>
            </w:pPr>
            <w:r>
              <w:rPr>
                <w:rFonts w:ascii="Arial" w:hAnsi="Arial"/>
                <w:sz w:val="14"/>
              </w:rPr>
              <w:t>BCBS-CR-NL-2023</w:t>
            </w:r>
          </w:p>
        </w:tc>
        <w:tc>
          <w:tcPr>
            <w:tcW w:type="dxa" w:w="850"/>
            <w:shd w:val="clear" w:color="auto" w:fill="F4F6FA"/>
          </w:tcPr>
          <w:p>
            <w:pPr>
              <w:pStyle w:val="TableText"/>
            </w:pPr>
            <w:r>
              <w:rPr>
                <w:rFonts w:ascii="Arial" w:hAnsi="Arial"/>
                <w:sz w:val="14"/>
              </w:rPr>
              <w:t>BCBS</w:t>
            </w:r>
          </w:p>
        </w:tc>
        <w:tc>
          <w:tcPr>
            <w:tcW w:type="dxa" w:w="2494"/>
            <w:shd w:val="clear" w:color="auto" w:fill="F4F6FA"/>
          </w:tcPr>
          <w:p>
            <w:pPr>
              <w:pStyle w:val="TableText"/>
            </w:pPr>
            <w:r>
              <w:rPr>
                <w:rFonts w:ascii="Arial" w:hAnsi="Arial"/>
                <w:sz w:val="14"/>
              </w:rPr>
              <w:t>Newsletter on credit risk issues (bcbs_nl32)</w:t>
            </w:r>
          </w:p>
        </w:tc>
        <w:tc>
          <w:tcPr>
            <w:tcW w:type="dxa" w:w="1304"/>
            <w:shd w:val="clear" w:color="auto" w:fill="F4F6FA"/>
          </w:tcPr>
          <w:p>
            <w:pPr>
              <w:pStyle w:val="TableText"/>
            </w:pPr>
            <w:r>
              <w:rPr>
                <w:rFonts w:ascii="Arial" w:hAnsi="Arial"/>
                <w:sz w:val="14"/>
              </w:rPr>
              <w:t>4 Jul 2023</w:t>
            </w:r>
          </w:p>
        </w:tc>
        <w:tc>
          <w:tcPr>
            <w:tcW w:type="dxa" w:w="1701"/>
            <w:shd w:val="clear" w:color="auto" w:fill="F4F6FA"/>
          </w:tcPr>
          <w:p>
            <w:pPr>
              <w:pStyle w:val="TableText"/>
            </w:pPr>
            <w:r>
              <w:rPr>
                <w:rFonts w:ascii="Arial" w:hAnsi="Arial"/>
                <w:sz w:val="14"/>
              </w:rPr>
              <w:t>Supervisory newsletter. Not a standard and not binding.</w:t>
            </w:r>
          </w:p>
        </w:tc>
        <w:tc>
          <w:tcPr>
            <w:tcW w:type="dxa" w:w="1984"/>
            <w:shd w:val="clear" w:color="auto" w:fill="F4F6FA"/>
          </w:tcPr>
          <w:p>
            <w:pPr>
              <w:pStyle w:val="TableText"/>
            </w:pPr>
            <w:r>
              <w:rPr>
                <w:rFonts w:ascii="Arial" w:hAnsi="Arial"/>
                <w:sz w:val="14"/>
              </w:rPr>
              <w:t>https://www.bis.org/publ/bcbs_nl32.htm</w:t>
            </w:r>
          </w:p>
        </w:tc>
      </w:tr>
      <w:tr>
        <w:tc>
          <w:tcPr>
            <w:tcW w:type="dxa" w:w="1077"/>
          </w:tcPr>
          <w:p>
            <w:pPr>
              <w:pStyle w:val="TableText"/>
            </w:pPr>
            <w:r>
              <w:rPr>
                <w:rFonts w:ascii="Arial" w:hAnsi="Arial"/>
                <w:sz w:val="14"/>
              </w:rPr>
              <w:t>APRA-APS220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APS 220 Credit Risk Management</w:t>
            </w:r>
          </w:p>
        </w:tc>
        <w:tc>
          <w:tcPr>
            <w:tcW w:type="dxa" w:w="1304"/>
          </w:tcPr>
          <w:p>
            <w:pPr>
              <w:pStyle w:val="TableText"/>
            </w:pPr>
            <w:r>
              <w:rPr>
                <w:rFonts w:ascii="Arial" w:hAnsi="Arial"/>
                <w:sz w:val="14"/>
              </w:rPr>
              <w:t>Commenced 1 Jan 2023</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https://www.apra.gov.au/standards/aps-220</w:t>
            </w:r>
          </w:p>
        </w:tc>
      </w:tr>
      <w:tr>
        <w:tc>
          <w:tcPr>
            <w:tcW w:type="dxa" w:w="1077"/>
            <w:shd w:val="clear" w:color="auto" w:fill="F4F6FA"/>
          </w:tcPr>
          <w:p>
            <w:pPr>
              <w:pStyle w:val="TableText"/>
            </w:pPr>
            <w:r>
              <w:rPr>
                <w:rFonts w:ascii="Arial" w:hAnsi="Arial"/>
                <w:sz w:val="14"/>
              </w:rPr>
              <w:t>APRA-APS310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APS 310 Audit and Related Matters</w:t>
            </w:r>
          </w:p>
        </w:tc>
        <w:tc>
          <w:tcPr>
            <w:tcW w:type="dxa" w:w="1304"/>
            <w:shd w:val="clear" w:color="auto" w:fill="F4F6FA"/>
          </w:tcPr>
          <w:p>
            <w:pPr>
              <w:pStyle w:val="TableText"/>
            </w:pPr>
            <w:r>
              <w:rPr>
                <w:rFonts w:ascii="Arial" w:hAnsi="Arial"/>
                <w:sz w:val="14"/>
              </w:rPr>
              <w:t>Commenced 1 Jan 2023</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https://www.apra.gov.au/standards/aps-310</w:t>
            </w:r>
          </w:p>
        </w:tc>
      </w:tr>
      <w:tr>
        <w:tc>
          <w:tcPr>
            <w:tcW w:type="dxa" w:w="1077"/>
          </w:tcPr>
          <w:p>
            <w:pPr>
              <w:pStyle w:val="TableText"/>
            </w:pPr>
            <w:r>
              <w:rPr>
                <w:rFonts w:ascii="Arial" w:hAnsi="Arial"/>
                <w:sz w:val="14"/>
              </w:rPr>
              <w:t>APRA-GPS310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GPS 310 Audit and Related Matters</w:t>
            </w:r>
          </w:p>
        </w:tc>
        <w:tc>
          <w:tcPr>
            <w:tcW w:type="dxa" w:w="1304"/>
          </w:tcPr>
          <w:p>
            <w:pPr>
              <w:pStyle w:val="TableText"/>
            </w:pPr>
            <w:r>
              <w:rPr>
                <w:rFonts w:ascii="Arial" w:hAnsi="Arial"/>
                <w:sz w:val="14"/>
              </w:rPr>
              <w:t>Commenced 1 Oct 2024</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https://www.apra.gov.au/standards/gps-310</w:t>
            </w:r>
          </w:p>
        </w:tc>
      </w:tr>
      <w:tr>
        <w:tc>
          <w:tcPr>
            <w:tcW w:type="dxa" w:w="1077"/>
            <w:shd w:val="clear" w:color="auto" w:fill="F4F6FA"/>
          </w:tcPr>
          <w:p>
            <w:pPr>
              <w:pStyle w:val="TableText"/>
            </w:pPr>
            <w:r>
              <w:rPr>
                <w:rFonts w:ascii="Arial" w:hAnsi="Arial"/>
                <w:sz w:val="14"/>
              </w:rPr>
              <w:t>APRA-LPS310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LPS 310 Audit and Related Matters</w:t>
            </w:r>
          </w:p>
        </w:tc>
        <w:tc>
          <w:tcPr>
            <w:tcW w:type="dxa" w:w="1304"/>
            <w:shd w:val="clear" w:color="auto" w:fill="F4F6FA"/>
          </w:tcPr>
          <w:p>
            <w:pPr>
              <w:pStyle w:val="TableText"/>
            </w:pPr>
            <w:r>
              <w:rPr>
                <w:rFonts w:ascii="Arial" w:hAnsi="Arial"/>
                <w:sz w:val="14"/>
              </w:rPr>
              <w:t>Commenced 18 Dec 2023</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https://www.apra.gov.au/standards/lps-310</w:t>
            </w:r>
          </w:p>
        </w:tc>
      </w:tr>
      <w:tr>
        <w:tc>
          <w:tcPr>
            <w:tcW w:type="dxa" w:w="1077"/>
          </w:tcPr>
          <w:p>
            <w:pPr>
              <w:pStyle w:val="TableText"/>
            </w:pPr>
            <w:r>
              <w:rPr>
                <w:rFonts w:ascii="Arial" w:hAnsi="Arial"/>
                <w:sz w:val="14"/>
              </w:rPr>
              <w:t>APRA-HPS310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HPS 310 Audit and Related Matters</w:t>
            </w:r>
          </w:p>
        </w:tc>
        <w:tc>
          <w:tcPr>
            <w:tcW w:type="dxa" w:w="1304"/>
          </w:tcPr>
          <w:p>
            <w:pPr>
              <w:pStyle w:val="TableText"/>
            </w:pPr>
            <w:r>
              <w:rPr>
                <w:rFonts w:ascii="Arial" w:hAnsi="Arial"/>
                <w:sz w:val="14"/>
              </w:rPr>
              <w:t>Commenced 1 Jul 2023</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https://www.apra.gov.au/standards/hps-310</w:t>
            </w:r>
          </w:p>
        </w:tc>
      </w:tr>
      <w:tr>
        <w:tc>
          <w:tcPr>
            <w:tcW w:type="dxa" w:w="1077"/>
            <w:shd w:val="clear" w:color="auto" w:fill="F4F6FA"/>
          </w:tcPr>
          <w:p>
            <w:pPr>
              <w:pStyle w:val="TableText"/>
            </w:pPr>
            <w:r>
              <w:rPr>
                <w:rFonts w:ascii="Arial" w:hAnsi="Arial"/>
                <w:sz w:val="14"/>
              </w:rPr>
              <w:t>APRA-SPS310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SPS 310 Audit and Related Matters</w:t>
            </w:r>
          </w:p>
        </w:tc>
        <w:tc>
          <w:tcPr>
            <w:tcW w:type="dxa" w:w="1304"/>
            <w:shd w:val="clear" w:color="auto" w:fill="F4F6FA"/>
          </w:tcPr>
          <w:p>
            <w:pPr>
              <w:pStyle w:val="TableText"/>
            </w:pPr>
            <w:r>
              <w:rPr>
                <w:rFonts w:ascii="Arial" w:hAnsi="Arial"/>
                <w:sz w:val="14"/>
              </w:rPr>
              <w:t>Commenced 30 Jun 2024</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https://www.apra.gov.au/standards/sps-310</w:t>
            </w:r>
          </w:p>
        </w:tc>
      </w:tr>
      <w:tr>
        <w:tc>
          <w:tcPr>
            <w:tcW w:type="dxa" w:w="1077"/>
          </w:tcPr>
          <w:p>
            <w:pPr>
              <w:pStyle w:val="TableText"/>
            </w:pPr>
            <w:r>
              <w:rPr>
                <w:rFonts w:ascii="Arial" w:hAnsi="Arial"/>
                <w:sz w:val="14"/>
              </w:rPr>
              <w:t>APRA-APG220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Practice Guide APG 220 Credit Risk Management</w:t>
            </w:r>
          </w:p>
        </w:tc>
        <w:tc>
          <w:tcPr>
            <w:tcW w:type="dxa" w:w="1304"/>
          </w:tcPr>
          <w:p>
            <w:pPr>
              <w:pStyle w:val="TableText"/>
            </w:pPr>
            <w:r>
              <w:rPr>
                <w:rFonts w:ascii="Arial" w:hAnsi="Arial"/>
                <w:sz w:val="14"/>
              </w:rPr>
              <w:t>Current</w:t>
            </w:r>
          </w:p>
        </w:tc>
        <w:tc>
          <w:tcPr>
            <w:tcW w:type="dxa" w:w="1701"/>
          </w:tcPr>
          <w:p>
            <w:pPr>
              <w:pStyle w:val="TableText"/>
            </w:pPr>
            <w:r>
              <w:rPr>
                <w:rFonts w:ascii="Arial" w:hAnsi="Arial"/>
                <w:sz w:val="14"/>
              </w:rPr>
              <w:t>Prudential practice guide. Non-enforceable guidance.</w:t>
            </w:r>
          </w:p>
        </w:tc>
        <w:tc>
          <w:tcPr>
            <w:tcW w:type="dxa" w:w="1984"/>
          </w:tcPr>
          <w:p>
            <w:pPr>
              <w:pStyle w:val="TableText"/>
            </w:pPr>
            <w:r>
              <w:rPr>
                <w:rFonts w:ascii="Arial" w:hAnsi="Arial"/>
                <w:sz w:val="14"/>
              </w:rPr>
              <w:t>https://www.apra.gov.au/practice-guides/apg-220</w:t>
            </w:r>
          </w:p>
        </w:tc>
      </w:tr>
      <w:tr>
        <w:tc>
          <w:tcPr>
            <w:tcW w:type="dxa" w:w="1077"/>
            <w:shd w:val="clear" w:color="auto" w:fill="F4F6FA"/>
          </w:tcPr>
          <w:p>
            <w:pPr>
              <w:pStyle w:val="TableText"/>
            </w:pPr>
            <w:r>
              <w:rPr>
                <w:rFonts w:ascii="Arial" w:hAnsi="Arial"/>
                <w:sz w:val="14"/>
              </w:rPr>
              <w:t>APRA-PROV-2023</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Letter — Credit risk provisioning practices for locally incorporated authorised deposit-taking institutions</w:t>
            </w:r>
          </w:p>
        </w:tc>
        <w:tc>
          <w:tcPr>
            <w:tcW w:type="dxa" w:w="1304"/>
            <w:shd w:val="clear" w:color="auto" w:fill="F4F6FA"/>
          </w:tcPr>
          <w:p>
            <w:pPr>
              <w:pStyle w:val="TableText"/>
            </w:pPr>
            <w:r>
              <w:rPr>
                <w:rFonts w:ascii="Arial" w:hAnsi="Arial"/>
                <w:sz w:val="14"/>
              </w:rPr>
              <w:t>19 Oct 2023</w:t>
            </w:r>
          </w:p>
        </w:tc>
        <w:tc>
          <w:tcPr>
            <w:tcW w:type="dxa" w:w="1701"/>
            <w:shd w:val="clear" w:color="auto" w:fill="F4F6FA"/>
          </w:tcPr>
          <w:p>
            <w:pPr>
              <w:pStyle w:val="TableText"/>
            </w:pPr>
            <w:r>
              <w:rPr>
                <w:rFonts w:ascii="Arial" w:hAnsi="Arial"/>
                <w:sz w:val="14"/>
              </w:rPr>
              <w:t>Letter to industry. Supervisory observations and expectations; not a prudential standard.</w:t>
            </w:r>
          </w:p>
        </w:tc>
        <w:tc>
          <w:tcPr>
            <w:tcW w:type="dxa" w:w="1984"/>
            <w:shd w:val="clear" w:color="auto" w:fill="F4F6FA"/>
          </w:tcPr>
          <w:p>
            <w:pPr>
              <w:pStyle w:val="TableText"/>
            </w:pPr>
            <w:r>
              <w:rPr>
                <w:rFonts w:ascii="Arial" w:hAnsi="Arial"/>
                <w:sz w:val="14"/>
              </w:rPr>
              <w:t>https://www.apra.gov.au/credit-risk-provisioning-practices-for-locally-incorporated-authorised-deposit-taking-institutions</w:t>
            </w:r>
          </w:p>
        </w:tc>
      </w:tr>
      <w:tr>
        <w:tc>
          <w:tcPr>
            <w:tcW w:type="dxa" w:w="1077"/>
          </w:tcPr>
          <w:p>
            <w:pPr>
              <w:pStyle w:val="TableText"/>
            </w:pPr>
            <w:r>
              <w:rPr>
                <w:rFonts w:ascii="Arial" w:hAnsi="Arial"/>
                <w:sz w:val="14"/>
              </w:rPr>
              <w:t>AASB-9</w:t>
            </w:r>
          </w:p>
        </w:tc>
        <w:tc>
          <w:tcPr>
            <w:tcW w:type="dxa" w:w="850"/>
          </w:tcPr>
          <w:p>
            <w:pPr>
              <w:pStyle w:val="TableText"/>
            </w:pPr>
            <w:r>
              <w:rPr>
                <w:rFonts w:ascii="Arial" w:hAnsi="Arial"/>
                <w:sz w:val="14"/>
              </w:rPr>
              <w:t>AASB</w:t>
            </w:r>
          </w:p>
        </w:tc>
        <w:tc>
          <w:tcPr>
            <w:tcW w:type="dxa" w:w="2494"/>
          </w:tcPr>
          <w:p>
            <w:pPr>
              <w:pStyle w:val="TableText"/>
            </w:pPr>
            <w:r>
              <w:rPr>
                <w:rFonts w:ascii="Arial" w:hAnsi="Arial"/>
                <w:sz w:val="14"/>
              </w:rPr>
              <w:t>AASB 9 Financial Instruments</w:t>
            </w:r>
          </w:p>
        </w:tc>
        <w:tc>
          <w:tcPr>
            <w:tcW w:type="dxa" w:w="1304"/>
          </w:tcPr>
          <w:p>
            <w:pPr>
              <w:pStyle w:val="TableText"/>
            </w:pPr>
            <w:r>
              <w:rPr>
                <w:rFonts w:ascii="Arial" w:hAnsi="Arial"/>
                <w:sz w:val="14"/>
              </w:rPr>
              <w:t>As amended</w:t>
            </w:r>
          </w:p>
        </w:tc>
        <w:tc>
          <w:tcPr>
            <w:tcW w:type="dxa" w:w="1701"/>
          </w:tcPr>
          <w:p>
            <w:pPr>
              <w:pStyle w:val="TableText"/>
            </w:pPr>
            <w:r>
              <w:rPr>
                <w:rFonts w:ascii="Arial" w:hAnsi="Arial"/>
                <w:sz w:val="14"/>
              </w:rPr>
              <w:t>Australian Accounting Standard. Binding for financial reporting purposes under the Corporations Act; not a prudential instrument.</w:t>
            </w:r>
          </w:p>
        </w:tc>
        <w:tc>
          <w:tcPr>
            <w:tcW w:type="dxa" w:w="1984"/>
          </w:tcPr>
          <w:p>
            <w:pPr>
              <w:pStyle w:val="TableText"/>
            </w:pPr>
            <w:r>
              <w:rPr>
                <w:rFonts w:ascii="Arial" w:hAnsi="Arial"/>
                <w:sz w:val="14"/>
              </w:rPr>
              <w:t>https://www.aasb.gov.au/pronouncements/accounting-standards/</w:t>
            </w:r>
          </w:p>
        </w:tc>
      </w:tr>
      <w:tr>
        <w:tc>
          <w:tcPr>
            <w:tcW w:type="dxa" w:w="1077"/>
            <w:shd w:val="clear" w:color="auto" w:fill="F4F6FA"/>
          </w:tcPr>
          <w:p>
            <w:pPr>
              <w:pStyle w:val="TableText"/>
            </w:pPr>
            <w:r>
              <w:rPr>
                <w:rFonts w:ascii="Arial" w:hAnsi="Arial"/>
                <w:sz w:val="14"/>
              </w:rPr>
              <w:t>APRA-CPG110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Practice Guide CPG 110 Internal Capital Adequacy Assessment Process and Supervisory Review</w:t>
            </w:r>
          </w:p>
        </w:tc>
        <w:tc>
          <w:tcPr>
            <w:tcW w:type="dxa" w:w="1304"/>
            <w:shd w:val="clear" w:color="auto" w:fill="F4F6FA"/>
          </w:tcPr>
          <w:p>
            <w:pPr>
              <w:pStyle w:val="TableText"/>
            </w:pPr>
            <w:r>
              <w:rPr>
                <w:rFonts w:ascii="Arial" w:hAnsi="Arial"/>
                <w:sz w:val="14"/>
              </w:rPr>
              <w:t>Current</w:t>
            </w:r>
          </w:p>
        </w:tc>
        <w:tc>
          <w:tcPr>
            <w:tcW w:type="dxa" w:w="1701"/>
            <w:shd w:val="clear" w:color="auto" w:fill="F4F6FA"/>
          </w:tcPr>
          <w:p>
            <w:pPr>
              <w:pStyle w:val="TableText"/>
            </w:pPr>
            <w:r>
              <w:rPr>
                <w:rFonts w:ascii="Arial" w:hAnsi="Arial"/>
                <w:sz w:val="14"/>
              </w:rPr>
              <w:t>Prudential practice guide. Non-enforceable guidance.</w:t>
            </w:r>
          </w:p>
        </w:tc>
        <w:tc>
          <w:tcPr>
            <w:tcW w:type="dxa" w:w="1984"/>
            <w:shd w:val="clear" w:color="auto" w:fill="F4F6FA"/>
          </w:tcPr>
          <w:p>
            <w:pPr>
              <w:pStyle w:val="TableText"/>
            </w:pPr>
            <w:r>
              <w:rPr>
                <w:rFonts w:ascii="Arial" w:hAnsi="Arial"/>
                <w:sz w:val="14"/>
              </w:rPr>
              <w:t>https://www.apra.gov.au/practice-guides/cpg-110</w:t>
            </w:r>
          </w:p>
        </w:tc>
      </w:tr>
      <w:tr>
        <w:tc>
          <w:tcPr>
            <w:tcW w:type="dxa" w:w="1077"/>
          </w:tcPr>
          <w:p>
            <w:pPr>
              <w:pStyle w:val="TableText"/>
            </w:pPr>
            <w:r>
              <w:rPr>
                <w:rFonts w:ascii="Arial" w:hAnsi="Arial"/>
                <w:sz w:val="14"/>
              </w:rPr>
              <w:t>APRA-CPS001</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CPS 001 Defined terms</w:t>
            </w:r>
          </w:p>
        </w:tc>
        <w:tc>
          <w:tcPr>
            <w:tcW w:type="dxa" w:w="1304"/>
          </w:tcPr>
          <w:p>
            <w:pPr>
              <w:pStyle w:val="TableText"/>
            </w:pPr>
            <w:r>
              <w:rPr>
                <w:rFonts w:ascii="Arial" w:hAnsi="Arial"/>
                <w:sz w:val="14"/>
              </w:rPr>
              <w:t>In force; commencement not separately verified</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https://www.apra.gov.au/standards/cps-001</w:t>
            </w:r>
          </w:p>
        </w:tc>
      </w:tr>
      <w:tr>
        <w:tc>
          <w:tcPr>
            <w:tcW w:type="dxa" w:w="1077"/>
            <w:shd w:val="clear" w:color="auto" w:fill="F4F6FA"/>
          </w:tcPr>
          <w:p>
            <w:pPr>
              <w:pStyle w:val="TableText"/>
            </w:pPr>
            <w:r>
              <w:rPr>
                <w:rFonts w:ascii="Arial" w:hAnsi="Arial"/>
                <w:sz w:val="14"/>
              </w:rPr>
              <w:t>APRA-CPS220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CPS 220 Risk Management</w:t>
            </w:r>
          </w:p>
        </w:tc>
        <w:tc>
          <w:tcPr>
            <w:tcW w:type="dxa" w:w="1304"/>
            <w:shd w:val="clear" w:color="auto" w:fill="F4F6FA"/>
          </w:tcPr>
          <w:p>
            <w:pPr>
              <w:pStyle w:val="TableText"/>
            </w:pPr>
            <w:r>
              <w:rPr>
                <w:rFonts w:ascii="Arial" w:hAnsi="Arial"/>
                <w:sz w:val="14"/>
              </w:rPr>
              <w:t>Commenced 1 Jul 2019</w:t>
            </w:r>
          </w:p>
        </w:tc>
        <w:tc>
          <w:tcPr>
            <w:tcW w:type="dxa" w:w="1701"/>
            <w:shd w:val="clear" w:color="auto" w:fill="F4F6FA"/>
          </w:tcPr>
          <w:p>
            <w:pPr>
              <w:pStyle w:val="TableText"/>
            </w:pPr>
            <w:r>
              <w:rPr>
                <w:rFonts w:ascii="Arial" w:hAnsi="Arial"/>
                <w:sz w:val="14"/>
              </w:rPr>
              <w:t>Binding cross-industry prudential standard.</w:t>
            </w:r>
          </w:p>
        </w:tc>
        <w:tc>
          <w:tcPr>
            <w:tcW w:type="dxa" w:w="1984"/>
            <w:shd w:val="clear" w:color="auto" w:fill="F4F6FA"/>
          </w:tcPr>
          <w:p>
            <w:pPr>
              <w:pStyle w:val="TableText"/>
            </w:pPr>
            <w:r>
              <w:rPr>
                <w:rFonts w:ascii="Arial" w:hAnsi="Arial"/>
                <w:sz w:val="14"/>
              </w:rPr>
              <w:t>https://www.apra.gov.au/standards/cps-220</w:t>
            </w:r>
          </w:p>
        </w:tc>
      </w:tr>
      <w:tr>
        <w:tc>
          <w:tcPr>
            <w:tcW w:type="dxa" w:w="1077"/>
          </w:tcPr>
          <w:p>
            <w:pPr>
              <w:pStyle w:val="TableText"/>
            </w:pPr>
            <w:r>
              <w:rPr>
                <w:rFonts w:ascii="Arial" w:hAnsi="Arial"/>
                <w:sz w:val="14"/>
              </w:rPr>
              <w:t>APRA-SPS220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SPS 220 Risk Management</w:t>
            </w:r>
          </w:p>
        </w:tc>
        <w:tc>
          <w:tcPr>
            <w:tcW w:type="dxa" w:w="1304"/>
          </w:tcPr>
          <w:p>
            <w:pPr>
              <w:pStyle w:val="TableText"/>
            </w:pPr>
            <w:r>
              <w:rPr>
                <w:rFonts w:ascii="Arial" w:hAnsi="Arial"/>
                <w:sz w:val="14"/>
              </w:rPr>
              <w:t>Commenced 1 Jan 2023</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https://www.apra.gov.au/standards/sps-220</w:t>
            </w:r>
          </w:p>
        </w:tc>
      </w:tr>
      <w:tr>
        <w:tc>
          <w:tcPr>
            <w:tcW w:type="dxa" w:w="1077"/>
            <w:shd w:val="clear" w:color="auto" w:fill="F4F6FA"/>
          </w:tcPr>
          <w:p>
            <w:pPr>
              <w:pStyle w:val="TableText"/>
            </w:pPr>
            <w:r>
              <w:rPr>
                <w:rFonts w:ascii="Arial" w:hAnsi="Arial"/>
                <w:sz w:val="14"/>
              </w:rPr>
              <w:t>APRA-CPS230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CPS 230 Operational Risk Management</w:t>
            </w:r>
          </w:p>
        </w:tc>
        <w:tc>
          <w:tcPr>
            <w:tcW w:type="dxa" w:w="1304"/>
            <w:shd w:val="clear" w:color="auto" w:fill="F4F6FA"/>
          </w:tcPr>
          <w:p>
            <w:pPr>
              <w:pStyle w:val="TableText"/>
            </w:pPr>
            <w:r>
              <w:rPr>
                <w:rFonts w:ascii="Arial" w:hAnsi="Arial"/>
                <w:sz w:val="14"/>
              </w:rPr>
              <w:t>Determined 23 Apr 2026; commences 1 Jul 2026</w:t>
            </w:r>
          </w:p>
        </w:tc>
        <w:tc>
          <w:tcPr>
            <w:tcW w:type="dxa" w:w="1701"/>
            <w:shd w:val="clear" w:color="auto" w:fill="F4F6FA"/>
          </w:tcPr>
          <w:p>
            <w:pPr>
              <w:pStyle w:val="TableText"/>
            </w:pPr>
            <w:r>
              <w:rPr>
                <w:rFonts w:ascii="Arial" w:hAnsi="Arial"/>
                <w:sz w:val="14"/>
              </w:rPr>
              <w:t>Binding cross-industry prudential standard. The current determination revokes and replaces the 2023 determination, under which CPS 230 commenced on 1 July 2025.</w:t>
            </w:r>
          </w:p>
        </w:tc>
        <w:tc>
          <w:tcPr>
            <w:tcW w:type="dxa" w:w="1984"/>
            <w:shd w:val="clear" w:color="auto" w:fill="F4F6FA"/>
          </w:tcPr>
          <w:p>
            <w:pPr>
              <w:pStyle w:val="TableText"/>
            </w:pPr>
            <w:r>
              <w:rPr>
                <w:rFonts w:ascii="Arial" w:hAnsi="Arial"/>
                <w:sz w:val="14"/>
              </w:rPr>
              <w:t>https://www.apra.gov.au/standards/cps-230</w:t>
            </w:r>
          </w:p>
        </w:tc>
      </w:tr>
      <w:tr>
        <w:tc>
          <w:tcPr>
            <w:tcW w:type="dxa" w:w="1077"/>
          </w:tcPr>
          <w:p>
            <w:pPr>
              <w:pStyle w:val="TableText"/>
            </w:pPr>
            <w:r>
              <w:rPr>
                <w:rFonts w:ascii="Arial" w:hAnsi="Arial"/>
                <w:sz w:val="14"/>
              </w:rPr>
              <w:t>APRA-CPS234</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CPS 234 Information Security</w:t>
            </w:r>
          </w:p>
        </w:tc>
        <w:tc>
          <w:tcPr>
            <w:tcW w:type="dxa" w:w="1304"/>
          </w:tcPr>
          <w:p>
            <w:pPr>
              <w:pStyle w:val="TableText"/>
            </w:pPr>
            <w:r>
              <w:rPr>
                <w:rFonts w:ascii="Arial" w:hAnsi="Arial"/>
                <w:sz w:val="14"/>
              </w:rPr>
              <w:t>Commenced 1 Jul 2019</w:t>
            </w:r>
          </w:p>
        </w:tc>
        <w:tc>
          <w:tcPr>
            <w:tcW w:type="dxa" w:w="1701"/>
          </w:tcPr>
          <w:p>
            <w:pPr>
              <w:pStyle w:val="TableText"/>
            </w:pPr>
            <w:r>
              <w:rPr>
                <w:rFonts w:ascii="Arial" w:hAnsi="Arial"/>
                <w:sz w:val="14"/>
              </w:rPr>
              <w:t>Binding cross-industry prudential standard.</w:t>
            </w:r>
          </w:p>
        </w:tc>
        <w:tc>
          <w:tcPr>
            <w:tcW w:type="dxa" w:w="1984"/>
          </w:tcPr>
          <w:p>
            <w:pPr>
              <w:pStyle w:val="TableText"/>
            </w:pPr>
            <w:r>
              <w:rPr>
                <w:rFonts w:ascii="Arial" w:hAnsi="Arial"/>
                <w:sz w:val="14"/>
              </w:rPr>
              <w:t>https://www.apra.gov.au/standards/cps-234</w:t>
            </w:r>
          </w:p>
        </w:tc>
      </w:tr>
      <w:tr>
        <w:tc>
          <w:tcPr>
            <w:tcW w:type="dxa" w:w="1077"/>
            <w:shd w:val="clear" w:color="auto" w:fill="F4F6FA"/>
          </w:tcPr>
          <w:p>
            <w:pPr>
              <w:pStyle w:val="TableText"/>
            </w:pPr>
            <w:r>
              <w:rPr>
                <w:rFonts w:ascii="Arial" w:hAnsi="Arial"/>
                <w:sz w:val="14"/>
              </w:rPr>
              <w:t>APRA-CPG235</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Practice Guide CPG 235 Managing Data Risk</w:t>
            </w:r>
          </w:p>
        </w:tc>
        <w:tc>
          <w:tcPr>
            <w:tcW w:type="dxa" w:w="1304"/>
            <w:shd w:val="clear" w:color="auto" w:fill="F4F6FA"/>
          </w:tcPr>
          <w:p>
            <w:pPr>
              <w:pStyle w:val="TableText"/>
            </w:pPr>
            <w:r>
              <w:rPr>
                <w:rFonts w:ascii="Arial" w:hAnsi="Arial"/>
                <w:sz w:val="14"/>
              </w:rPr>
              <w:t>Sep 2013</w:t>
            </w:r>
          </w:p>
        </w:tc>
        <w:tc>
          <w:tcPr>
            <w:tcW w:type="dxa" w:w="1701"/>
            <w:shd w:val="clear" w:color="auto" w:fill="F4F6FA"/>
          </w:tcPr>
          <w:p>
            <w:pPr>
              <w:pStyle w:val="TableText"/>
            </w:pPr>
            <w:r>
              <w:rPr>
                <w:rFonts w:ascii="Arial" w:hAnsi="Arial"/>
                <w:sz w:val="14"/>
              </w:rPr>
              <w:t>Prudential practice guide. Non-enforceable guidance.</w:t>
            </w:r>
          </w:p>
        </w:tc>
        <w:tc>
          <w:tcPr>
            <w:tcW w:type="dxa" w:w="1984"/>
            <w:shd w:val="clear" w:color="auto" w:fill="F4F6FA"/>
          </w:tcPr>
          <w:p>
            <w:pPr>
              <w:pStyle w:val="TableText"/>
            </w:pPr>
            <w:r>
              <w:rPr>
                <w:rFonts w:ascii="Arial" w:hAnsi="Arial"/>
                <w:sz w:val="14"/>
              </w:rPr>
              <w:t>https://www.apra.gov.au/system/files/Prudential-Practice-Guide-CPG-235-Managing-Data-Risk_1.pdf</w:t>
            </w:r>
          </w:p>
        </w:tc>
      </w:tr>
      <w:tr>
        <w:tc>
          <w:tcPr>
            <w:tcW w:type="dxa" w:w="1077"/>
          </w:tcPr>
          <w:p>
            <w:pPr>
              <w:pStyle w:val="TableText"/>
            </w:pPr>
            <w:r>
              <w:rPr>
                <w:rFonts w:ascii="Arial" w:hAnsi="Arial"/>
                <w:sz w:val="14"/>
              </w:rPr>
              <w:t>APRA-APS113</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APS 113 Capital Adequacy: Internal Ratings-based Approach to Credit Risk</w:t>
            </w:r>
          </w:p>
        </w:tc>
        <w:tc>
          <w:tcPr>
            <w:tcW w:type="dxa" w:w="1304"/>
          </w:tcPr>
          <w:p>
            <w:pPr>
              <w:pStyle w:val="TableText"/>
            </w:pPr>
            <w:r>
              <w:rPr>
                <w:rFonts w:ascii="Arial" w:hAnsi="Arial"/>
                <w:sz w:val="14"/>
              </w:rPr>
              <w:t>Released 4 Jun 2026; commenced 30 Jun 2026</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https://www.apra.gov.au/standards/aps-113</w:t>
            </w:r>
          </w:p>
        </w:tc>
      </w:tr>
      <w:tr>
        <w:tc>
          <w:tcPr>
            <w:tcW w:type="dxa" w:w="1077"/>
            <w:shd w:val="clear" w:color="auto" w:fill="F4F6FA"/>
          </w:tcPr>
          <w:p>
            <w:pPr>
              <w:pStyle w:val="TableText"/>
            </w:pPr>
            <w:r>
              <w:rPr>
                <w:rFonts w:ascii="Arial" w:hAnsi="Arial"/>
                <w:sz w:val="14"/>
              </w:rPr>
              <w:t>APRA-CPS320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CPS 320 Actuarial and Related Matters</w:t>
            </w:r>
          </w:p>
        </w:tc>
        <w:tc>
          <w:tcPr>
            <w:tcW w:type="dxa" w:w="1304"/>
            <w:shd w:val="clear" w:color="auto" w:fill="F4F6FA"/>
          </w:tcPr>
          <w:p>
            <w:pPr>
              <w:pStyle w:val="TableText"/>
            </w:pPr>
            <w:r>
              <w:rPr>
                <w:rFonts w:ascii="Arial" w:hAnsi="Arial"/>
                <w:sz w:val="14"/>
              </w:rPr>
              <w:t>Determined 29 Apr 2026; commenced 1 Jul 2026</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https://www.apra.gov.au/standards/cps-320</w:t>
            </w:r>
          </w:p>
        </w:tc>
      </w:tr>
      <w:tr>
        <w:tc>
          <w:tcPr>
            <w:tcW w:type="dxa" w:w="1077"/>
          </w:tcPr>
          <w:p>
            <w:pPr>
              <w:pStyle w:val="TableText"/>
            </w:pPr>
            <w:r>
              <w:rPr>
                <w:rFonts w:ascii="Arial" w:hAnsi="Arial"/>
                <w:sz w:val="14"/>
              </w:rPr>
              <w:t>APRA-SPS530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SPS 530 Investment Governance</w:t>
            </w:r>
          </w:p>
        </w:tc>
        <w:tc>
          <w:tcPr>
            <w:tcW w:type="dxa" w:w="1304"/>
          </w:tcPr>
          <w:p>
            <w:pPr>
              <w:pStyle w:val="TableText"/>
            </w:pPr>
            <w:r>
              <w:rPr>
                <w:rFonts w:ascii="Arial" w:hAnsi="Arial"/>
                <w:sz w:val="14"/>
              </w:rPr>
              <w:t>Commenced 1 Jan 2023</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https://www.apra.gov.au/standards/sps-530</w:t>
            </w:r>
          </w:p>
        </w:tc>
      </w:tr>
      <w:tr>
        <w:tc>
          <w:tcPr>
            <w:tcW w:type="dxa" w:w="1077"/>
            <w:shd w:val="clear" w:color="auto" w:fill="F4F6FA"/>
          </w:tcPr>
          <w:p>
            <w:pPr>
              <w:pStyle w:val="TableText"/>
            </w:pPr>
            <w:r>
              <w:rPr>
                <w:rFonts w:ascii="Arial" w:hAnsi="Arial"/>
                <w:sz w:val="14"/>
              </w:rPr>
              <w:t>APRA-HPS110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HPS 110 Capital Adequacy (private health insurance)</w:t>
            </w:r>
          </w:p>
        </w:tc>
        <w:tc>
          <w:tcPr>
            <w:tcW w:type="dxa" w:w="1304"/>
            <w:shd w:val="clear" w:color="auto" w:fill="F4F6FA"/>
          </w:tcPr>
          <w:p>
            <w:pPr>
              <w:pStyle w:val="TableText"/>
            </w:pPr>
            <w:r>
              <w:rPr>
                <w:rFonts w:ascii="Arial" w:hAnsi="Arial"/>
                <w:sz w:val="14"/>
              </w:rPr>
              <w:t>In force; commencement not separately verified</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https://www.apra.gov.au/standards/hps-110</w:t>
            </w:r>
          </w:p>
        </w:tc>
      </w:tr>
      <w:tr>
        <w:tc>
          <w:tcPr>
            <w:tcW w:type="dxa" w:w="1077"/>
          </w:tcPr>
          <w:p>
            <w:pPr>
              <w:pStyle w:val="TableText"/>
            </w:pPr>
            <w:r>
              <w:rPr>
                <w:rFonts w:ascii="Arial" w:hAnsi="Arial"/>
                <w:sz w:val="14"/>
              </w:rPr>
              <w:t>APRA-SPS114</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SPS 114 Operational Risk Financial Requirement</w:t>
            </w:r>
          </w:p>
        </w:tc>
        <w:tc>
          <w:tcPr>
            <w:tcW w:type="dxa" w:w="1304"/>
          </w:tcPr>
          <w:p>
            <w:pPr>
              <w:pStyle w:val="TableText"/>
            </w:pPr>
            <w:r>
              <w:rPr>
                <w:rFonts w:ascii="Arial" w:hAnsi="Arial"/>
                <w:sz w:val="14"/>
              </w:rPr>
              <w:t>In force; commencement not separately verified</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https://www.apra.gov.au/standards/sps-114</w:t>
            </w:r>
          </w:p>
        </w:tc>
      </w:tr>
      <w:tr>
        <w:tc>
          <w:tcPr>
            <w:tcW w:type="dxa" w:w="1077"/>
            <w:shd w:val="clear" w:color="auto" w:fill="F4F6FA"/>
          </w:tcPr>
          <w:p>
            <w:pPr>
              <w:pStyle w:val="TableText"/>
            </w:pPr>
            <w:r>
              <w:rPr>
                <w:rFonts w:ascii="Arial" w:hAnsi="Arial"/>
                <w:sz w:val="14"/>
              </w:rPr>
              <w:t>APRA-SPS515</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SPS 515 Strategic Planning and Member Outcomes</w:t>
            </w:r>
          </w:p>
        </w:tc>
        <w:tc>
          <w:tcPr>
            <w:tcW w:type="dxa" w:w="1304"/>
            <w:shd w:val="clear" w:color="auto" w:fill="F4F6FA"/>
          </w:tcPr>
          <w:p>
            <w:pPr>
              <w:pStyle w:val="TableText"/>
            </w:pPr>
            <w:r>
              <w:rPr>
                <w:rFonts w:ascii="Arial" w:hAnsi="Arial"/>
                <w:sz w:val="14"/>
              </w:rPr>
              <w:t>In force; commencement not separately verified</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https://www.apra.gov.au/standards/sps-515</w:t>
            </w:r>
          </w:p>
        </w:tc>
      </w:tr>
    </w:tbl>
    <w:p>
      <w:pPr>
        <w:pStyle w:val="DocMeta"/>
      </w:pPr>
      <w:r>
        <w:br w:type="page"/>
      </w:r>
    </w:p>
    <w:p>
      <w:pPr>
        <w:pStyle w:val="Heading1"/>
      </w:pPr>
      <w:r>
        <w:t>Annex F — Matters requiring legal and policy settlement</w:t>
      </w:r>
    </w:p>
    <w:p>
      <w:pPr>
        <w:pStyle w:val="Guidance"/>
      </w:pPr>
      <w:r>
        <w:t>The following matters must be settled by APRA Legal and the Office of Parliamentary Counsel before this draft is issued for consultation.</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2608"/>
            <w:shd w:val="clear" w:color="auto" w:fill="1B335F"/>
          </w:tcPr>
          <w:p>
            <w:pPr>
              <w:pStyle w:val="TableHead"/>
            </w:pPr>
            <w:r>
              <w:rPr>
                <w:rFonts w:ascii="Arial" w:hAnsi="Arial"/>
                <w:b/>
                <w:color w:val="FFFFFF"/>
                <w:sz w:val="17"/>
              </w:rPr>
              <w:t>Decision</w:t>
            </w:r>
          </w:p>
        </w:tc>
        <w:tc>
          <w:tcPr>
            <w:tcW w:type="dxa" w:w="6803"/>
            <w:shd w:val="clear" w:color="auto" w:fill="1B335F"/>
          </w:tcPr>
          <w:p>
            <w:pPr>
              <w:pStyle w:val="TableHead"/>
            </w:pPr>
            <w:r>
              <w:rPr>
                <w:rFonts w:ascii="Arial" w:hAnsi="Arial"/>
                <w:b/>
                <w:color w:val="FFFFFF"/>
                <w:sz w:val="17"/>
              </w:rPr>
              <w:t>Required settlement</w:t>
            </w:r>
          </w:p>
        </w:tc>
      </w:tr>
      <w:tr>
        <w:tc>
          <w:tcPr>
            <w:tcW w:type="dxa" w:w="2608"/>
          </w:tcPr>
          <w:p>
            <w:pPr>
              <w:pStyle w:val="TableText"/>
            </w:pPr>
            <w:r>
              <w:rPr>
                <w:rFonts w:ascii="Arial" w:hAnsi="Arial"/>
                <w:sz w:val="17"/>
              </w:rPr>
              <w:t>Instrument numbering and enabling authority</w:t>
            </w:r>
          </w:p>
        </w:tc>
        <w:tc>
          <w:tcPr>
            <w:tcW w:type="dxa" w:w="6803"/>
          </w:tcPr>
          <w:p>
            <w:pPr>
              <w:pStyle w:val="TableText"/>
            </w:pPr>
            <w:r>
              <w:rPr>
                <w:rFonts w:ascii="Arial" w:hAnsi="Arial"/>
                <w:sz w:val="17"/>
              </w:rPr>
              <w:t>Confirm the instrument number and determine whether one cross-industry standard can be made for ADIs, insurers and RSE licensees, or whether companion instruments are required. 'CPS XXXX' is a drafting placeholder only.</w:t>
            </w:r>
          </w:p>
        </w:tc>
      </w:tr>
      <w:tr>
        <w:tc>
          <w:tcPr>
            <w:tcW w:type="dxa" w:w="2608"/>
            <w:shd w:val="clear" w:color="auto" w:fill="F4F6FA"/>
          </w:tcPr>
          <w:p>
            <w:pPr>
              <w:pStyle w:val="TableText"/>
            </w:pPr>
            <w:r>
              <w:rPr>
                <w:rFonts w:ascii="Arial" w:hAnsi="Arial"/>
                <w:sz w:val="17"/>
              </w:rPr>
              <w:t>Sectoral application</w:t>
            </w:r>
          </w:p>
        </w:tc>
        <w:tc>
          <w:tcPr>
            <w:tcW w:type="dxa" w:w="6803"/>
            <w:shd w:val="clear" w:color="auto" w:fill="F4F6FA"/>
          </w:tcPr>
          <w:p>
            <w:pPr>
              <w:pStyle w:val="TableText"/>
            </w:pPr>
            <w:r>
              <w:rPr>
                <w:rFonts w:ascii="Arial" w:hAnsi="Arial"/>
                <w:sz w:val="17"/>
              </w:rPr>
              <w:t>Settle application to each regulated industry, to foreign ADIs and branches, to non-operating holding companies and at Level 1, Level 2 and Level 3.</w:t>
            </w:r>
          </w:p>
        </w:tc>
      </w:tr>
      <w:tr>
        <w:tc>
          <w:tcPr>
            <w:tcW w:type="dxa" w:w="2608"/>
          </w:tcPr>
          <w:p>
            <w:pPr>
              <w:pStyle w:val="TableText"/>
            </w:pPr>
            <w:r>
              <w:rPr>
                <w:rFonts w:ascii="Arial" w:hAnsi="Arial"/>
                <w:sz w:val="17"/>
              </w:rPr>
              <w:t>Definitions</w:t>
            </w:r>
          </w:p>
        </w:tc>
        <w:tc>
          <w:tcPr>
            <w:tcW w:type="dxa" w:w="6803"/>
          </w:tcPr>
          <w:p>
            <w:pPr>
              <w:pStyle w:val="TableText"/>
            </w:pPr>
            <w:r>
              <w:rPr>
                <w:rFonts w:ascii="Arial" w:hAnsi="Arial"/>
                <w:sz w:val="17"/>
              </w:rPr>
              <w:t>Settle the definitions of model, model risk, material model and model risk tier, and their interaction with the definitions used in the capital, actuarial and investment governance standards.</w:t>
            </w:r>
          </w:p>
        </w:tc>
      </w:tr>
      <w:tr>
        <w:tc>
          <w:tcPr>
            <w:tcW w:type="dxa" w:w="2608"/>
            <w:shd w:val="clear" w:color="auto" w:fill="F4F6FA"/>
          </w:tcPr>
          <w:p>
            <w:pPr>
              <w:pStyle w:val="TableText"/>
            </w:pPr>
            <w:r>
              <w:rPr>
                <w:rFonts w:ascii="Arial" w:hAnsi="Arial"/>
                <w:sz w:val="17"/>
              </w:rPr>
              <w:t>Interaction with capital standards</w:t>
            </w:r>
          </w:p>
        </w:tc>
        <w:tc>
          <w:tcPr>
            <w:tcW w:type="dxa" w:w="6803"/>
            <w:shd w:val="clear" w:color="auto" w:fill="F4F6FA"/>
          </w:tcPr>
          <w:p>
            <w:pPr>
              <w:pStyle w:val="TableText"/>
            </w:pPr>
            <w:r>
              <w:rPr>
                <w:rFonts w:ascii="Arial" w:hAnsi="Arial"/>
                <w:sz w:val="17"/>
              </w:rPr>
              <w:t>Confirm that APS 113 and the other capital standards prevail on model approval and change where they are more specific, and that no inconsistency is created.</w:t>
            </w:r>
          </w:p>
        </w:tc>
      </w:tr>
      <w:tr>
        <w:tc>
          <w:tcPr>
            <w:tcW w:type="dxa" w:w="2608"/>
          </w:tcPr>
          <w:p>
            <w:pPr>
              <w:pStyle w:val="TableText"/>
            </w:pPr>
            <w:r>
              <w:rPr>
                <w:rFonts w:ascii="Arial" w:hAnsi="Arial"/>
                <w:sz w:val="17"/>
              </w:rPr>
              <w:t>Interaction with the Appointed Actuary framework</w:t>
            </w:r>
          </w:p>
        </w:tc>
        <w:tc>
          <w:tcPr>
            <w:tcW w:type="dxa" w:w="6803"/>
          </w:tcPr>
          <w:p>
            <w:pPr>
              <w:pStyle w:val="TableText"/>
            </w:pPr>
            <w:r>
              <w:rPr>
                <w:rFonts w:ascii="Arial" w:hAnsi="Arial"/>
                <w:sz w:val="17"/>
              </w:rPr>
              <w:t>Settle how the independent validation requirement operates alongside CPS 320 and the sectoral actuarial standards, and confirm that no gap in independent review arises.</w:t>
            </w:r>
          </w:p>
        </w:tc>
      </w:tr>
      <w:tr>
        <w:tc>
          <w:tcPr>
            <w:tcW w:type="dxa" w:w="2608"/>
            <w:shd w:val="clear" w:color="auto" w:fill="F4F6FA"/>
          </w:tcPr>
          <w:p>
            <w:pPr>
              <w:pStyle w:val="TableText"/>
            </w:pPr>
            <w:r>
              <w:rPr>
                <w:rFonts w:ascii="Arial" w:hAnsi="Arial"/>
                <w:sz w:val="17"/>
              </w:rPr>
              <w:t>Application to RSE licensees</w:t>
            </w:r>
          </w:p>
        </w:tc>
        <w:tc>
          <w:tcPr>
            <w:tcW w:type="dxa" w:w="6803"/>
            <w:shd w:val="clear" w:color="auto" w:fill="F4F6FA"/>
          </w:tcPr>
          <w:p>
            <w:pPr>
              <w:pStyle w:val="TableText"/>
            </w:pPr>
            <w:r>
              <w:rPr>
                <w:rFonts w:ascii="Arial" w:hAnsi="Arial"/>
                <w:sz w:val="17"/>
              </w:rPr>
              <w:t>Confirm the model classes named for RSE licensees and the interaction with SPS 530, SPS 515 and SPS 114, the last of which governs the operational risk financial requirement that paragraph M42 refers to.</w:t>
            </w:r>
          </w:p>
        </w:tc>
      </w:tr>
      <w:tr>
        <w:tc>
          <w:tcPr>
            <w:tcW w:type="dxa" w:w="2608"/>
          </w:tcPr>
          <w:p>
            <w:pPr>
              <w:pStyle w:val="TableText"/>
            </w:pPr>
            <w:r>
              <w:rPr>
                <w:rFonts w:ascii="Arial" w:hAnsi="Arial"/>
                <w:sz w:val="17"/>
              </w:rPr>
              <w:t>Accountability regime</w:t>
            </w:r>
          </w:p>
        </w:tc>
        <w:tc>
          <w:tcPr>
            <w:tcW w:type="dxa" w:w="6803"/>
          </w:tcPr>
          <w:p>
            <w:pPr>
              <w:pStyle w:val="TableText"/>
            </w:pPr>
            <w:r>
              <w:rPr>
                <w:rFonts w:ascii="Arial" w:hAnsi="Arial"/>
                <w:sz w:val="17"/>
              </w:rPr>
              <w:t>Settle the designation of the accountable senior executive and its interaction with the applicable accountability regime.</w:t>
            </w:r>
          </w:p>
        </w:tc>
      </w:tr>
      <w:tr>
        <w:tc>
          <w:tcPr>
            <w:tcW w:type="dxa" w:w="2608"/>
            <w:shd w:val="clear" w:color="auto" w:fill="F4F6FA"/>
          </w:tcPr>
          <w:p>
            <w:pPr>
              <w:pStyle w:val="TableText"/>
            </w:pPr>
            <w:r>
              <w:rPr>
                <w:rFonts w:ascii="Arial" w:hAnsi="Arial"/>
                <w:sz w:val="17"/>
              </w:rPr>
              <w:t>Notification</w:t>
            </w:r>
          </w:p>
        </w:tc>
        <w:tc>
          <w:tcPr>
            <w:tcW w:type="dxa" w:w="6803"/>
            <w:shd w:val="clear" w:color="auto" w:fill="F4F6FA"/>
          </w:tcPr>
          <w:p>
            <w:pPr>
              <w:pStyle w:val="TableText"/>
            </w:pPr>
            <w:r>
              <w:rPr>
                <w:rFonts w:ascii="Arial" w:hAnsi="Arial"/>
                <w:sz w:val="17"/>
              </w:rPr>
              <w:t>Confirm that CPS 230 and CPS 234 remain the primary notification requirements, and settle whether any model-specific notification trigger is justified.</w:t>
            </w:r>
          </w:p>
        </w:tc>
      </w:tr>
      <w:tr>
        <w:tc>
          <w:tcPr>
            <w:tcW w:type="dxa" w:w="2608"/>
          </w:tcPr>
          <w:p>
            <w:pPr>
              <w:pStyle w:val="TableText"/>
            </w:pPr>
            <w:r>
              <w:rPr>
                <w:rFonts w:ascii="Arial" w:hAnsi="Arial"/>
                <w:sz w:val="17"/>
              </w:rPr>
              <w:t>APRA powers</w:t>
            </w:r>
          </w:p>
        </w:tc>
        <w:tc>
          <w:tcPr>
            <w:tcW w:type="dxa" w:w="6803"/>
          </w:tcPr>
          <w:p>
            <w:pPr>
              <w:pStyle w:val="TableText"/>
            </w:pPr>
            <w:r>
              <w:rPr>
                <w:rFonts w:ascii="Arial" w:hAnsi="Arial"/>
                <w:sz w:val="17"/>
              </w:rPr>
              <w:t>Settle the powers to require information, restriction of model use and remediation, and ensure procedural fairness. Independent review is dealt with separately below. Paragraph A5 confers the adjustment and exclusion power and the Interpretation section requires every power under this Prudential Standard to be exercised in writing; the procedural requirements attaching to each need settlement.</w:t>
            </w:r>
          </w:p>
        </w:tc>
      </w:tr>
      <w:tr>
        <w:tc>
          <w:tcPr>
            <w:tcW w:type="dxa" w:w="2608"/>
            <w:shd w:val="clear" w:color="auto" w:fill="F4F6FA"/>
          </w:tcPr>
          <w:p>
            <w:pPr>
              <w:pStyle w:val="TableText"/>
            </w:pPr>
            <w:r>
              <w:rPr>
                <w:rFonts w:ascii="Arial" w:hAnsi="Arial"/>
                <w:sz w:val="17"/>
              </w:rPr>
              <w:t>Independent review and special purpose engagements</w:t>
            </w:r>
          </w:p>
        </w:tc>
        <w:tc>
          <w:tcPr>
            <w:tcW w:type="dxa" w:w="6803"/>
            <w:shd w:val="clear" w:color="auto" w:fill="F4F6FA"/>
          </w:tcPr>
          <w:p>
            <w:pPr>
              <w:pStyle w:val="TableText"/>
            </w:pPr>
            <w:r>
              <w:rPr>
                <w:rFonts w:ascii="Arial" w:hAnsi="Arial"/>
                <w:sz w:val="17"/>
              </w:rPr>
              <w:t>Settle how M45 interacts with the special purpose engagement powers that already exist. The Audit and Related Matters standards carry one in every industry this Prudential Standard covers — APS 310, GPS 310, LPS 310, HPS 310 and SPS 310 — each reaching the entity's risk management, and APS 220 carries a narrower one for ADIs confined to credit risk management including provisioning practices. No new power is therefore needed. What needs settling is whether M45's supporting obligation belongs in this Prudential Standard at all or is better left to those standards; whether the reviewer under the 310 standards must be the Appointed Auditor, who may not hold model risk expertise, and if not how an alternative is agreed; and whether the three-month reporting period in those standards is workable for a review of a material model estate.</w:t>
            </w:r>
          </w:p>
        </w:tc>
      </w:tr>
      <w:tr>
        <w:tc>
          <w:tcPr>
            <w:tcW w:type="dxa" w:w="2608"/>
          </w:tcPr>
          <w:p>
            <w:pPr>
              <w:pStyle w:val="TableText"/>
            </w:pPr>
            <w:r>
              <w:rPr>
                <w:rFonts w:ascii="Arial" w:hAnsi="Arial"/>
                <w:sz w:val="17"/>
              </w:rPr>
              <w:t>Interaction with APS 220</w:t>
            </w:r>
          </w:p>
        </w:tc>
        <w:tc>
          <w:tcPr>
            <w:tcW w:type="dxa" w:w="6803"/>
          </w:tcPr>
          <w:p>
            <w:pPr>
              <w:pStyle w:val="TableText"/>
            </w:pPr>
            <w:r>
              <w:rPr>
                <w:rFonts w:ascii="Arial" w:hAnsi="Arial"/>
                <w:sz w:val="17"/>
              </w:rPr>
              <w:t>Settle how this Prudential Standard interacts with the expected credit loss provisions of APS 220 for ADIs, which already require sound policies and processes to validate expected credit loss models. The drafting treats the two as cumulative, with this Prudential Standard supplying the validation discipline that APS 220 does not define. Confirm that reading, and confirm the position for non-ADIs that determine provisions on a modelled basis and to whom APS 220 does not apply.</w:t>
            </w:r>
          </w:p>
        </w:tc>
      </w:tr>
      <w:tr>
        <w:tc>
          <w:tcPr>
            <w:tcW w:type="dxa" w:w="2608"/>
            <w:shd w:val="clear" w:color="auto" w:fill="F4F6FA"/>
          </w:tcPr>
          <w:p>
            <w:pPr>
              <w:pStyle w:val="TableText"/>
            </w:pPr>
            <w:r>
              <w:rPr>
                <w:rFonts w:ascii="Arial" w:hAnsi="Arial"/>
                <w:sz w:val="17"/>
              </w:rPr>
              <w:t>Commencement and transition</w:t>
            </w:r>
          </w:p>
        </w:tc>
        <w:tc>
          <w:tcPr>
            <w:tcW w:type="dxa" w:w="6803"/>
            <w:shd w:val="clear" w:color="auto" w:fill="F4F6FA"/>
          </w:tcPr>
          <w:p>
            <w:pPr>
              <w:pStyle w:val="TableText"/>
            </w:pPr>
            <w:r>
              <w:rPr>
                <w:rFonts w:ascii="Arial" w:hAnsi="Arial"/>
                <w:sz w:val="17"/>
              </w:rPr>
              <w:t>Set commencement, transitional milestones for inventory, tiering and validation coverage, and the treatment of models already in use. Paragraph A4 splits entity-level from model-level obligations; the periods for each require settlement.</w:t>
            </w:r>
          </w:p>
        </w:tc>
      </w:tr>
      <w:tr>
        <w:tc>
          <w:tcPr>
            <w:tcW w:type="dxa" w:w="2608"/>
          </w:tcPr>
          <w:p>
            <w:pPr>
              <w:pStyle w:val="TableText"/>
            </w:pPr>
            <w:r>
              <w:rPr>
                <w:rFonts w:ascii="Arial" w:hAnsi="Arial"/>
                <w:sz w:val="17"/>
              </w:rPr>
              <w:t>De minimis and simplified compliance</w:t>
            </w:r>
          </w:p>
        </w:tc>
        <w:tc>
          <w:tcPr>
            <w:tcW w:type="dxa" w:w="6803"/>
          </w:tcPr>
          <w:p>
            <w:pPr>
              <w:pStyle w:val="TableText"/>
            </w:pPr>
            <w:r>
              <w:rPr>
                <w:rFonts w:ascii="Arial" w:hAnsi="Arial"/>
                <w:sz w:val="17"/>
              </w:rPr>
              <w:t>Paragraph M05 provides a de minimis exception at model level: a model of no material consequence attracts only identification, inventory, ownership, classification and reassessment. Settle the drafting of the prohibited classes, whether the aggregate test should carry a stated threshold, and the approval authority for a determination. Separately, decide whether an entity-level threshold or simplified pathway is also warranted; the United States has taken that route by confining its guidance to institutions above a size threshold. The entity-level question is not settled in this draft.</w:t>
            </w:r>
          </w:p>
        </w:tc>
      </w:tr>
      <w:tr>
        <w:tc>
          <w:tcPr>
            <w:tcW w:type="dxa" w:w="2608"/>
            <w:shd w:val="clear" w:color="auto" w:fill="F4F6FA"/>
          </w:tcPr>
          <w:p>
            <w:pPr>
              <w:pStyle w:val="TableText"/>
            </w:pPr>
            <w:r>
              <w:rPr>
                <w:rFonts w:ascii="Arial" w:hAnsi="Arial"/>
                <w:sz w:val="17"/>
              </w:rPr>
              <w:t>Foreign ADIs and branches</w:t>
            </w:r>
          </w:p>
        </w:tc>
        <w:tc>
          <w:tcPr>
            <w:tcW w:type="dxa" w:w="6803"/>
            <w:shd w:val="clear" w:color="auto" w:fill="F4F6FA"/>
          </w:tcPr>
          <w:p>
            <w:pPr>
              <w:pStyle w:val="TableText"/>
            </w:pPr>
            <w:r>
              <w:rPr>
                <w:rFonts w:ascii="Arial" w:hAnsi="Arial"/>
                <w:sz w:val="17"/>
              </w:rPr>
              <w:t>Confirm the read-down in paragraph A6 for foreign ADIs, and settle whether the standard reaches models operated outside Australia that affect Australian operations.</w:t>
            </w:r>
          </w:p>
        </w:tc>
      </w:tr>
      <w:tr>
        <w:tc>
          <w:tcPr>
            <w:tcW w:type="dxa" w:w="2608"/>
          </w:tcPr>
          <w:p>
            <w:pPr>
              <w:pStyle w:val="TableText"/>
            </w:pPr>
            <w:r>
              <w:rPr>
                <w:rFonts w:ascii="Arial" w:hAnsi="Arial"/>
                <w:sz w:val="17"/>
              </w:rPr>
              <w:t>Records and privacy</w:t>
            </w:r>
          </w:p>
        </w:tc>
        <w:tc>
          <w:tcPr>
            <w:tcW w:type="dxa" w:w="6803"/>
          </w:tcPr>
          <w:p>
            <w:pPr>
              <w:pStyle w:val="TableText"/>
            </w:pPr>
            <w:r>
              <w:rPr>
                <w:rFonts w:ascii="Arial" w:hAnsi="Arial"/>
                <w:sz w:val="17"/>
              </w:rPr>
              <w:t>Balance the reconstructability requirement against data minimisation, security and technical feasibility.</w:t>
            </w:r>
          </w:p>
        </w:tc>
      </w:tr>
      <w:tr>
        <w:tc>
          <w:tcPr>
            <w:tcW w:type="dxa" w:w="2608"/>
            <w:shd w:val="clear" w:color="auto" w:fill="F4F6FA"/>
          </w:tcPr>
          <w:p>
            <w:pPr>
              <w:pStyle w:val="TableText"/>
            </w:pPr>
            <w:r>
              <w:rPr>
                <w:rFonts w:ascii="Arial" w:hAnsi="Arial"/>
                <w:sz w:val="17"/>
              </w:rPr>
              <w:t>Boundary with the AI instrument</w:t>
            </w:r>
          </w:p>
        </w:tc>
        <w:tc>
          <w:tcPr>
            <w:tcW w:type="dxa" w:w="6803"/>
            <w:shd w:val="clear" w:color="auto" w:fill="F4F6FA"/>
          </w:tcPr>
          <w:p>
            <w:pPr>
              <w:pStyle w:val="TableText"/>
            </w:pPr>
            <w:r>
              <w:rPr>
                <w:rFonts w:ascii="Arial" w:hAnsi="Arial"/>
                <w:sz w:val="17"/>
              </w:rPr>
              <w:t>Settle the boundary rule between this standard and any AI risk management instrument so that no material system falls outside both.</w:t>
            </w:r>
          </w:p>
        </w:tc>
      </w:tr>
    </w:tbl>
    <w:p>
      <w:pPr>
        <w:pStyle w:val="Heading2"/>
      </w:pPr>
      <w:r>
        <w:t>Requirements carrying a legal flag</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850"/>
            <w:shd w:val="clear" w:color="auto" w:fill="1B335F"/>
          </w:tcPr>
          <w:p>
            <w:pPr>
              <w:pStyle w:val="TableHead"/>
            </w:pPr>
            <w:r>
              <w:rPr>
                <w:rFonts w:ascii="Arial" w:hAnsi="Arial"/>
                <w:b/>
                <w:color w:val="FFFFFF"/>
                <w:sz w:val="17"/>
              </w:rPr>
              <w:t>ID</w:t>
            </w:r>
          </w:p>
        </w:tc>
        <w:tc>
          <w:tcPr>
            <w:tcW w:type="dxa" w:w="2608"/>
            <w:shd w:val="clear" w:color="auto" w:fill="1B335F"/>
          </w:tcPr>
          <w:p>
            <w:pPr>
              <w:pStyle w:val="TableHead"/>
            </w:pPr>
            <w:r>
              <w:rPr>
                <w:rFonts w:ascii="Arial" w:hAnsi="Arial"/>
                <w:b/>
                <w:color w:val="FFFFFF"/>
                <w:sz w:val="17"/>
              </w:rPr>
              <w:t>Requirement</w:t>
            </w:r>
          </w:p>
        </w:tc>
        <w:tc>
          <w:tcPr>
            <w:tcW w:type="dxa" w:w="5953"/>
            <w:shd w:val="clear" w:color="auto" w:fill="1B335F"/>
          </w:tcPr>
          <w:p>
            <w:pPr>
              <w:pStyle w:val="TableHead"/>
            </w:pPr>
            <w:r>
              <w:rPr>
                <w:rFonts w:ascii="Arial" w:hAnsi="Arial"/>
                <w:b/>
                <w:color w:val="FFFFFF"/>
                <w:sz w:val="17"/>
              </w:rPr>
              <w:t>Reason for flag</w:t>
            </w:r>
          </w:p>
        </w:tc>
      </w:tr>
      <w:tr>
        <w:tc>
          <w:tcPr>
            <w:tcW w:type="dxa" w:w="850"/>
          </w:tcPr>
          <w:p>
            <w:pPr>
              <w:pStyle w:val="TableText"/>
            </w:pPr>
            <w:r>
              <w:rPr>
                <w:rFonts w:ascii="Arial" w:hAnsi="Arial"/>
                <w:sz w:val="17"/>
              </w:rPr>
              <w:t>M07</w:t>
            </w:r>
          </w:p>
        </w:tc>
        <w:tc>
          <w:tcPr>
            <w:tcW w:type="dxa" w:w="2608"/>
          </w:tcPr>
          <w:p>
            <w:pPr>
              <w:pStyle w:val="TableText"/>
            </w:pPr>
            <w:r>
              <w:rPr>
                <w:rFonts w:ascii="Arial" w:hAnsi="Arial"/>
                <w:sz w:val="17"/>
              </w:rPr>
              <w:t>Senior accountability for the framework</w:t>
            </w:r>
          </w:p>
        </w:tc>
        <w:tc>
          <w:tcPr>
            <w:tcW w:type="dxa" w:w="5953"/>
          </w:tcPr>
          <w:p>
            <w:pPr>
              <w:pStyle w:val="TableText"/>
            </w:pPr>
            <w:r>
              <w:rPr>
                <w:rFonts w:ascii="Arial" w:hAnsi="Arial"/>
                <w:sz w:val="17"/>
              </w:rPr>
              <w:t>The PRA allocates model risk management to a senior management function; OSFI and the US guidance require clear senior ownership.</w:t>
            </w:r>
          </w:p>
        </w:tc>
      </w:tr>
      <w:tr>
        <w:tc>
          <w:tcPr>
            <w:tcW w:type="dxa" w:w="850"/>
            <w:shd w:val="clear" w:color="auto" w:fill="F4F6FA"/>
          </w:tcPr>
          <w:p>
            <w:pPr>
              <w:pStyle w:val="TableText"/>
            </w:pPr>
            <w:r>
              <w:rPr>
                <w:rFonts w:ascii="Arial" w:hAnsi="Arial"/>
                <w:sz w:val="17"/>
              </w:rPr>
              <w:t>M35</w:t>
            </w:r>
          </w:p>
        </w:tc>
        <w:tc>
          <w:tcPr>
            <w:tcW w:type="dxa" w:w="2608"/>
            <w:shd w:val="clear" w:color="auto" w:fill="F4F6FA"/>
          </w:tcPr>
          <w:p>
            <w:pPr>
              <w:pStyle w:val="TableText"/>
            </w:pPr>
            <w:r>
              <w:rPr>
                <w:rFonts w:ascii="Arial" w:hAnsi="Arial"/>
                <w:sz w:val="17"/>
              </w:rPr>
              <w:t>Boundary with the AI risk management framework</w:t>
            </w:r>
          </w:p>
        </w:tc>
        <w:tc>
          <w:tcPr>
            <w:tcW w:type="dxa" w:w="5953"/>
            <w:shd w:val="clear" w:color="auto" w:fill="F4F6FA"/>
          </w:tcPr>
          <w:p>
            <w:pPr>
              <w:pStyle w:val="TableText"/>
            </w:pPr>
            <w:r>
              <w:rPr>
                <w:rFonts w:ascii="Arial" w:hAnsi="Arial"/>
                <w:sz w:val="17"/>
              </w:rPr>
              <w:t>No comparator operates parallel model risk and AI risk instruments, so the boundary rule is an APRA drafting choice required by the proposed two-instrument architecture.</w:t>
            </w:r>
          </w:p>
        </w:tc>
      </w:tr>
      <w:tr>
        <w:tc>
          <w:tcPr>
            <w:tcW w:type="dxa" w:w="850"/>
          </w:tcPr>
          <w:p>
            <w:pPr>
              <w:pStyle w:val="TableText"/>
            </w:pPr>
            <w:r>
              <w:rPr>
                <w:rFonts w:ascii="Arial" w:hAnsi="Arial"/>
                <w:sz w:val="17"/>
              </w:rPr>
              <w:t>M36</w:t>
            </w:r>
          </w:p>
        </w:tc>
        <w:tc>
          <w:tcPr>
            <w:tcW w:type="dxa" w:w="2608"/>
          </w:tcPr>
          <w:p>
            <w:pPr>
              <w:pStyle w:val="TableText"/>
            </w:pPr>
            <w:r>
              <w:rPr>
                <w:rFonts w:ascii="Arial" w:hAnsi="Arial"/>
                <w:sz w:val="17"/>
              </w:rPr>
              <w:t>Models used to determine regulatory capital</w:t>
            </w:r>
          </w:p>
        </w:tc>
        <w:tc>
          <w:tcPr>
            <w:tcW w:type="dxa" w:w="5953"/>
          </w:tcPr>
          <w:p>
            <w:pPr>
              <w:pStyle w:val="TableText"/>
            </w:pPr>
            <w:r>
              <w:rPr>
                <w:rFonts w:ascii="Arial" w:hAnsi="Arial"/>
                <w:sz w:val="17"/>
              </w:rPr>
              <w:t>Regulatory capital models are subject to a distinct approval regime in Australia, the EU and the UK which this Prudential Standard must sit alongside rather than duplicate.</w:t>
            </w:r>
          </w:p>
        </w:tc>
      </w:tr>
      <w:tr>
        <w:tc>
          <w:tcPr>
            <w:tcW w:type="dxa" w:w="850"/>
            <w:shd w:val="clear" w:color="auto" w:fill="F4F6FA"/>
          </w:tcPr>
          <w:p>
            <w:pPr>
              <w:pStyle w:val="TableText"/>
            </w:pPr>
            <w:r>
              <w:rPr>
                <w:rFonts w:ascii="Arial" w:hAnsi="Arial"/>
                <w:sz w:val="17"/>
              </w:rPr>
              <w:t>M39</w:t>
            </w:r>
          </w:p>
        </w:tc>
        <w:tc>
          <w:tcPr>
            <w:tcW w:type="dxa" w:w="2608"/>
            <w:shd w:val="clear" w:color="auto" w:fill="F4F6FA"/>
          </w:tcPr>
          <w:p>
            <w:pPr>
              <w:pStyle w:val="TableText"/>
            </w:pPr>
            <w:r>
              <w:rPr>
                <w:rFonts w:ascii="Arial" w:hAnsi="Arial"/>
                <w:sz w:val="17"/>
              </w:rPr>
              <w:t>Actuarial, reserving and insurance liability models</w:t>
            </w:r>
          </w:p>
        </w:tc>
        <w:tc>
          <w:tcPr>
            <w:tcW w:type="dxa" w:w="5953"/>
            <w:shd w:val="clear" w:color="auto" w:fill="F4F6FA"/>
          </w:tcPr>
          <w:p>
            <w:pPr>
              <w:pStyle w:val="TableText"/>
            </w:pPr>
            <w:r>
              <w:rPr>
                <w:rFonts w:ascii="Arial" w:hAnsi="Arial"/>
                <w:sz w:val="17"/>
              </w:rPr>
              <w:t>OSFI's expansion of E-23 to insurers establishes the precedent; the interaction with the Australian Appointed Actuary framework is an Australian drafting question.</w:t>
            </w:r>
          </w:p>
        </w:tc>
      </w:tr>
      <w:tr>
        <w:tc>
          <w:tcPr>
            <w:tcW w:type="dxa" w:w="850"/>
          </w:tcPr>
          <w:p>
            <w:pPr>
              <w:pStyle w:val="TableText"/>
            </w:pPr>
            <w:r>
              <w:rPr>
                <w:rFonts w:ascii="Arial" w:hAnsi="Arial"/>
                <w:sz w:val="17"/>
              </w:rPr>
              <w:t>M40</w:t>
            </w:r>
          </w:p>
        </w:tc>
        <w:tc>
          <w:tcPr>
            <w:tcW w:type="dxa" w:w="2608"/>
          </w:tcPr>
          <w:p>
            <w:pPr>
              <w:pStyle w:val="TableText"/>
            </w:pPr>
            <w:r>
              <w:rPr>
                <w:rFonts w:ascii="Arial" w:hAnsi="Arial"/>
                <w:sz w:val="17"/>
              </w:rPr>
              <w:t>Models used by RSE licensees</w:t>
            </w:r>
          </w:p>
        </w:tc>
        <w:tc>
          <w:tcPr>
            <w:tcW w:type="dxa" w:w="5953"/>
          </w:tcPr>
          <w:p>
            <w:pPr>
              <w:pStyle w:val="TableText"/>
            </w:pPr>
            <w:r>
              <w:rPr>
                <w:rFonts w:ascii="Arial" w:hAnsi="Arial"/>
                <w:sz w:val="17"/>
              </w:rPr>
              <w:t>No comparator addresses superannuation model risk; cross-industry application to RSE licensees requires the standard to name the model classes that matter in that sector.</w:t>
            </w:r>
          </w:p>
        </w:tc>
      </w:tr>
      <w:tr>
        <w:tc>
          <w:tcPr>
            <w:tcW w:type="dxa" w:w="850"/>
            <w:shd w:val="clear" w:color="auto" w:fill="F4F6FA"/>
          </w:tcPr>
          <w:p>
            <w:pPr>
              <w:pStyle w:val="TableText"/>
            </w:pPr>
            <w:r>
              <w:rPr>
                <w:rFonts w:ascii="Arial" w:hAnsi="Arial"/>
                <w:sz w:val="17"/>
              </w:rPr>
              <w:t>M43</w:t>
            </w:r>
          </w:p>
        </w:tc>
        <w:tc>
          <w:tcPr>
            <w:tcW w:type="dxa" w:w="2608"/>
            <w:shd w:val="clear" w:color="auto" w:fill="F4F6FA"/>
          </w:tcPr>
          <w:p>
            <w:pPr>
              <w:pStyle w:val="TableText"/>
            </w:pPr>
            <w:r>
              <w:rPr>
                <w:rFonts w:ascii="Arial" w:hAnsi="Arial"/>
                <w:sz w:val="17"/>
              </w:rPr>
              <w:t>Records and reconstructability</w:t>
            </w:r>
          </w:p>
        </w:tc>
        <w:tc>
          <w:tcPr>
            <w:tcW w:type="dxa" w:w="5953"/>
            <w:shd w:val="clear" w:color="auto" w:fill="F4F6FA"/>
          </w:tcPr>
          <w:p>
            <w:pPr>
              <w:pStyle w:val="TableText"/>
            </w:pPr>
            <w:r>
              <w:rPr>
                <w:rFonts w:ascii="Arial" w:hAnsi="Arial"/>
                <w:sz w:val="17"/>
              </w:rPr>
              <w:t>Record-keeping is explicit across comparators; the reconstruction standard is a drafting choice.</w:t>
            </w:r>
          </w:p>
        </w:tc>
      </w:tr>
      <w:tr>
        <w:tc>
          <w:tcPr>
            <w:tcW w:type="dxa" w:w="850"/>
          </w:tcPr>
          <w:p>
            <w:pPr>
              <w:pStyle w:val="TableText"/>
            </w:pPr>
            <w:r>
              <w:rPr>
                <w:rFonts w:ascii="Arial" w:hAnsi="Arial"/>
                <w:sz w:val="17"/>
              </w:rPr>
              <w:t>M45</w:t>
            </w:r>
          </w:p>
        </w:tc>
        <w:tc>
          <w:tcPr>
            <w:tcW w:type="dxa" w:w="2608"/>
          </w:tcPr>
          <w:p>
            <w:pPr>
              <w:pStyle w:val="TableText"/>
            </w:pPr>
            <w:r>
              <w:rPr>
                <w:rFonts w:ascii="Arial" w:hAnsi="Arial"/>
                <w:sz w:val="17"/>
              </w:rPr>
              <w:t>Notification and provision of information to APRA</w:t>
            </w:r>
          </w:p>
        </w:tc>
        <w:tc>
          <w:tcPr>
            <w:tcW w:type="dxa" w:w="5953"/>
          </w:tcPr>
          <w:p>
            <w:pPr>
              <w:pStyle w:val="TableText"/>
            </w:pPr>
            <w:r>
              <w:rPr>
                <w:rFonts w:ascii="Arial" w:hAnsi="Arial"/>
                <w:sz w:val="17"/>
              </w:rPr>
              <w:t>Deliberately cross-references existing notification architecture rather than proposing a separate model risk deadline that would conflict with it.</w:t>
            </w:r>
          </w:p>
        </w:tc>
      </w:tr>
    </w:tbl>
    <w:p>
      <w:pPr>
        <w:pStyle w:val="Heading2"/>
      </w:pPr>
      <w:r>
        <w:t>Requirements identified as policy design choices</w:t>
      </w:r>
    </w:p>
    <w:p>
      <w:pPr>
        <w:pStyle w:val="Guidance"/>
      </w:pPr>
      <w:r>
        <w:t>The following requirements are not directly mandated by any comparator authority. They are proposed by APRA and require consultation and a cost-benefit assessment before issue. Identification as a policy choice does not indicate that a requirement is unsupported.</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850"/>
            <w:shd w:val="clear" w:color="auto" w:fill="1B335F"/>
          </w:tcPr>
          <w:p>
            <w:pPr>
              <w:pStyle w:val="TableHead"/>
            </w:pPr>
            <w:r>
              <w:rPr>
                <w:rFonts w:ascii="Arial" w:hAnsi="Arial"/>
                <w:b/>
                <w:color w:val="FFFFFF"/>
                <w:sz w:val="17"/>
              </w:rPr>
              <w:t>ID</w:t>
            </w:r>
          </w:p>
        </w:tc>
        <w:tc>
          <w:tcPr>
            <w:tcW w:type="dxa" w:w="2608"/>
            <w:shd w:val="clear" w:color="auto" w:fill="1B335F"/>
          </w:tcPr>
          <w:p>
            <w:pPr>
              <w:pStyle w:val="TableHead"/>
            </w:pPr>
            <w:r>
              <w:rPr>
                <w:rFonts w:ascii="Arial" w:hAnsi="Arial"/>
                <w:b/>
                <w:color w:val="FFFFFF"/>
                <w:sz w:val="17"/>
              </w:rPr>
              <w:t>Requirement</w:t>
            </w:r>
          </w:p>
        </w:tc>
        <w:tc>
          <w:tcPr>
            <w:tcW w:type="dxa" w:w="5953"/>
            <w:shd w:val="clear" w:color="auto" w:fill="1B335F"/>
          </w:tcPr>
          <w:p>
            <w:pPr>
              <w:pStyle w:val="TableHead"/>
            </w:pPr>
            <w:r>
              <w:rPr>
                <w:rFonts w:ascii="Arial" w:hAnsi="Arial"/>
                <w:b/>
                <w:color w:val="FFFFFF"/>
                <w:sz w:val="17"/>
              </w:rPr>
              <w:t>Basis</w:t>
            </w:r>
          </w:p>
        </w:tc>
      </w:tr>
      <w:tr>
        <w:tc>
          <w:tcPr>
            <w:tcW w:type="dxa" w:w="850"/>
          </w:tcPr>
          <w:p>
            <w:pPr>
              <w:pStyle w:val="TableText"/>
            </w:pPr>
            <w:r>
              <w:rPr>
                <w:rFonts w:ascii="Arial" w:hAnsi="Arial"/>
                <w:sz w:val="17"/>
              </w:rPr>
              <w:t>M05</w:t>
            </w:r>
          </w:p>
        </w:tc>
        <w:tc>
          <w:tcPr>
            <w:tcW w:type="dxa" w:w="2608"/>
          </w:tcPr>
          <w:p>
            <w:pPr>
              <w:pStyle w:val="TableText"/>
            </w:pPr>
            <w:r>
              <w:rPr>
                <w:rFonts w:ascii="Arial" w:hAnsi="Arial"/>
                <w:sz w:val="17"/>
              </w:rPr>
              <w:t>De minimis models</w:t>
            </w:r>
          </w:p>
        </w:tc>
        <w:tc>
          <w:tcPr>
            <w:tcW w:type="dxa" w:w="5953"/>
          </w:tcPr>
          <w:p>
            <w:pPr>
              <w:pStyle w:val="TableText"/>
            </w:pPr>
            <w:r>
              <w:rPr>
                <w:rFonts w:ascii="Arial" w:hAnsi="Arial"/>
                <w:sz w:val="17"/>
              </w:rPr>
              <w:t>Each comparator relieves low-consequence models of the full lifecycle while keeping them within identification. The 2026 US guidance states that where models are deemed immaterial, model risk management may consist of identifying those models and monitoring the conditions under which their use may become material. OSFI reaches the same result through Principles 2.1 and 2.3. The aggregate test, the prohibited classes and the anti-disaggregation limb are drafting choices that close the obvious routes to misuse of the exception.</w:t>
            </w:r>
          </w:p>
        </w:tc>
      </w:tr>
      <w:tr>
        <w:tc>
          <w:tcPr>
            <w:tcW w:type="dxa" w:w="850"/>
            <w:shd w:val="clear" w:color="auto" w:fill="F4F6FA"/>
          </w:tcPr>
          <w:p>
            <w:pPr>
              <w:pStyle w:val="TableText"/>
            </w:pPr>
            <w:r>
              <w:rPr>
                <w:rFonts w:ascii="Arial" w:hAnsi="Arial"/>
                <w:sz w:val="17"/>
              </w:rPr>
              <w:t>M11</w:t>
            </w:r>
          </w:p>
        </w:tc>
        <w:tc>
          <w:tcPr>
            <w:tcW w:type="dxa" w:w="2608"/>
            <w:shd w:val="clear" w:color="auto" w:fill="F4F6FA"/>
          </w:tcPr>
          <w:p>
            <w:pPr>
              <w:pStyle w:val="TableText"/>
            </w:pPr>
            <w:r>
              <w:rPr>
                <w:rFonts w:ascii="Arial" w:hAnsi="Arial"/>
                <w:sz w:val="17"/>
              </w:rPr>
              <w:t>Model risk appetite and limits</w:t>
            </w:r>
          </w:p>
        </w:tc>
        <w:tc>
          <w:tcPr>
            <w:tcW w:type="dxa" w:w="5953"/>
            <w:shd w:val="clear" w:color="auto" w:fill="F4F6FA"/>
          </w:tcPr>
          <w:p>
            <w:pPr>
              <w:pStyle w:val="TableText"/>
            </w:pPr>
            <w:r>
              <w:rPr>
                <w:rFonts w:ascii="Arial" w:hAnsi="Arial"/>
                <w:sz w:val="17"/>
              </w:rPr>
              <w:t>Comparators require a risk appetite for model risk; requiring it to be measurable is a drafting choice that makes the obligation supervisable.</w:t>
            </w:r>
          </w:p>
        </w:tc>
      </w:tr>
      <w:tr>
        <w:tc>
          <w:tcPr>
            <w:tcW w:type="dxa" w:w="850"/>
          </w:tcPr>
          <w:p>
            <w:pPr>
              <w:pStyle w:val="TableText"/>
            </w:pPr>
            <w:r>
              <w:rPr>
                <w:rFonts w:ascii="Arial" w:hAnsi="Arial"/>
                <w:sz w:val="17"/>
              </w:rPr>
              <w:t>M20</w:t>
            </w:r>
          </w:p>
        </w:tc>
        <w:tc>
          <w:tcPr>
            <w:tcW w:type="dxa" w:w="2608"/>
          </w:tcPr>
          <w:p>
            <w:pPr>
              <w:pStyle w:val="TableText"/>
            </w:pPr>
            <w:r>
              <w:rPr>
                <w:rFonts w:ascii="Arial" w:hAnsi="Arial"/>
                <w:sz w:val="17"/>
              </w:rPr>
              <w:t>Pre-implementation testing</w:t>
            </w:r>
          </w:p>
        </w:tc>
        <w:tc>
          <w:tcPr>
            <w:tcW w:type="dxa" w:w="5953"/>
          </w:tcPr>
          <w:p>
            <w:pPr>
              <w:pStyle w:val="TableText"/>
            </w:pPr>
            <w:r>
              <w:rPr>
                <w:rFonts w:ascii="Arial" w:hAnsi="Arial"/>
                <w:sz w:val="17"/>
              </w:rPr>
              <w:t>Development testing is universal; expressing it as a bar to use for material purposes makes it an enforceable gate rather than a process expectation.</w:t>
            </w:r>
          </w:p>
        </w:tc>
      </w:tr>
      <w:tr>
        <w:tc>
          <w:tcPr>
            <w:tcW w:type="dxa" w:w="850"/>
            <w:shd w:val="clear" w:color="auto" w:fill="F4F6FA"/>
          </w:tcPr>
          <w:p>
            <w:pPr>
              <w:pStyle w:val="TableText"/>
            </w:pPr>
            <w:r>
              <w:rPr>
                <w:rFonts w:ascii="Arial" w:hAnsi="Arial"/>
                <w:sz w:val="17"/>
              </w:rPr>
              <w:t>M35</w:t>
            </w:r>
          </w:p>
        </w:tc>
        <w:tc>
          <w:tcPr>
            <w:tcW w:type="dxa" w:w="2608"/>
            <w:shd w:val="clear" w:color="auto" w:fill="F4F6FA"/>
          </w:tcPr>
          <w:p>
            <w:pPr>
              <w:pStyle w:val="TableText"/>
            </w:pPr>
            <w:r>
              <w:rPr>
                <w:rFonts w:ascii="Arial" w:hAnsi="Arial"/>
                <w:sz w:val="17"/>
              </w:rPr>
              <w:t>Boundary with the AI risk management framework</w:t>
            </w:r>
          </w:p>
        </w:tc>
        <w:tc>
          <w:tcPr>
            <w:tcW w:type="dxa" w:w="5953"/>
            <w:shd w:val="clear" w:color="auto" w:fill="F4F6FA"/>
          </w:tcPr>
          <w:p>
            <w:pPr>
              <w:pStyle w:val="TableText"/>
            </w:pPr>
            <w:r>
              <w:rPr>
                <w:rFonts w:ascii="Arial" w:hAnsi="Arial"/>
                <w:sz w:val="17"/>
              </w:rPr>
              <w:t>No comparator operates parallel model risk and AI risk instruments, so the boundary rule is an APRA drafting choice required by the proposed two-instrument architecture.</w:t>
            </w:r>
          </w:p>
        </w:tc>
      </w:tr>
      <w:tr>
        <w:tc>
          <w:tcPr>
            <w:tcW w:type="dxa" w:w="850"/>
          </w:tcPr>
          <w:p>
            <w:pPr>
              <w:pStyle w:val="TableText"/>
            </w:pPr>
            <w:r>
              <w:rPr>
                <w:rFonts w:ascii="Arial" w:hAnsi="Arial"/>
                <w:sz w:val="17"/>
              </w:rPr>
              <w:t>M40</w:t>
            </w:r>
          </w:p>
        </w:tc>
        <w:tc>
          <w:tcPr>
            <w:tcW w:type="dxa" w:w="2608"/>
          </w:tcPr>
          <w:p>
            <w:pPr>
              <w:pStyle w:val="TableText"/>
            </w:pPr>
            <w:r>
              <w:rPr>
                <w:rFonts w:ascii="Arial" w:hAnsi="Arial"/>
                <w:sz w:val="17"/>
              </w:rPr>
              <w:t>Models used by RSE licensees</w:t>
            </w:r>
          </w:p>
        </w:tc>
        <w:tc>
          <w:tcPr>
            <w:tcW w:type="dxa" w:w="5953"/>
          </w:tcPr>
          <w:p>
            <w:pPr>
              <w:pStyle w:val="TableText"/>
            </w:pPr>
            <w:r>
              <w:rPr>
                <w:rFonts w:ascii="Arial" w:hAnsi="Arial"/>
                <w:sz w:val="17"/>
              </w:rPr>
              <w:t>No comparator addresses superannuation model risk; cross-industry application to RSE licensees requires the standard to name the model classes that matter in that sector.</w:t>
            </w:r>
          </w:p>
        </w:tc>
      </w:tr>
    </w:tbl>
    <w:p>
      <w:pPr>
        <w:pStyle w:val="DocMeta"/>
      </w:pPr>
      <w:r>
        <w:br w:type="page"/>
      </w:r>
    </w:p>
    <w:p>
      <w:pPr>
        <w:pStyle w:val="Heading1"/>
      </w:pPr>
      <w:r>
        <w:t>Annex G — Expected credit loss models: review focus areas</w:t>
      </w:r>
    </w:p>
    <w:p>
      <w:pPr>
        <w:pStyle w:val="Guidance"/>
      </w:pPr>
      <w:r>
        <w:t>This Annex sets out the focus areas APRA would expect a review of an entity's expected credit loss models to cover. It is drawn from APRA's published observations on provisioning practice, from the expected credit loss provisions of APS 220, and from the Basel guidance that APG 220 directs ADIs to have regard to.</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Special purpose engagements</w:t>
            </w:r>
          </w:p>
          <w:p>
            <w:pPr/>
            <w:r>
              <w:rPr>
                <w:rFonts w:ascii="Arial" w:hAnsi="Arial"/>
                <w:sz w:val="19"/>
              </w:rPr>
              <w:t>APRA may require a review of the matters in this Annex under the special purpose engagement provisions of the Audit and Related Matters standards, which apply in every industry and reach the entity's risk management. For an ADI there is a second and narrower basis: APS 220 provides, under the heading Special purpose engagements: “APRA may require an ADI to appoint an independent party to review and provide a report to APRA on all or a particular aspect of the ADI's credit risk management, including provisioning practices. APRA may, however, request such a report without prior consultation with an ADI. APRA may set the terms of the review and at the ADI's expense.”  Those focus areas directed at the entity's credit risk management and provisioning practices fall within the APS 220 provision. Focus areas that reach the model risk framework at large, third-party arrangements or regulatory reporting rest on APS 310 rather than on APS 220. Under each provision the review is at the entity's expense, and the report is provided to APRA.</w:t>
            </w:r>
          </w:p>
        </w:tc>
      </w:tr>
    </w:tbl>
    <w:p>
      <w:pPr>
        <w:pStyle w:val="DocMeta"/>
      </w:pPr>
    </w:p>
    <w:p>
      <w:pPr>
        <w:pStyle w:val="Heading2"/>
      </w:pPr>
      <w:r>
        <w:t>Where the power comes from</w:t>
      </w:r>
    </w:p>
    <w:p>
      <w:pPr>
        <w:pStyle w:val="Guidance"/>
      </w:pPr>
      <w:r>
        <w:t>Each provision below was read from the primary instrument. The subject matter is given as the instrument expresses it, because the wording differs between industries and the differences bear on what a review may cover.</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882"/>
        <w:gridCol w:w="1882"/>
        <w:gridCol w:w="1882"/>
        <w:gridCol w:w="1882"/>
        <w:gridCol w:w="1882"/>
      </w:tblGrid>
      <w:tr>
        <w:trPr>
          <w:tblHeader w:val="true"/>
        </w:trPr>
        <w:tc>
          <w:tcPr>
            <w:tcW w:type="dxa" w:w="1191"/>
            <w:shd w:val="clear" w:color="auto" w:fill="1B335F"/>
          </w:tcPr>
          <w:p>
            <w:pPr>
              <w:pStyle w:val="TableHead"/>
            </w:pPr>
            <w:r>
              <w:rPr>
                <w:rFonts w:ascii="Arial" w:hAnsi="Arial"/>
                <w:b/>
                <w:color w:val="FFFFFF"/>
                <w:sz w:val="16"/>
              </w:rPr>
              <w:t>Standard</w:t>
            </w:r>
          </w:p>
        </w:tc>
        <w:tc>
          <w:tcPr>
            <w:tcW w:type="dxa" w:w="1701"/>
            <w:shd w:val="clear" w:color="auto" w:fill="1B335F"/>
          </w:tcPr>
          <w:p>
            <w:pPr>
              <w:pStyle w:val="TableHead"/>
            </w:pPr>
            <w:r>
              <w:rPr>
                <w:rFonts w:ascii="Arial" w:hAnsi="Arial"/>
                <w:b/>
                <w:color w:val="FFFFFF"/>
                <w:sz w:val="16"/>
              </w:rPr>
              <w:t>Applies to</w:t>
            </w:r>
          </w:p>
        </w:tc>
        <w:tc>
          <w:tcPr>
            <w:tcW w:type="dxa" w:w="1474"/>
            <w:shd w:val="clear" w:color="auto" w:fill="1B335F"/>
          </w:tcPr>
          <w:p>
            <w:pPr>
              <w:pStyle w:val="TableHead"/>
            </w:pPr>
            <w:r>
              <w:rPr>
                <w:rFonts w:ascii="Arial" w:hAnsi="Arial"/>
                <w:b/>
                <w:color w:val="FFFFFF"/>
                <w:sz w:val="16"/>
              </w:rPr>
              <w:t>Status</w:t>
            </w:r>
          </w:p>
        </w:tc>
        <w:tc>
          <w:tcPr>
            <w:tcW w:type="dxa" w:w="2608"/>
            <w:shd w:val="clear" w:color="auto" w:fill="1B335F"/>
          </w:tcPr>
          <w:p>
            <w:pPr>
              <w:pStyle w:val="TableHead"/>
            </w:pPr>
            <w:r>
              <w:rPr>
                <w:rFonts w:ascii="Arial" w:hAnsi="Arial"/>
                <w:b/>
                <w:color w:val="FFFFFF"/>
                <w:sz w:val="16"/>
              </w:rPr>
              <w:t>Subject matter</w:t>
            </w:r>
          </w:p>
        </w:tc>
        <w:tc>
          <w:tcPr>
            <w:tcW w:type="dxa" w:w="2438"/>
            <w:shd w:val="clear" w:color="auto" w:fill="1B335F"/>
          </w:tcPr>
          <w:p>
            <w:pPr>
              <w:pStyle w:val="TableHead"/>
            </w:pPr>
            <w:r>
              <w:rPr>
                <w:rFonts w:ascii="Arial" w:hAnsi="Arial"/>
                <w:b/>
                <w:color w:val="FFFFFF"/>
                <w:sz w:val="16"/>
              </w:rPr>
              <w:t>How it operates</w:t>
            </w:r>
          </w:p>
        </w:tc>
      </w:tr>
      <w:tr>
        <w:tc>
          <w:tcPr>
            <w:tcW w:type="dxa" w:w="1191"/>
          </w:tcPr>
          <w:p>
            <w:pPr>
              <w:pStyle w:val="TableText"/>
            </w:pPr>
            <w:r>
              <w:rPr>
                <w:rFonts w:ascii="Arial" w:hAnsi="Arial"/>
                <w:sz w:val="16"/>
              </w:rPr>
              <w:t>APS 310</w:t>
            </w:r>
          </w:p>
        </w:tc>
        <w:tc>
          <w:tcPr>
            <w:tcW w:type="dxa" w:w="1701"/>
          </w:tcPr>
          <w:p>
            <w:pPr>
              <w:pStyle w:val="TableText"/>
            </w:pPr>
            <w:r>
              <w:rPr>
                <w:rFonts w:ascii="Arial" w:hAnsi="Arial"/>
                <w:sz w:val="16"/>
              </w:rPr>
              <w:t>ADIs</w:t>
            </w:r>
          </w:p>
        </w:tc>
        <w:tc>
          <w:tcPr>
            <w:tcW w:type="dxa" w:w="1474"/>
          </w:tcPr>
          <w:p>
            <w:pPr>
              <w:pStyle w:val="TableText"/>
            </w:pPr>
            <w:r>
              <w:rPr>
                <w:rFonts w:ascii="Arial" w:hAnsi="Arial"/>
                <w:sz w:val="16"/>
              </w:rPr>
              <w:t>Commenced 1 Jan 2023</w:t>
            </w:r>
          </w:p>
        </w:tc>
        <w:tc>
          <w:tcPr>
            <w:tcW w:type="dxa" w:w="2608"/>
          </w:tcPr>
          <w:p>
            <w:pPr>
              <w:pStyle w:val="TableText"/>
            </w:pPr>
            <w:r>
              <w:rPr>
                <w:rFonts w:ascii="Arial" w:hAnsi="Arial"/>
                <w:sz w:val="16"/>
              </w:rPr>
              <w:t>A particular aspect of the ADI's operations, prudential reporting, risk management systems or financial position.</w:t>
            </w:r>
          </w:p>
        </w:tc>
        <w:tc>
          <w:tcPr>
            <w:tcW w:type="dxa" w:w="2438"/>
          </w:tcPr>
          <w:p>
            <w:pPr>
              <w:pStyle w:val="TableText"/>
            </w:pPr>
            <w:r>
              <w:rPr>
                <w:rFonts w:ascii="Arial" w:hAnsi="Arial"/>
                <w:sz w:val="16"/>
              </w:rPr>
              <w:t>APRA may require the ADI, by notice in writing, to appoint an auditor — the existing Appointed Auditor or another auditor. At the ADI's expense.</w:t>
            </w:r>
          </w:p>
        </w:tc>
      </w:tr>
      <w:tr>
        <w:tc>
          <w:tcPr>
            <w:tcW w:type="dxa" w:w="1191"/>
            <w:shd w:val="clear" w:color="auto" w:fill="F4F6FA"/>
          </w:tcPr>
          <w:p>
            <w:pPr>
              <w:pStyle w:val="TableText"/>
            </w:pPr>
            <w:r>
              <w:rPr>
                <w:rFonts w:ascii="Arial" w:hAnsi="Arial"/>
                <w:sz w:val="16"/>
              </w:rPr>
              <w:t>GPS 310</w:t>
            </w:r>
          </w:p>
        </w:tc>
        <w:tc>
          <w:tcPr>
            <w:tcW w:type="dxa" w:w="1701"/>
            <w:shd w:val="clear" w:color="auto" w:fill="F4F6FA"/>
          </w:tcPr>
          <w:p>
            <w:pPr>
              <w:pStyle w:val="TableText"/>
            </w:pPr>
            <w:r>
              <w:rPr>
                <w:rFonts w:ascii="Arial" w:hAnsi="Arial"/>
                <w:sz w:val="16"/>
              </w:rPr>
              <w:t>General insurers and Level 2 insurance groups</w:t>
            </w:r>
          </w:p>
        </w:tc>
        <w:tc>
          <w:tcPr>
            <w:tcW w:type="dxa" w:w="1474"/>
            <w:shd w:val="clear" w:color="auto" w:fill="F4F6FA"/>
          </w:tcPr>
          <w:p>
            <w:pPr>
              <w:pStyle w:val="TableText"/>
            </w:pPr>
            <w:r>
              <w:rPr>
                <w:rFonts w:ascii="Arial" w:hAnsi="Arial"/>
                <w:sz w:val="16"/>
              </w:rPr>
              <w:t>Commenced 1 Oct 2024</w:t>
            </w:r>
          </w:p>
        </w:tc>
        <w:tc>
          <w:tcPr>
            <w:tcW w:type="dxa" w:w="2608"/>
            <w:shd w:val="clear" w:color="auto" w:fill="F4F6FA"/>
          </w:tcPr>
          <w:p>
            <w:pPr>
              <w:pStyle w:val="TableText"/>
            </w:pPr>
            <w:r>
              <w:rPr>
                <w:rFonts w:ascii="Arial" w:hAnsi="Arial"/>
                <w:sz w:val="16"/>
              </w:rPr>
              <w:t>Matters specified by APRA relating to the insurer's operations, risk management or financial affairs.</w:t>
            </w:r>
          </w:p>
        </w:tc>
        <w:tc>
          <w:tcPr>
            <w:tcW w:type="dxa" w:w="2438"/>
            <w:shd w:val="clear" w:color="auto" w:fill="F4F6FA"/>
          </w:tcPr>
          <w:p>
            <w:pPr>
              <w:pStyle w:val="TableText"/>
            </w:pPr>
            <w:r>
              <w:rPr>
                <w:rFonts w:ascii="Arial" w:hAnsi="Arial"/>
                <w:sz w:val="16"/>
              </w:rPr>
              <w:t>Where APRA specifies in writing, the Appointed Auditor or Group Auditor undertakes the review. At the insurer's expense. Report to APRA and the insurer within three months.</w:t>
            </w:r>
          </w:p>
        </w:tc>
      </w:tr>
      <w:tr>
        <w:tc>
          <w:tcPr>
            <w:tcW w:type="dxa" w:w="1191"/>
          </w:tcPr>
          <w:p>
            <w:pPr>
              <w:pStyle w:val="TableText"/>
            </w:pPr>
            <w:r>
              <w:rPr>
                <w:rFonts w:ascii="Arial" w:hAnsi="Arial"/>
                <w:sz w:val="16"/>
              </w:rPr>
              <w:t>LPS 310</w:t>
            </w:r>
          </w:p>
        </w:tc>
        <w:tc>
          <w:tcPr>
            <w:tcW w:type="dxa" w:w="1701"/>
          </w:tcPr>
          <w:p>
            <w:pPr>
              <w:pStyle w:val="TableText"/>
            </w:pPr>
            <w:r>
              <w:rPr>
                <w:rFonts w:ascii="Arial" w:hAnsi="Arial"/>
                <w:sz w:val="16"/>
              </w:rPr>
              <w:t>Life companies</w:t>
            </w:r>
          </w:p>
        </w:tc>
        <w:tc>
          <w:tcPr>
            <w:tcW w:type="dxa" w:w="1474"/>
          </w:tcPr>
          <w:p>
            <w:pPr>
              <w:pStyle w:val="TableText"/>
            </w:pPr>
            <w:r>
              <w:rPr>
                <w:rFonts w:ascii="Arial" w:hAnsi="Arial"/>
                <w:sz w:val="16"/>
              </w:rPr>
              <w:t>Commenced 18 Dec 2023</w:t>
            </w:r>
          </w:p>
        </w:tc>
        <w:tc>
          <w:tcPr>
            <w:tcW w:type="dxa" w:w="2608"/>
          </w:tcPr>
          <w:p>
            <w:pPr>
              <w:pStyle w:val="TableText"/>
            </w:pPr>
            <w:r>
              <w:rPr>
                <w:rFonts w:ascii="Arial" w:hAnsi="Arial"/>
                <w:sz w:val="16"/>
              </w:rPr>
              <w:t>Matters set out in writing by APRA relating to the life company's operations, risk management or financial affairs.</w:t>
            </w:r>
          </w:p>
        </w:tc>
        <w:tc>
          <w:tcPr>
            <w:tcW w:type="dxa" w:w="2438"/>
          </w:tcPr>
          <w:p>
            <w:pPr>
              <w:pStyle w:val="TableText"/>
            </w:pPr>
            <w:r>
              <w:rPr>
                <w:rFonts w:ascii="Arial" w:hAnsi="Arial"/>
                <w:sz w:val="16"/>
              </w:rPr>
              <w:t>Ordinarily the Appointed Auditor; another auditor where APRA agrees in writing. At the life company's expense. Report within three months.</w:t>
            </w:r>
          </w:p>
        </w:tc>
      </w:tr>
      <w:tr>
        <w:tc>
          <w:tcPr>
            <w:tcW w:type="dxa" w:w="1191"/>
            <w:shd w:val="clear" w:color="auto" w:fill="F4F6FA"/>
          </w:tcPr>
          <w:p>
            <w:pPr>
              <w:pStyle w:val="TableText"/>
            </w:pPr>
            <w:r>
              <w:rPr>
                <w:rFonts w:ascii="Arial" w:hAnsi="Arial"/>
                <w:sz w:val="16"/>
              </w:rPr>
              <w:t>HPS 310</w:t>
            </w:r>
          </w:p>
        </w:tc>
        <w:tc>
          <w:tcPr>
            <w:tcW w:type="dxa" w:w="1701"/>
            <w:shd w:val="clear" w:color="auto" w:fill="F4F6FA"/>
          </w:tcPr>
          <w:p>
            <w:pPr>
              <w:pStyle w:val="TableText"/>
            </w:pPr>
            <w:r>
              <w:rPr>
                <w:rFonts w:ascii="Arial" w:hAnsi="Arial"/>
                <w:sz w:val="16"/>
              </w:rPr>
              <w:t>Private health insurers</w:t>
            </w:r>
          </w:p>
        </w:tc>
        <w:tc>
          <w:tcPr>
            <w:tcW w:type="dxa" w:w="1474"/>
            <w:shd w:val="clear" w:color="auto" w:fill="F4F6FA"/>
          </w:tcPr>
          <w:p>
            <w:pPr>
              <w:pStyle w:val="TableText"/>
            </w:pPr>
            <w:r>
              <w:rPr>
                <w:rFonts w:ascii="Arial" w:hAnsi="Arial"/>
                <w:sz w:val="16"/>
              </w:rPr>
              <w:t>Commenced 1 Jul 2023</w:t>
            </w:r>
          </w:p>
        </w:tc>
        <w:tc>
          <w:tcPr>
            <w:tcW w:type="dxa" w:w="2608"/>
            <w:shd w:val="clear" w:color="auto" w:fill="F4F6FA"/>
          </w:tcPr>
          <w:p>
            <w:pPr>
              <w:pStyle w:val="TableText"/>
            </w:pPr>
            <w:r>
              <w:rPr>
                <w:rFonts w:ascii="Arial" w:hAnsi="Arial"/>
                <w:sz w:val="16"/>
              </w:rPr>
              <w:t>Matters set out in writing by APRA relating to the private health insurer's operations, risk management or financial affairs.</w:t>
            </w:r>
          </w:p>
        </w:tc>
        <w:tc>
          <w:tcPr>
            <w:tcW w:type="dxa" w:w="2438"/>
            <w:shd w:val="clear" w:color="auto" w:fill="F4F6FA"/>
          </w:tcPr>
          <w:p>
            <w:pPr>
              <w:pStyle w:val="TableText"/>
            </w:pPr>
            <w:r>
              <w:rPr>
                <w:rFonts w:ascii="Arial" w:hAnsi="Arial"/>
                <w:sz w:val="16"/>
              </w:rPr>
              <w:t>Ordinarily the Appointed Auditor; another auditor only where APRA agrees in writing. At the insurer's expense.</w:t>
            </w:r>
          </w:p>
        </w:tc>
      </w:tr>
      <w:tr>
        <w:tc>
          <w:tcPr>
            <w:tcW w:type="dxa" w:w="1191"/>
          </w:tcPr>
          <w:p>
            <w:pPr>
              <w:pStyle w:val="TableText"/>
            </w:pPr>
            <w:r>
              <w:rPr>
                <w:rFonts w:ascii="Arial" w:hAnsi="Arial"/>
                <w:sz w:val="16"/>
              </w:rPr>
              <w:t>SPS 310</w:t>
            </w:r>
          </w:p>
        </w:tc>
        <w:tc>
          <w:tcPr>
            <w:tcW w:type="dxa" w:w="1701"/>
          </w:tcPr>
          <w:p>
            <w:pPr>
              <w:pStyle w:val="TableText"/>
            </w:pPr>
            <w:r>
              <w:rPr>
                <w:rFonts w:ascii="Arial" w:hAnsi="Arial"/>
                <w:sz w:val="16"/>
              </w:rPr>
              <w:t>RSE licensees</w:t>
            </w:r>
          </w:p>
        </w:tc>
        <w:tc>
          <w:tcPr>
            <w:tcW w:type="dxa" w:w="1474"/>
          </w:tcPr>
          <w:p>
            <w:pPr>
              <w:pStyle w:val="TableText"/>
            </w:pPr>
            <w:r>
              <w:rPr>
                <w:rFonts w:ascii="Arial" w:hAnsi="Arial"/>
                <w:sz w:val="16"/>
              </w:rPr>
              <w:t>Commenced 30 Jun 2024</w:t>
            </w:r>
          </w:p>
        </w:tc>
        <w:tc>
          <w:tcPr>
            <w:tcW w:type="dxa" w:w="2608"/>
          </w:tcPr>
          <w:p>
            <w:pPr>
              <w:pStyle w:val="TableText"/>
            </w:pPr>
            <w:r>
              <w:rPr>
                <w:rFonts w:ascii="Arial" w:hAnsi="Arial"/>
                <w:sz w:val="16"/>
              </w:rPr>
              <w:t>A particular aspect of the RSE licensee's business operations, compliance with prudential requirements or the RSE licensee's risk management framework.</w:t>
            </w:r>
          </w:p>
        </w:tc>
        <w:tc>
          <w:tcPr>
            <w:tcW w:type="dxa" w:w="2438"/>
          </w:tcPr>
          <w:p>
            <w:pPr>
              <w:pStyle w:val="TableText"/>
            </w:pPr>
            <w:r>
              <w:rPr>
                <w:rFonts w:ascii="Arial" w:hAnsi="Arial"/>
                <w:sz w:val="16"/>
              </w:rPr>
              <w:t>APRA may require the RSE licensee to engage the existing RSE auditor or another auditor specified by APRA. At the RSE licensee's expense.</w:t>
            </w:r>
          </w:p>
        </w:tc>
      </w:tr>
      <w:tr>
        <w:tc>
          <w:tcPr>
            <w:tcW w:type="dxa" w:w="1191"/>
            <w:shd w:val="clear" w:color="auto" w:fill="F4F6FA"/>
          </w:tcPr>
          <w:p>
            <w:pPr>
              <w:pStyle w:val="TableText"/>
            </w:pPr>
            <w:r>
              <w:rPr>
                <w:rFonts w:ascii="Arial" w:hAnsi="Arial"/>
                <w:sz w:val="16"/>
              </w:rPr>
              <w:t>APS 220</w:t>
            </w:r>
          </w:p>
        </w:tc>
        <w:tc>
          <w:tcPr>
            <w:tcW w:type="dxa" w:w="1701"/>
            <w:shd w:val="clear" w:color="auto" w:fill="F4F6FA"/>
          </w:tcPr>
          <w:p>
            <w:pPr>
              <w:pStyle w:val="TableText"/>
            </w:pPr>
            <w:r>
              <w:rPr>
                <w:rFonts w:ascii="Arial" w:hAnsi="Arial"/>
                <w:sz w:val="16"/>
              </w:rPr>
              <w:t>ADIs</w:t>
            </w:r>
          </w:p>
        </w:tc>
        <w:tc>
          <w:tcPr>
            <w:tcW w:type="dxa" w:w="1474"/>
            <w:shd w:val="clear" w:color="auto" w:fill="F4F6FA"/>
          </w:tcPr>
          <w:p>
            <w:pPr>
              <w:pStyle w:val="TableText"/>
            </w:pPr>
            <w:r>
              <w:rPr>
                <w:rFonts w:ascii="Arial" w:hAnsi="Arial"/>
                <w:sz w:val="16"/>
              </w:rPr>
              <w:t>Commenced 1 Jan 2023</w:t>
            </w:r>
          </w:p>
        </w:tc>
        <w:tc>
          <w:tcPr>
            <w:tcW w:type="dxa" w:w="2608"/>
            <w:shd w:val="clear" w:color="auto" w:fill="F4F6FA"/>
          </w:tcPr>
          <w:p>
            <w:pPr>
              <w:pStyle w:val="TableText"/>
            </w:pPr>
            <w:r>
              <w:rPr>
                <w:rFonts w:ascii="Arial" w:hAnsi="Arial"/>
                <w:sz w:val="16"/>
              </w:rPr>
              <w:t>All or a particular aspect of the ADI's credit risk management, including provisioning practices.</w:t>
            </w:r>
          </w:p>
        </w:tc>
        <w:tc>
          <w:tcPr>
            <w:tcW w:type="dxa" w:w="2438"/>
            <w:shd w:val="clear" w:color="auto" w:fill="F4F6FA"/>
          </w:tcPr>
          <w:p>
            <w:pPr>
              <w:pStyle w:val="TableText"/>
            </w:pPr>
            <w:r>
              <w:rPr>
                <w:rFonts w:ascii="Arial" w:hAnsi="Arial"/>
                <w:sz w:val="16"/>
              </w:rPr>
              <w:t>APRA may require the ADI to appoint an independent party, and may request the report without prior consultation. APRA may set the terms of the review, at the ADI's expense.</w:t>
            </w:r>
          </w:p>
        </w:tc>
      </w:tr>
    </w:tbl>
    <w:p>
      <w:pPr>
        <w:pStyle w:val="Heading2"/>
      </w:pPr>
      <w:r>
        <w:t>Focus areas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2268"/>
            <w:shd w:val="clear" w:color="auto" w:fill="1B335F"/>
          </w:tcPr>
          <w:p>
            <w:pPr>
              <w:pStyle w:val="TableHead"/>
            </w:pPr>
            <w:r>
              <w:rPr>
                <w:rFonts w:ascii="Arial" w:hAnsi="Arial"/>
                <w:b/>
                <w:color w:val="FFFFFF"/>
                <w:sz w:val="16"/>
              </w:rPr>
              <w:t>Focus area</w:t>
            </w:r>
          </w:p>
        </w:tc>
        <w:tc>
          <w:tcPr>
            <w:tcW w:type="dxa" w:w="3628"/>
            <w:shd w:val="clear" w:color="auto" w:fill="1B335F"/>
          </w:tcPr>
          <w:p>
            <w:pPr>
              <w:pStyle w:val="TableHead"/>
            </w:pPr>
            <w:r>
              <w:rPr>
                <w:rFonts w:ascii="Arial" w:hAnsi="Arial"/>
                <w:b/>
                <w:color w:val="FFFFFF"/>
                <w:sz w:val="16"/>
              </w:rPr>
              <w:t>What a review would test</w:t>
            </w:r>
          </w:p>
        </w:tc>
        <w:tc>
          <w:tcPr>
            <w:tcW w:type="dxa" w:w="3515"/>
            <w:shd w:val="clear" w:color="auto" w:fill="1B335F"/>
          </w:tcPr>
          <w:p>
            <w:pPr>
              <w:pStyle w:val="TableHead"/>
            </w:pPr>
            <w:r>
              <w:rPr>
                <w:rFonts w:ascii="Arial" w:hAnsi="Arial"/>
                <w:b/>
                <w:color w:val="FFFFFF"/>
                <w:sz w:val="16"/>
              </w:rPr>
              <w:t>Evidence ordinarily expected</w:t>
            </w:r>
          </w:p>
        </w:tc>
      </w:tr>
      <w:tr>
        <w:tc>
          <w:tcPr>
            <w:tcW w:type="dxa" w:w="2268"/>
          </w:tcPr>
          <w:p>
            <w:pPr>
              <w:pStyle w:val="TableText"/>
            </w:pPr>
            <w:r>
              <w:rPr>
                <w:rFonts w:ascii="Arial" w:hAnsi="Arial"/>
                <w:sz w:val="16"/>
              </w:rPr>
              <w:t>1. Model risk framework coverage</w:t>
            </w:r>
          </w:p>
        </w:tc>
        <w:tc>
          <w:tcPr>
            <w:tcW w:type="dxa" w:w="3628"/>
          </w:tcPr>
          <w:p>
            <w:pPr>
              <w:pStyle w:val="TableText"/>
            </w:pPr>
            <w:r>
              <w:rPr>
                <w:rFonts w:ascii="Arial" w:hAnsi="Arial"/>
                <w:sz w:val="16"/>
              </w:rPr>
              <w:t>Whether expected credit loss models are within the entity's model risk framework in substance and not only on the register — tiered, owned, validated and monitored on the same basis as other models of equivalent consequence.</w:t>
            </w:r>
          </w:p>
        </w:tc>
        <w:tc>
          <w:tcPr>
            <w:tcW w:type="dxa" w:w="3515"/>
          </w:tcPr>
          <w:p>
            <w:pPr>
              <w:pStyle w:val="TableText"/>
            </w:pPr>
            <w:r>
              <w:rPr>
                <w:rFonts w:ascii="Arial" w:hAnsi="Arial"/>
                <w:sz w:val="16"/>
              </w:rPr>
              <w:t>Inventory entries with tier and owner; validation status and dates; evidence that ECL models are not carved out of framework reporting.</w:t>
            </w:r>
          </w:p>
        </w:tc>
      </w:tr>
      <w:tr>
        <w:tc>
          <w:tcPr>
            <w:tcW w:type="dxa" w:w="2268"/>
            <w:shd w:val="clear" w:color="auto" w:fill="F4F6FA"/>
          </w:tcPr>
          <w:p>
            <w:pPr>
              <w:pStyle w:val="TableText"/>
            </w:pPr>
            <w:r>
              <w:rPr>
                <w:rFonts w:ascii="Arial" w:hAnsi="Arial"/>
                <w:sz w:val="16"/>
              </w:rPr>
              <w:t>2. Perimeter and completeness of coverage</w:t>
            </w:r>
          </w:p>
        </w:tc>
        <w:tc>
          <w:tcPr>
            <w:tcW w:type="dxa" w:w="3628"/>
            <w:shd w:val="clear" w:color="auto" w:fill="F4F6FA"/>
          </w:tcPr>
          <w:p>
            <w:pPr>
              <w:pStyle w:val="TableText"/>
            </w:pPr>
            <w:r>
              <w:rPr>
                <w:rFonts w:ascii="Arial" w:hAnsi="Arial"/>
                <w:sz w:val="16"/>
              </w:rPr>
              <w:t>Whether every portfolio whose exposures contribute to the reported provision is measured by a model within the framework, and whether every entity whose exposures are included is identified — including branches, offshore operations and recently acquired or run-off books. Whether any material portfolio is measured on a non-modelled, legacy or locally developed basis, and whether methodology differences between entities in the group are deliberate and justified rather than unreconciled.</w:t>
            </w:r>
          </w:p>
        </w:tc>
        <w:tc>
          <w:tcPr>
            <w:tcW w:type="dxa" w:w="3515"/>
            <w:shd w:val="clear" w:color="auto" w:fill="F4F6FA"/>
          </w:tcPr>
          <w:p>
            <w:pPr>
              <w:pStyle w:val="TableText"/>
            </w:pPr>
            <w:r>
              <w:rPr>
                <w:rFonts w:ascii="Arial" w:hAnsi="Arial"/>
                <w:sz w:val="16"/>
              </w:rPr>
              <w:t>A reconciliation from the reported provision to the models that produce it, with any residual measured outside a model identified and quantified; the list of entities and portfolios in scope at Level 1 and Level 2; the basis on which offshore operations apply the group methodology or a local one, and the approval of any departure.</w:t>
            </w:r>
          </w:p>
        </w:tc>
      </w:tr>
      <w:tr>
        <w:tc>
          <w:tcPr>
            <w:tcW w:type="dxa" w:w="2268"/>
          </w:tcPr>
          <w:p>
            <w:pPr>
              <w:pStyle w:val="TableText"/>
            </w:pPr>
            <w:r>
              <w:rPr>
                <w:rFonts w:ascii="Arial" w:hAnsi="Arial"/>
                <w:sz w:val="16"/>
              </w:rPr>
              <w:t>3. Validation of ECL models</w:t>
            </w:r>
          </w:p>
        </w:tc>
        <w:tc>
          <w:tcPr>
            <w:tcW w:type="dxa" w:w="3628"/>
          </w:tcPr>
          <w:p>
            <w:pPr>
              <w:pStyle w:val="TableText"/>
            </w:pPr>
            <w:r>
              <w:rPr>
                <w:rFonts w:ascii="Arial" w:hAnsi="Arial"/>
                <w:sz w:val="16"/>
              </w:rPr>
              <w:t>Whether validation addresses conceptual soundness, outcomes analysis and ongoing monitoring, is performed by persons independent of development and of the provisioning outcome, and reaches an explicit conclusion on fitness for use.</w:t>
            </w:r>
          </w:p>
        </w:tc>
        <w:tc>
          <w:tcPr>
            <w:tcW w:type="dxa" w:w="3515"/>
          </w:tcPr>
          <w:p>
            <w:pPr>
              <w:pStyle w:val="TableText"/>
            </w:pPr>
            <w:r>
              <w:rPr>
                <w:rFonts w:ascii="Arial" w:hAnsi="Arial"/>
                <w:sz w:val="16"/>
              </w:rPr>
              <w:t>Validation reports with conclusions and conditions; independence assessment; findings register with severity, owner and closure evidence.</w:t>
            </w:r>
          </w:p>
        </w:tc>
      </w:tr>
      <w:tr>
        <w:tc>
          <w:tcPr>
            <w:tcW w:type="dxa" w:w="2268"/>
            <w:shd w:val="clear" w:color="auto" w:fill="F4F6FA"/>
          </w:tcPr>
          <w:p>
            <w:pPr>
              <w:pStyle w:val="TableText"/>
            </w:pPr>
            <w:r>
              <w:rPr>
                <w:rFonts w:ascii="Arial" w:hAnsi="Arial"/>
                <w:sz w:val="16"/>
              </w:rPr>
              <w:t>4. Component models and measurement mechanics</w:t>
            </w:r>
          </w:p>
        </w:tc>
        <w:tc>
          <w:tcPr>
            <w:tcW w:type="dxa" w:w="3628"/>
            <w:shd w:val="clear" w:color="auto" w:fill="F4F6FA"/>
          </w:tcPr>
          <w:p>
            <w:pPr>
              <w:pStyle w:val="TableText"/>
            </w:pPr>
            <w:r>
              <w:rPr>
                <w:rFonts w:ascii="Arial" w:hAnsi="Arial"/>
                <w:sz w:val="16"/>
              </w:rPr>
              <w:t>Whether each component of the estimate is validated in its own right rather than only the consolidated output — the probability of default and its lifetime term structure, loss given default including collateral valuation and realisation assumptions, and exposure at default including credit conversion factors for undrawn and off-balance-sheet commitments. Whether the behavioural life and prepayment assumptions used for revolving and open-ended facilities are supportable, and whether discounting is applied at the correct rate over the correct horizon.</w:t>
            </w:r>
          </w:p>
        </w:tc>
        <w:tc>
          <w:tcPr>
            <w:tcW w:type="dxa" w:w="3515"/>
            <w:shd w:val="clear" w:color="auto" w:fill="F4F6FA"/>
          </w:tcPr>
          <w:p>
            <w:pPr>
              <w:pStyle w:val="TableText"/>
            </w:pPr>
            <w:r>
              <w:rPr>
                <w:rFonts w:ascii="Arial" w:hAnsi="Arial"/>
                <w:sz w:val="16"/>
              </w:rPr>
              <w:t>Component-level validation reports; the derivation of the lifetime PD term structure; collateral haircut and time-to-realisation evidence; credit conversion factor calibration; behavioural life studies; the discounting methodology and its reconciliation to the effective interest rate.</w:t>
            </w:r>
          </w:p>
        </w:tc>
      </w:tr>
      <w:tr>
        <w:tc>
          <w:tcPr>
            <w:tcW w:type="dxa" w:w="2268"/>
          </w:tcPr>
          <w:p>
            <w:pPr>
              <w:pStyle w:val="TableText"/>
            </w:pPr>
            <w:r>
              <w:rPr>
                <w:rFonts w:ascii="Arial" w:hAnsi="Arial"/>
                <w:sz w:val="16"/>
              </w:rPr>
              <w:t>5. Outcomes analysis and back-testing of the estimate</w:t>
            </w:r>
          </w:p>
        </w:tc>
        <w:tc>
          <w:tcPr>
            <w:tcW w:type="dxa" w:w="3628"/>
          </w:tcPr>
          <w:p>
            <w:pPr>
              <w:pStyle w:val="TableText"/>
            </w:pPr>
            <w:r>
              <w:rPr>
                <w:rFonts w:ascii="Arial" w:hAnsi="Arial"/>
                <w:sz w:val="16"/>
              </w:rPr>
              <w:t>Whether the entity compares expected credit losses previously recognised against losses actually realised on a like-for-like horizon — twelve-month estimates against the following twelve months, and lifetime estimates only over multi-period cohorts — at a granularity that can identify bias, and whether persistent over- or under-estimation has been acted upon rather than observed. An expected credit loss estimate is a probability-weighted expectation across scenarios, so a single period's outcome falsifies nothing on its own; what a review looks for is bias that persists once the horizon is matched.</w:t>
            </w:r>
          </w:p>
        </w:tc>
        <w:tc>
          <w:tcPr>
            <w:tcW w:type="dxa" w:w="3515"/>
          </w:tcPr>
          <w:p>
            <w:pPr>
              <w:pStyle w:val="TableText"/>
            </w:pPr>
            <w:r>
              <w:rPr>
                <w:rFonts w:ascii="Arial" w:hAnsi="Arial"/>
                <w:sz w:val="16"/>
              </w:rPr>
              <w:t>Back-testing of ECL against realised write-offs and recoveries by portfolio and vintage, with the estimation horizon stated; measures of bias and their trend; comparison of realised macroeconomic conditions against the scenario set used; the entity's response where bias was identified.</w:t>
            </w:r>
          </w:p>
        </w:tc>
      </w:tr>
      <w:tr>
        <w:tc>
          <w:tcPr>
            <w:tcW w:type="dxa" w:w="2268"/>
            <w:shd w:val="clear" w:color="auto" w:fill="F4F6FA"/>
          </w:tcPr>
          <w:p>
            <w:pPr>
              <w:pStyle w:val="TableText"/>
            </w:pPr>
            <w:r>
              <w:rPr>
                <w:rFonts w:ascii="Arial" w:hAnsi="Arial"/>
                <w:sz w:val="16"/>
              </w:rPr>
              <w:t>6. Staging, significant increase in credit risk and measurement basis</w:t>
            </w:r>
          </w:p>
        </w:tc>
        <w:tc>
          <w:tcPr>
            <w:tcW w:type="dxa" w:w="3628"/>
            <w:shd w:val="clear" w:color="auto" w:fill="F4F6FA"/>
          </w:tcPr>
          <w:p>
            <w:pPr>
              <w:pStyle w:val="TableText"/>
            </w:pPr>
            <w:r>
              <w:rPr>
                <w:rFonts w:ascii="Arial" w:hAnsi="Arial"/>
                <w:sz w:val="16"/>
              </w:rPr>
              <w:t>Whether the indicators used to transfer exposures into Stage 2 are validated as models in their own right, whether they operate for vulnerable sectors, and what the provision would be under alternative reasonable staging criteria. Whether the staging outcome selects the correct measurement basis — twelve-month expected credit losses before a significant increase in credit risk, lifetime losses after it, and lifetime losses with interest revenue on the net carrying amount once an exposure is credit-impaired — since the transfer changes what is measured and not only how much. Whether the definitions of default and of cure are consistent with those used in credit risk management and in regulatory capital.</w:t>
            </w:r>
          </w:p>
        </w:tc>
        <w:tc>
          <w:tcPr>
            <w:tcW w:type="dxa" w:w="3515"/>
            <w:shd w:val="clear" w:color="auto" w:fill="F4F6FA"/>
          </w:tcPr>
          <w:p>
            <w:pPr>
              <w:pStyle w:val="TableText"/>
            </w:pPr>
            <w:r>
              <w:rPr>
                <w:rFonts w:ascii="Arial" w:hAnsi="Arial"/>
                <w:sz w:val="16"/>
              </w:rPr>
              <w:t>Staging criteria and their validation; transfer volumes and triggers; sector-level staging outcomes; sensitivity of the provision to staging thresholds; reconciliation of exposures and provisions by stage, with movements between stages explained; the default and cure definitions and evidence they are applied consistently.</w:t>
            </w:r>
          </w:p>
        </w:tc>
      </w:tr>
      <w:tr>
        <w:tc>
          <w:tcPr>
            <w:tcW w:type="dxa" w:w="2268"/>
          </w:tcPr>
          <w:p>
            <w:pPr>
              <w:pStyle w:val="TableText"/>
            </w:pPr>
            <w:r>
              <w:rPr>
                <w:rFonts w:ascii="Arial" w:hAnsi="Arial"/>
                <w:sz w:val="16"/>
              </w:rPr>
              <w:t>7. Segmentation and collective assessment</w:t>
            </w:r>
          </w:p>
        </w:tc>
        <w:tc>
          <w:tcPr>
            <w:tcW w:type="dxa" w:w="3628"/>
          </w:tcPr>
          <w:p>
            <w:pPr>
              <w:pStyle w:val="TableText"/>
            </w:pPr>
            <w:r>
              <w:rPr>
                <w:rFonts w:ascii="Arial" w:hAnsi="Arial"/>
                <w:sz w:val="16"/>
              </w:rPr>
              <w:t>Whether segmentation is granular enough for the portfolio's risk profile, whether collective assessment groupings share genuine credit risk characteristics, and whether emerging sectoral risk is identified systematically rather than manually.</w:t>
            </w:r>
          </w:p>
        </w:tc>
        <w:tc>
          <w:tcPr>
            <w:tcW w:type="dxa" w:w="3515"/>
          </w:tcPr>
          <w:p>
            <w:pPr>
              <w:pStyle w:val="TableText"/>
            </w:pPr>
            <w:r>
              <w:rPr>
                <w:rFonts w:ascii="Arial" w:hAnsi="Arial"/>
                <w:sz w:val="16"/>
              </w:rPr>
              <w:t>Segmentation design and review; grouping rationale; systematic identification processes for vulnerable sectors; evidence sectoral risk reaches loss estimates.</w:t>
            </w:r>
          </w:p>
        </w:tc>
      </w:tr>
      <w:tr>
        <w:tc>
          <w:tcPr>
            <w:tcW w:type="dxa" w:w="2268"/>
            <w:shd w:val="clear" w:color="auto" w:fill="F4F6FA"/>
          </w:tcPr>
          <w:p>
            <w:pPr>
              <w:pStyle w:val="TableText"/>
            </w:pPr>
            <w:r>
              <w:rPr>
                <w:rFonts w:ascii="Arial" w:hAnsi="Arial"/>
                <w:sz w:val="16"/>
              </w:rPr>
              <w:t>8. Individually assessed exposures and account treatments</w:t>
            </w:r>
          </w:p>
        </w:tc>
        <w:tc>
          <w:tcPr>
            <w:tcW w:type="dxa" w:w="3628"/>
            <w:shd w:val="clear" w:color="auto" w:fill="F4F6FA"/>
          </w:tcPr>
          <w:p>
            <w:pPr>
              <w:pStyle w:val="TableText"/>
            </w:pPr>
            <w:r>
              <w:rPr>
                <w:rFonts w:ascii="Arial" w:hAnsi="Arial"/>
                <w:sz w:val="16"/>
              </w:rPr>
              <w:t>Whether individually assessed provisions are supported by documented cash flow scenarios and probability weights rather than a single view, whether the boundary between individual and collective assessment is applied consistently, and whether hardship, forbearance, restructuring and write-off policies interact correctly with the measurement of expected credit losses rather than masking deterioration.</w:t>
            </w:r>
          </w:p>
        </w:tc>
        <w:tc>
          <w:tcPr>
            <w:tcW w:type="dxa" w:w="3515"/>
            <w:shd w:val="clear" w:color="auto" w:fill="F4F6FA"/>
          </w:tcPr>
          <w:p>
            <w:pPr>
              <w:pStyle w:val="TableText"/>
            </w:pPr>
            <w:r>
              <w:rPr>
                <w:rFonts w:ascii="Arial" w:hAnsi="Arial"/>
                <w:sz w:val="16"/>
              </w:rPr>
              <w:t>Individual assessment files with scenarios, weights and approvals; the individual versus collective boundary and its application; hardship and forbearance flags and their effect on staging and measurement; write-off policy and its timing.</w:t>
            </w:r>
          </w:p>
        </w:tc>
      </w:tr>
      <w:tr>
        <w:tc>
          <w:tcPr>
            <w:tcW w:type="dxa" w:w="2268"/>
          </w:tcPr>
          <w:p>
            <w:pPr>
              <w:pStyle w:val="TableText"/>
            </w:pPr>
            <w:r>
              <w:rPr>
                <w:rFonts w:ascii="Arial" w:hAnsi="Arial"/>
                <w:sz w:val="16"/>
              </w:rPr>
              <w:t>9. Forward-looking information and scenarios</w:t>
            </w:r>
          </w:p>
        </w:tc>
        <w:tc>
          <w:tcPr>
            <w:tcW w:type="dxa" w:w="3628"/>
          </w:tcPr>
          <w:p>
            <w:pPr>
              <w:pStyle w:val="TableText"/>
            </w:pPr>
            <w:r>
              <w:rPr>
                <w:rFonts w:ascii="Arial" w:hAnsi="Arial"/>
                <w:sz w:val="16"/>
              </w:rPr>
              <w:t>Whether macroeconomic scenarios, their weights and the process for setting them are governed, documented and challenged; and whether the scenario set remains reasonable and supportable in current conditions.</w:t>
            </w:r>
          </w:p>
        </w:tc>
        <w:tc>
          <w:tcPr>
            <w:tcW w:type="dxa" w:w="3515"/>
          </w:tcPr>
          <w:p>
            <w:pPr>
              <w:pStyle w:val="TableText"/>
            </w:pPr>
            <w:r>
              <w:rPr>
                <w:rFonts w:ascii="Arial" w:hAnsi="Arial"/>
                <w:sz w:val="16"/>
              </w:rPr>
              <w:t>Scenario governance papers; weighting rationale and approvals; challenge records; back-testing of prior scenario judgements.</w:t>
            </w:r>
          </w:p>
        </w:tc>
      </w:tr>
      <w:tr>
        <w:tc>
          <w:tcPr>
            <w:tcW w:type="dxa" w:w="2268"/>
            <w:shd w:val="clear" w:color="auto" w:fill="F4F6FA"/>
          </w:tcPr>
          <w:p>
            <w:pPr>
              <w:pStyle w:val="TableText"/>
            </w:pPr>
            <w:r>
              <w:rPr>
                <w:rFonts w:ascii="Arial" w:hAnsi="Arial"/>
                <w:sz w:val="16"/>
              </w:rPr>
              <w:t>10. Sensitivity analysis</w:t>
            </w:r>
          </w:p>
        </w:tc>
        <w:tc>
          <w:tcPr>
            <w:tcW w:type="dxa" w:w="3628"/>
            <w:shd w:val="clear" w:color="auto" w:fill="F4F6FA"/>
          </w:tcPr>
          <w:p>
            <w:pPr>
              <w:pStyle w:val="TableText"/>
            </w:pPr>
            <w:r>
              <w:rPr>
                <w:rFonts w:ascii="Arial" w:hAnsi="Arial"/>
                <w:sz w:val="16"/>
              </w:rPr>
              <w:t>Whether comprehensive sensitivity analysis is performed regularly and timely across portfolios and segments, and whether its results reach the Board in a form that supports a provisioning decision.</w:t>
            </w:r>
          </w:p>
        </w:tc>
        <w:tc>
          <w:tcPr>
            <w:tcW w:type="dxa" w:w="3515"/>
            <w:shd w:val="clear" w:color="auto" w:fill="F4F6FA"/>
          </w:tcPr>
          <w:p>
            <w:pPr>
              <w:pStyle w:val="TableText"/>
            </w:pPr>
            <w:r>
              <w:rPr>
                <w:rFonts w:ascii="Arial" w:hAnsi="Arial"/>
                <w:sz w:val="16"/>
              </w:rPr>
              <w:t>Sensitivity analysis by segment, industry and geography; frequency evidence; the reporting in which results were presented; linkage to ICAAP and risk appetite review.</w:t>
            </w:r>
          </w:p>
        </w:tc>
      </w:tr>
      <w:tr>
        <w:tc>
          <w:tcPr>
            <w:tcW w:type="dxa" w:w="2268"/>
          </w:tcPr>
          <w:p>
            <w:pPr>
              <w:pStyle w:val="TableText"/>
            </w:pPr>
            <w:r>
              <w:rPr>
                <w:rFonts w:ascii="Arial" w:hAnsi="Arial"/>
                <w:sz w:val="16"/>
              </w:rPr>
              <w:t>11. Judgement-based adjustments and overlays</w:t>
            </w:r>
          </w:p>
        </w:tc>
        <w:tc>
          <w:tcPr>
            <w:tcW w:type="dxa" w:w="3628"/>
          </w:tcPr>
          <w:p>
            <w:pPr>
              <w:pStyle w:val="TableText"/>
            </w:pPr>
            <w:r>
              <w:rPr>
                <w:rFonts w:ascii="Arial" w:hAnsi="Arial"/>
                <w:sz w:val="16"/>
              </w:rPr>
              <w:t>Whether the basis, quantification, approval, duration and removal conditions of each overlay are documented; whether overlays are monitored; and whether persistent same-direction adjustment has triggered redevelopment rather than repetition.</w:t>
            </w:r>
          </w:p>
        </w:tc>
        <w:tc>
          <w:tcPr>
            <w:tcW w:type="dxa" w:w="3515"/>
          </w:tcPr>
          <w:p>
            <w:pPr>
              <w:pStyle w:val="TableText"/>
            </w:pPr>
            <w:r>
              <w:rPr>
                <w:rFonts w:ascii="Arial" w:hAnsi="Arial"/>
                <w:sz w:val="16"/>
              </w:rPr>
              <w:t>Overlay register with quantification and approver; period-on-period movement and direction; supporting analysis; senior management oversight records; redevelopment plans.</w:t>
            </w:r>
          </w:p>
        </w:tc>
      </w:tr>
      <w:tr>
        <w:tc>
          <w:tcPr>
            <w:tcW w:type="dxa" w:w="2268"/>
            <w:shd w:val="clear" w:color="auto" w:fill="F4F6FA"/>
          </w:tcPr>
          <w:p>
            <w:pPr>
              <w:pStyle w:val="TableText"/>
            </w:pPr>
            <w:r>
              <w:rPr>
                <w:rFonts w:ascii="Arial" w:hAnsi="Arial"/>
                <w:sz w:val="16"/>
              </w:rPr>
              <w:t>12. Aggregate effect of adjustments</w:t>
            </w:r>
          </w:p>
        </w:tc>
        <w:tc>
          <w:tcPr>
            <w:tcW w:type="dxa" w:w="3628"/>
            <w:shd w:val="clear" w:color="auto" w:fill="F4F6FA"/>
          </w:tcPr>
          <w:p>
            <w:pPr>
              <w:pStyle w:val="TableText"/>
            </w:pPr>
            <w:r>
              <w:rPr>
                <w:rFonts w:ascii="Arial" w:hAnsi="Arial"/>
                <w:sz w:val="16"/>
              </w:rPr>
              <w:t>Whether the entity reports the aggregate size and direction of overlays against the modelled result, so the Board can see how much of the provision is model output and how much is judgement.</w:t>
            </w:r>
          </w:p>
        </w:tc>
        <w:tc>
          <w:tcPr>
            <w:tcW w:type="dxa" w:w="3515"/>
            <w:shd w:val="clear" w:color="auto" w:fill="F4F6FA"/>
          </w:tcPr>
          <w:p>
            <w:pPr>
              <w:pStyle w:val="TableText"/>
            </w:pPr>
            <w:r>
              <w:rPr>
                <w:rFonts w:ascii="Arial" w:hAnsi="Arial"/>
                <w:sz w:val="16"/>
              </w:rPr>
              <w:t>Board and committee reporting showing modelled result, adjustments and final provision as separate figures over time.</w:t>
            </w:r>
          </w:p>
        </w:tc>
      </w:tr>
      <w:tr>
        <w:tc>
          <w:tcPr>
            <w:tcW w:type="dxa" w:w="2268"/>
          </w:tcPr>
          <w:p>
            <w:pPr>
              <w:pStyle w:val="TableText"/>
            </w:pPr>
            <w:r>
              <w:rPr>
                <w:rFonts w:ascii="Arial" w:hAnsi="Arial"/>
                <w:sz w:val="16"/>
              </w:rPr>
              <w:t>13. Implementation and production controls</w:t>
            </w:r>
          </w:p>
        </w:tc>
        <w:tc>
          <w:tcPr>
            <w:tcW w:type="dxa" w:w="3628"/>
          </w:tcPr>
          <w:p>
            <w:pPr>
              <w:pStyle w:val="TableText"/>
            </w:pPr>
            <w:r>
              <w:rPr>
                <w:rFonts w:ascii="Arial" w:hAnsi="Arial"/>
                <w:sz w:val="16"/>
              </w:rPr>
              <w:t>Whether the model that produced the reported number is the model that was validated — that the calculation engine reproduces the approved methodology, that the version in production is the version approved, and that changes since the last validation have been assessed. What end-user computing sits in the production run, how post-calculation manual journals are authorised and controlled, and whether the engine output reconciles to the general ledger and to the provision as reported.</w:t>
            </w:r>
          </w:p>
        </w:tc>
        <w:tc>
          <w:tcPr>
            <w:tcW w:type="dxa" w:w="3515"/>
          </w:tcPr>
          <w:p>
            <w:pPr>
              <w:pStyle w:val="TableText"/>
            </w:pPr>
            <w:r>
              <w:rPr>
                <w:rFonts w:ascii="Arial" w:hAnsi="Arial"/>
                <w:sz w:val="16"/>
              </w:rPr>
              <w:t>Version control and release records for the production engine; implementation verification against the approved model; the inventory of spreadsheets and other end-user computing in the production path, with their controls; the manual journal log with approvals; the reconciliation from engine output to general ledger to reported provision.</w:t>
            </w:r>
          </w:p>
        </w:tc>
      </w:tr>
      <w:tr>
        <w:tc>
          <w:tcPr>
            <w:tcW w:type="dxa" w:w="2268"/>
            <w:shd w:val="clear" w:color="auto" w:fill="F4F6FA"/>
          </w:tcPr>
          <w:p>
            <w:pPr>
              <w:pStyle w:val="TableText"/>
            </w:pPr>
            <w:r>
              <w:rPr>
                <w:rFonts w:ascii="Arial" w:hAnsi="Arial"/>
                <w:sz w:val="16"/>
              </w:rPr>
              <w:t>14. Data</w:t>
            </w:r>
          </w:p>
        </w:tc>
        <w:tc>
          <w:tcPr>
            <w:tcW w:type="dxa" w:w="3628"/>
            <w:shd w:val="clear" w:color="auto" w:fill="F4F6FA"/>
          </w:tcPr>
          <w:p>
            <w:pPr>
              <w:pStyle w:val="TableText"/>
            </w:pPr>
            <w:r>
              <w:rPr>
                <w:rFonts w:ascii="Arial" w:hAnsi="Arial"/>
                <w:sz w:val="16"/>
              </w:rPr>
              <w:t>Whether the data used to develop, calibrate and run ECL models is appropriate, complete and traceable to source, and whether known data limitations are the reason for overlays that could instead be resolved.</w:t>
            </w:r>
          </w:p>
        </w:tc>
        <w:tc>
          <w:tcPr>
            <w:tcW w:type="dxa" w:w="3515"/>
            <w:shd w:val="clear" w:color="auto" w:fill="F4F6FA"/>
          </w:tcPr>
          <w:p>
            <w:pPr>
              <w:pStyle w:val="TableText"/>
            </w:pPr>
            <w:r>
              <w:rPr>
                <w:rFonts w:ascii="Arial" w:hAnsi="Arial"/>
                <w:sz w:val="16"/>
              </w:rPr>
              <w:t>Data lineage; quality metrics; documented limitations; the link between identified data gaps and adjustments made in their place.</w:t>
            </w:r>
          </w:p>
        </w:tc>
      </w:tr>
      <w:tr>
        <w:tc>
          <w:tcPr>
            <w:tcW w:type="dxa" w:w="2268"/>
          </w:tcPr>
          <w:p>
            <w:pPr>
              <w:pStyle w:val="TableText"/>
            </w:pPr>
            <w:r>
              <w:rPr>
                <w:rFonts w:ascii="Arial" w:hAnsi="Arial"/>
                <w:sz w:val="16"/>
              </w:rPr>
              <w:t>15. Third-party and vendor components</w:t>
            </w:r>
          </w:p>
        </w:tc>
        <w:tc>
          <w:tcPr>
            <w:tcW w:type="dxa" w:w="3628"/>
          </w:tcPr>
          <w:p>
            <w:pPr>
              <w:pStyle w:val="TableText"/>
            </w:pPr>
            <w:r>
              <w:rPr>
                <w:rFonts w:ascii="Arial" w:hAnsi="Arial"/>
                <w:sz w:val="16"/>
              </w:rPr>
              <w:t>Whether externally sourced models, scores, macroeconomic forecasts or calibration data used in the estimate are understood, validated and monitored by the entity itself, and whether the entity could continue to measure expected credit losses if the provider withdrew.</w:t>
            </w:r>
          </w:p>
        </w:tc>
        <w:tc>
          <w:tcPr>
            <w:tcW w:type="dxa" w:w="3515"/>
          </w:tcPr>
          <w:p>
            <w:pPr>
              <w:pStyle w:val="TableText"/>
            </w:pPr>
            <w:r>
              <w:rPr>
                <w:rFonts w:ascii="Arial" w:hAnsi="Arial"/>
                <w:sz w:val="16"/>
              </w:rPr>
              <w:t>Vendor model documentation and the entity's own validation of it; the basis on which external forecasts are selected and challenged; contractual access to methodology and data; substitution arrangements.</w:t>
            </w:r>
          </w:p>
        </w:tc>
      </w:tr>
      <w:tr>
        <w:tc>
          <w:tcPr>
            <w:tcW w:type="dxa" w:w="2268"/>
            <w:shd w:val="clear" w:color="auto" w:fill="F4F6FA"/>
          </w:tcPr>
          <w:p>
            <w:pPr>
              <w:pStyle w:val="TableText"/>
            </w:pPr>
            <w:r>
              <w:rPr>
                <w:rFonts w:ascii="Arial" w:hAnsi="Arial"/>
                <w:sz w:val="16"/>
              </w:rPr>
              <w:t>16. Governance, accountability and reporting</w:t>
            </w:r>
          </w:p>
        </w:tc>
        <w:tc>
          <w:tcPr>
            <w:tcW w:type="dxa" w:w="3628"/>
            <w:shd w:val="clear" w:color="auto" w:fill="F4F6FA"/>
          </w:tcPr>
          <w:p>
            <w:pPr>
              <w:pStyle w:val="TableText"/>
            </w:pPr>
            <w:r>
              <w:rPr>
                <w:rFonts w:ascii="Arial" w:hAnsi="Arial"/>
                <w:sz w:val="16"/>
              </w:rPr>
              <w:t>Whether accountability for the provision is clear, whether the Board receives information sufficient to challenge it, and whether the entity's own committees have exercised that challenge.</w:t>
            </w:r>
          </w:p>
        </w:tc>
        <w:tc>
          <w:tcPr>
            <w:tcW w:type="dxa" w:w="3515"/>
            <w:shd w:val="clear" w:color="auto" w:fill="F4F6FA"/>
          </w:tcPr>
          <w:p>
            <w:pPr>
              <w:pStyle w:val="TableText"/>
            </w:pPr>
            <w:r>
              <w:rPr>
                <w:rFonts w:ascii="Arial" w:hAnsi="Arial"/>
                <w:sz w:val="16"/>
              </w:rPr>
              <w:t>Accountability map; Board and committee papers and minutes showing challenge; escalation of model performance issues.</w:t>
            </w:r>
          </w:p>
        </w:tc>
      </w:tr>
      <w:tr>
        <w:tc>
          <w:tcPr>
            <w:tcW w:type="dxa" w:w="2268"/>
          </w:tcPr>
          <w:p>
            <w:pPr>
              <w:pStyle w:val="TableText"/>
            </w:pPr>
            <w:r>
              <w:rPr>
                <w:rFonts w:ascii="Arial" w:hAnsi="Arial"/>
                <w:sz w:val="16"/>
              </w:rPr>
              <w:t>17. Interaction with regulatory capital and reporting</w:t>
            </w:r>
          </w:p>
        </w:tc>
        <w:tc>
          <w:tcPr>
            <w:tcW w:type="dxa" w:w="3628"/>
          </w:tcPr>
          <w:p>
            <w:pPr>
              <w:pStyle w:val="TableText"/>
            </w:pPr>
            <w:r>
              <w:rPr>
                <w:rFonts w:ascii="Arial" w:hAnsi="Arial"/>
                <w:sz w:val="16"/>
              </w:rPr>
              <w:t>Whether provisioning outcomes flow correctly into regulatory capital and prudential reporting, and whether any prescribed provisioning requirement is correctly applied.</w:t>
            </w:r>
          </w:p>
        </w:tc>
        <w:tc>
          <w:tcPr>
            <w:tcW w:type="dxa" w:w="3515"/>
          </w:tcPr>
          <w:p>
            <w:pPr>
              <w:pStyle w:val="TableText"/>
            </w:pPr>
            <w:r>
              <w:rPr>
                <w:rFonts w:ascii="Arial" w:hAnsi="Arial"/>
                <w:sz w:val="16"/>
              </w:rPr>
              <w:t>Reconciliation between accounting provisions and regulatory treatment; reporting controls; evidence of correct classification of exposures.</w:t>
            </w:r>
          </w:p>
        </w:tc>
      </w:tr>
      <w:tr>
        <w:tc>
          <w:tcPr>
            <w:tcW w:type="dxa" w:w="2268"/>
            <w:shd w:val="clear" w:color="auto" w:fill="F4F6FA"/>
          </w:tcPr>
          <w:p>
            <w:pPr>
              <w:pStyle w:val="TableText"/>
            </w:pPr>
            <w:r>
              <w:rPr>
                <w:rFonts w:ascii="Arial" w:hAnsi="Arial"/>
                <w:sz w:val="16"/>
              </w:rPr>
              <w:t>18. Remediation and responsiveness</w:t>
            </w:r>
          </w:p>
        </w:tc>
        <w:tc>
          <w:tcPr>
            <w:tcW w:type="dxa" w:w="3628"/>
            <w:shd w:val="clear" w:color="auto" w:fill="F4F6FA"/>
          </w:tcPr>
          <w:p>
            <w:pPr>
              <w:pStyle w:val="TableText"/>
            </w:pPr>
            <w:r>
              <w:rPr>
                <w:rFonts w:ascii="Arial" w:hAnsi="Arial"/>
                <w:sz w:val="16"/>
              </w:rPr>
              <w:t>Whether previously identified weaknesses in ECL models have been remediated, and whether the entity has acted on APRA's published observations on provisioning practice.</w:t>
            </w:r>
          </w:p>
        </w:tc>
        <w:tc>
          <w:tcPr>
            <w:tcW w:type="dxa" w:w="3515"/>
            <w:shd w:val="clear" w:color="auto" w:fill="F4F6FA"/>
          </w:tcPr>
          <w:p>
            <w:pPr>
              <w:pStyle w:val="TableText"/>
            </w:pPr>
            <w:r>
              <w:rPr>
                <w:rFonts w:ascii="Arial" w:hAnsi="Arial"/>
                <w:sz w:val="16"/>
              </w:rPr>
              <w:t>Findings closure evidence; internal audit coverage; the entity's own assessment against APRA's October 2023 observations.</w:t>
            </w:r>
          </w:p>
        </w:tc>
      </w:tr>
    </w:tbl>
    <w:p>
      <w:pPr>
        <w:pStyle w:val="Heading2"/>
      </w:pPr>
      <w:r>
        <w:t>The expected credit loss provisions of APS 220</w:t>
      </w:r>
    </w:p>
    <w:p>
      <w:pPr>
        <w:pStyle w:val="Guidance"/>
      </w:pPr>
      <w:r>
        <w:t>Reproduced from APS 220, under the heading Credit risk and accounting for expected credit losses. These are binding obligations on an ADI and are not varied by this Prudential Standard.</w:t>
      </w:r>
    </w:p>
    <w:p>
      <w:pPr>
        <w:pStyle w:val="Bullet"/>
      </w:pPr>
      <w:r>
        <w:t>• An ADI must adopt, document and adhere to sound methodologies that address policies, processes and controls for assessing and measuring credit losses on all exposures. The measurement of provisions must build on robust methodologies and result in the appropriate and timely recognition of expected credit losses in accordance with Australian Accounting Standards.</w:t>
      </w:r>
    </w:p>
    <w:p>
      <w:pPr>
        <w:pStyle w:val="Bullet"/>
      </w:pPr>
      <w:r>
        <w:t>• An ADI's aggregate amount of provisions must be adequate and consistent with the objectives of Australian Accounting Standards.</w:t>
      </w:r>
    </w:p>
    <w:p>
      <w:pPr>
        <w:pStyle w:val="Bullet"/>
      </w:pPr>
      <w:r>
        <w:t>• An ADI must have sound policies and processes in place to appropriately validate models used to assess and measure expected credit losses.</w:t>
      </w:r>
    </w:p>
    <w:p>
      <w:pPr>
        <w:pStyle w:val="Bullet"/>
      </w:pPr>
      <w:r>
        <w:t>• An ADI must use experienced credit judgement, particularly in the robust consideration of reasonable and supportable forward-looking information, including macroeconomic factors, in its assessment and measurement of expected credit losses.</w:t>
      </w:r>
    </w:p>
    <w:p>
      <w:pPr>
        <w:pStyle w:val="Bullet"/>
      </w:pPr>
      <w:r>
        <w:t>• An ADI must have an appropriate credit risk assessment and measurement process that provides it with a sound basis for common systems, tools and data to assess credit risk and to account for expected credit losses.</w:t>
      </w:r>
    </w:p>
    <w:p>
      <w:pPr>
        <w:pStyle w:val="Heading2"/>
      </w:pPr>
      <w:r>
        <w:t>The Basel guidance APG 220 directs ADIs to have regard to</w:t>
      </w:r>
    </w:p>
    <w:p>
      <w:pPr>
        <w:pStyle w:val="Guidance"/>
      </w:pPr>
      <w:r>
        <w:t>BCBS Guidance on credit risk and accounting for expected credit losses, 18 December 2015. Principles 1 to 8 address banks; Principles 9 to 11 address supervisors and describe what a supervisory evaluation of these models is directed at. Principle 5 is the direct antecedent of the model validation obligation in APS 220.</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1474"/>
            <w:shd w:val="clear" w:color="auto" w:fill="1B335F"/>
          </w:tcPr>
          <w:p>
            <w:pPr>
              <w:pStyle w:val="TableHead"/>
            </w:pPr>
            <w:r>
              <w:rPr>
                <w:rFonts w:ascii="Arial" w:hAnsi="Arial"/>
                <w:b/>
                <w:color w:val="FFFFFF"/>
                <w:sz w:val="16"/>
              </w:rPr>
              <w:t>Principle</w:t>
            </w:r>
          </w:p>
        </w:tc>
        <w:tc>
          <w:tcPr>
            <w:tcW w:type="dxa" w:w="7937"/>
            <w:shd w:val="clear" w:color="auto" w:fill="1B335F"/>
          </w:tcPr>
          <w:p>
            <w:pPr>
              <w:pStyle w:val="TableHead"/>
            </w:pPr>
            <w:r>
              <w:rPr>
                <w:rFonts w:ascii="Arial" w:hAnsi="Arial"/>
                <w:b/>
                <w:color w:val="FFFFFF"/>
                <w:sz w:val="16"/>
              </w:rPr>
              <w:t>Statement</w:t>
            </w:r>
          </w:p>
        </w:tc>
      </w:tr>
      <w:tr>
        <w:tc>
          <w:tcPr>
            <w:tcW w:type="dxa" w:w="1474"/>
          </w:tcPr>
          <w:p>
            <w:pPr>
              <w:pStyle w:val="TableText"/>
            </w:pPr>
            <w:r>
              <w:rPr>
                <w:rFonts w:ascii="Arial" w:hAnsi="Arial"/>
                <w:sz w:val="16"/>
              </w:rPr>
              <w:t>Principle 1</w:t>
            </w:r>
          </w:p>
        </w:tc>
        <w:tc>
          <w:tcPr>
            <w:tcW w:type="dxa" w:w="7937"/>
          </w:tcPr>
          <w:p>
            <w:pPr>
              <w:pStyle w:val="TableText"/>
            </w:pPr>
            <w:r>
              <w:rPr>
                <w:rFonts w:ascii="Arial" w:hAnsi="Arial"/>
                <w:sz w:val="16"/>
              </w:rPr>
              <w:t>A bank's board of directors (or equivalent) and senior management are responsible for ensuring that the bank has appropriate credit risk practices, including an effective system of internal control, to consistently determine adequate allowances in accordance with the bank's stated policies and procedures, the applicable accounting framework and relevant supervisory guidance.</w:t>
            </w:r>
          </w:p>
        </w:tc>
      </w:tr>
      <w:tr>
        <w:tc>
          <w:tcPr>
            <w:tcW w:type="dxa" w:w="1474"/>
            <w:shd w:val="clear" w:color="auto" w:fill="F4F6FA"/>
          </w:tcPr>
          <w:p>
            <w:pPr>
              <w:pStyle w:val="TableText"/>
            </w:pPr>
            <w:r>
              <w:rPr>
                <w:rFonts w:ascii="Arial" w:hAnsi="Arial"/>
                <w:sz w:val="16"/>
              </w:rPr>
              <w:t>Principle 2</w:t>
            </w:r>
          </w:p>
        </w:tc>
        <w:tc>
          <w:tcPr>
            <w:tcW w:type="dxa" w:w="7937"/>
            <w:shd w:val="clear" w:color="auto" w:fill="F4F6FA"/>
          </w:tcPr>
          <w:p>
            <w:pPr>
              <w:pStyle w:val="TableText"/>
            </w:pPr>
            <w:r>
              <w:rPr>
                <w:rFonts w:ascii="Arial" w:hAnsi="Arial"/>
                <w:sz w:val="16"/>
              </w:rPr>
              <w:t>A bank should adopt, document and adhere to sound methodologies that address policies, procedures and controls for assessing and measuring credit risk on all lending exposures. The measurement of allowances should build upon those robust methodologies and result in the appropriate and timely recognition of expected credit losses in accordance with the applicable accounting framework.</w:t>
            </w:r>
          </w:p>
        </w:tc>
      </w:tr>
      <w:tr>
        <w:tc>
          <w:tcPr>
            <w:tcW w:type="dxa" w:w="1474"/>
          </w:tcPr>
          <w:p>
            <w:pPr>
              <w:pStyle w:val="TableText"/>
            </w:pPr>
            <w:r>
              <w:rPr>
                <w:rFonts w:ascii="Arial" w:hAnsi="Arial"/>
                <w:sz w:val="16"/>
              </w:rPr>
              <w:t>Principle 3</w:t>
            </w:r>
          </w:p>
        </w:tc>
        <w:tc>
          <w:tcPr>
            <w:tcW w:type="dxa" w:w="7937"/>
          </w:tcPr>
          <w:p>
            <w:pPr>
              <w:pStyle w:val="TableText"/>
            </w:pPr>
            <w:r>
              <w:rPr>
                <w:rFonts w:ascii="Arial" w:hAnsi="Arial"/>
                <w:sz w:val="16"/>
              </w:rPr>
              <w:t>A bank should have a credit risk rating process in place to appropriately group lending exposures on the basis of shared credit risk characteristics.</w:t>
            </w:r>
          </w:p>
        </w:tc>
      </w:tr>
      <w:tr>
        <w:tc>
          <w:tcPr>
            <w:tcW w:type="dxa" w:w="1474"/>
            <w:shd w:val="clear" w:color="auto" w:fill="F4F6FA"/>
          </w:tcPr>
          <w:p>
            <w:pPr>
              <w:pStyle w:val="TableText"/>
            </w:pPr>
            <w:r>
              <w:rPr>
                <w:rFonts w:ascii="Arial" w:hAnsi="Arial"/>
                <w:sz w:val="16"/>
              </w:rPr>
              <w:t>Principle 4</w:t>
            </w:r>
          </w:p>
        </w:tc>
        <w:tc>
          <w:tcPr>
            <w:tcW w:type="dxa" w:w="7937"/>
            <w:shd w:val="clear" w:color="auto" w:fill="F4F6FA"/>
          </w:tcPr>
          <w:p>
            <w:pPr>
              <w:pStyle w:val="TableText"/>
            </w:pPr>
            <w:r>
              <w:rPr>
                <w:rFonts w:ascii="Arial" w:hAnsi="Arial"/>
                <w:sz w:val="16"/>
              </w:rPr>
              <w:t>A bank's aggregate amount of allowances, regardless of whether allowance components are determined on a collective or an individual basis, should be adequate and consistent with the objectives of the applicable accounting framework.</w:t>
            </w:r>
          </w:p>
        </w:tc>
      </w:tr>
      <w:tr>
        <w:tc>
          <w:tcPr>
            <w:tcW w:type="dxa" w:w="1474"/>
          </w:tcPr>
          <w:p>
            <w:pPr>
              <w:pStyle w:val="TableText"/>
            </w:pPr>
            <w:r>
              <w:rPr>
                <w:rFonts w:ascii="Arial" w:hAnsi="Arial"/>
                <w:sz w:val="16"/>
              </w:rPr>
              <w:t>Principle 5</w:t>
            </w:r>
          </w:p>
        </w:tc>
        <w:tc>
          <w:tcPr>
            <w:tcW w:type="dxa" w:w="7937"/>
          </w:tcPr>
          <w:p>
            <w:pPr>
              <w:pStyle w:val="TableText"/>
            </w:pPr>
            <w:r>
              <w:rPr>
                <w:rFonts w:ascii="Arial" w:hAnsi="Arial"/>
                <w:sz w:val="16"/>
              </w:rPr>
              <w:t>A bank should have policies and procedures in place to appropriately validate models used to assess and measure expected credit losses.</w:t>
            </w:r>
          </w:p>
        </w:tc>
      </w:tr>
      <w:tr>
        <w:tc>
          <w:tcPr>
            <w:tcW w:type="dxa" w:w="1474"/>
            <w:shd w:val="clear" w:color="auto" w:fill="F4F6FA"/>
          </w:tcPr>
          <w:p>
            <w:pPr>
              <w:pStyle w:val="TableText"/>
            </w:pPr>
            <w:r>
              <w:rPr>
                <w:rFonts w:ascii="Arial" w:hAnsi="Arial"/>
                <w:sz w:val="16"/>
              </w:rPr>
              <w:t>Principle 6</w:t>
            </w:r>
          </w:p>
        </w:tc>
        <w:tc>
          <w:tcPr>
            <w:tcW w:type="dxa" w:w="7937"/>
            <w:shd w:val="clear" w:color="auto" w:fill="F4F6FA"/>
          </w:tcPr>
          <w:p>
            <w:pPr>
              <w:pStyle w:val="TableText"/>
            </w:pPr>
            <w:r>
              <w:rPr>
                <w:rFonts w:ascii="Arial" w:hAnsi="Arial"/>
                <w:sz w:val="16"/>
              </w:rPr>
              <w:t>A bank's use of experienced credit judgment, especially in the robust consideration of reasonable and supportable forward-looking information, including macroeconomic factors, is essential to the assessment and measurement of expected credit losses.</w:t>
            </w:r>
          </w:p>
        </w:tc>
      </w:tr>
      <w:tr>
        <w:tc>
          <w:tcPr>
            <w:tcW w:type="dxa" w:w="1474"/>
          </w:tcPr>
          <w:p>
            <w:pPr>
              <w:pStyle w:val="TableText"/>
            </w:pPr>
            <w:r>
              <w:rPr>
                <w:rFonts w:ascii="Arial" w:hAnsi="Arial"/>
                <w:sz w:val="16"/>
              </w:rPr>
              <w:t>Principle 7</w:t>
            </w:r>
          </w:p>
        </w:tc>
        <w:tc>
          <w:tcPr>
            <w:tcW w:type="dxa" w:w="7937"/>
          </w:tcPr>
          <w:p>
            <w:pPr>
              <w:pStyle w:val="TableText"/>
            </w:pPr>
            <w:r>
              <w:rPr>
                <w:rFonts w:ascii="Arial" w:hAnsi="Arial"/>
                <w:sz w:val="16"/>
              </w:rPr>
              <w:t>A bank should have a sound credit risk assessment and measurement process that provides it with a strong basis for common systems, tools and data to assess credit risk and to account for expected credit losses.</w:t>
            </w:r>
          </w:p>
        </w:tc>
      </w:tr>
      <w:tr>
        <w:tc>
          <w:tcPr>
            <w:tcW w:type="dxa" w:w="1474"/>
            <w:shd w:val="clear" w:color="auto" w:fill="F4F6FA"/>
          </w:tcPr>
          <w:p>
            <w:pPr>
              <w:pStyle w:val="TableText"/>
            </w:pPr>
            <w:r>
              <w:rPr>
                <w:rFonts w:ascii="Arial" w:hAnsi="Arial"/>
                <w:sz w:val="16"/>
              </w:rPr>
              <w:t>Principle 8</w:t>
            </w:r>
          </w:p>
        </w:tc>
        <w:tc>
          <w:tcPr>
            <w:tcW w:type="dxa" w:w="7937"/>
            <w:shd w:val="clear" w:color="auto" w:fill="F4F6FA"/>
          </w:tcPr>
          <w:p>
            <w:pPr>
              <w:pStyle w:val="TableText"/>
            </w:pPr>
            <w:r>
              <w:rPr>
                <w:rFonts w:ascii="Arial" w:hAnsi="Arial"/>
                <w:sz w:val="16"/>
              </w:rPr>
              <w:t>A bank's public disclosures should promote transparency and comparability by providing timely, relevant and decision-useful information.</w:t>
            </w:r>
          </w:p>
        </w:tc>
      </w:tr>
      <w:tr>
        <w:tc>
          <w:tcPr>
            <w:tcW w:type="dxa" w:w="1474"/>
          </w:tcPr>
          <w:p>
            <w:pPr>
              <w:pStyle w:val="TableText"/>
            </w:pPr>
            <w:r>
              <w:rPr>
                <w:rFonts w:ascii="Arial" w:hAnsi="Arial"/>
                <w:sz w:val="16"/>
              </w:rPr>
              <w:t>Principle 9</w:t>
            </w:r>
          </w:p>
        </w:tc>
        <w:tc>
          <w:tcPr>
            <w:tcW w:type="dxa" w:w="7937"/>
          </w:tcPr>
          <w:p>
            <w:pPr>
              <w:pStyle w:val="TableText"/>
            </w:pPr>
            <w:r>
              <w:rPr>
                <w:rFonts w:ascii="Arial" w:hAnsi="Arial"/>
                <w:sz w:val="16"/>
              </w:rPr>
              <w:t>Banking supervisors should periodically evaluate the effectiveness of a bank's credit risk practices.</w:t>
            </w:r>
          </w:p>
        </w:tc>
      </w:tr>
      <w:tr>
        <w:tc>
          <w:tcPr>
            <w:tcW w:type="dxa" w:w="1474"/>
            <w:shd w:val="clear" w:color="auto" w:fill="F4F6FA"/>
          </w:tcPr>
          <w:p>
            <w:pPr>
              <w:pStyle w:val="TableText"/>
            </w:pPr>
            <w:r>
              <w:rPr>
                <w:rFonts w:ascii="Arial" w:hAnsi="Arial"/>
                <w:sz w:val="16"/>
              </w:rPr>
              <w:t>Principle 10</w:t>
            </w:r>
          </w:p>
        </w:tc>
        <w:tc>
          <w:tcPr>
            <w:tcW w:type="dxa" w:w="7937"/>
            <w:shd w:val="clear" w:color="auto" w:fill="F4F6FA"/>
          </w:tcPr>
          <w:p>
            <w:pPr>
              <w:pStyle w:val="TableText"/>
            </w:pPr>
            <w:r>
              <w:rPr>
                <w:rFonts w:ascii="Arial" w:hAnsi="Arial"/>
                <w:sz w:val="16"/>
              </w:rPr>
              <w:t>Banking supervisors should be satisfied that the methods employed by a bank to determine accounting allowances lead to an appropriate measurement of expected credit losses in accordance with the applicable accounting framework.</w:t>
            </w:r>
          </w:p>
        </w:tc>
      </w:tr>
      <w:tr>
        <w:tc>
          <w:tcPr>
            <w:tcW w:type="dxa" w:w="1474"/>
          </w:tcPr>
          <w:p>
            <w:pPr>
              <w:pStyle w:val="TableText"/>
            </w:pPr>
            <w:r>
              <w:rPr>
                <w:rFonts w:ascii="Arial" w:hAnsi="Arial"/>
                <w:sz w:val="16"/>
              </w:rPr>
              <w:t>Principle 11</w:t>
            </w:r>
          </w:p>
        </w:tc>
        <w:tc>
          <w:tcPr>
            <w:tcW w:type="dxa" w:w="7937"/>
          </w:tcPr>
          <w:p>
            <w:pPr>
              <w:pStyle w:val="TableText"/>
            </w:pPr>
            <w:r>
              <w:rPr>
                <w:rFonts w:ascii="Arial" w:hAnsi="Arial"/>
                <w:sz w:val="16"/>
              </w:rPr>
              <w:t>Banking supervisors should consider a bank's credit risk practices when assessing a bank's capital adequacy.</w:t>
            </w:r>
          </w:p>
        </w:tc>
      </w:tr>
    </w:tbl>
    <w:sectPr w:rsidR="00FC693F" w:rsidRPr="0006063C" w:rsidSect="00034616">
      <w:pgSz w:w="11906" w:h="16838"/>
      <w:pgMar w:top="1134" w:right="1247" w:bottom="1077"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tabs>
        <w:tab w:pos="9411" w:val="left"/>
      </w:tabs>
      <w:jc w:val="left"/>
    </w:pPr>
    <w:r>
      <w:rPr>
        <w:rFonts w:ascii="Arial" w:hAnsi="Arial"/>
        <w:color w:val="595959"/>
        <w:sz w:val="16"/>
      </w:rPr>
    </w:r>
    <w:r>
      <w:rPr>
        <w:rFonts w:ascii="Arial" w:hAnsi="Arial"/>
        <w:color w:val="595959"/>
        <w:sz w:val="16"/>
      </w:rPr>
      <w:t>Australian Prudential Regulation Authority</w:t>
      <w:tab/>
    </w:r>
    <w:r>
      <w:rPr>
        <w:rFonts w:ascii="Arial" w:hAnsi="Arial"/>
        <w:color w:val="595959"/>
        <w:sz w:val="16"/>
      </w:rPr>
      <w:t xml:space="preserve">Page </w:t>
    </w:r>
    <w:r>
      <w:rPr>
        <w:rFonts w:ascii="Arial" w:hAnsi="Arial"/>
        <w:color w:val="595959"/>
        <w:sz w:val="16"/>
      </w:rPr>
      <w:fldChar w:fldCharType="begin"/>
      <w:instrText xml:space="preserve"> PAGE </w:instrText>
      <w:fldChar w:fldCharType="end"/>
    </w:r>
    <w:r>
      <w:rPr>
        <w:rFonts w:ascii="Arial" w:hAnsi="Arial"/>
        <w:color w:val="595959"/>
        <w:sz w:val="16"/>
      </w:rPr>
      <w:t xml:space="preserve"> of </w:t>
    </w:r>
    <w:r>
      <w:rPr>
        <w:rFonts w:ascii="Arial" w:hAnsi="Arial"/>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jc w:val="right"/>
      <w:pBdr>
        <w:bottom w:val="single" w:sz="4" w:space="4" w:color="C7D0DF"/>
      </w:pBdr>
    </w:pPr>
    <w:r/>
    <w:r>
      <w:rPr>
        <w:rFonts w:ascii="Arial" w:hAnsi="Arial"/>
        <w:color w:val="595959"/>
        <w:sz w:val="16"/>
      </w:rPr>
      <w:t>CPS XXXX Model Risk Management — POLICY DEVELOPMENT DRAFT — NOT IN FORCE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54" w:lineRule="auto"/>
      <w:outlineLvl w:val="0"/>
      <w:outlineLvl w:val="0"/>
      <w:keepNext/>
      <w:keepLines/>
    </w:pPr>
    <w:rPr>
      <w:rFonts w:ascii="Arial" w:hAnsi="Arial" w:eastAsia="Arial" w:cs="Arial"/>
      <w:b/>
      <w:bCs/>
      <w:i w:val="0"/>
      <w:color w:val="1B335F"/>
      <w:sz w:val="30"/>
      <w:szCs w:val="28"/>
    </w:rPr>
  </w:style>
  <w:style w:type="paragraph" w:styleId="Heading2">
    <w:name w:val="heading 2"/>
    <w:basedOn w:val="Normal"/>
    <w:next w:val="Normal"/>
    <w:link w:val="Heading2Char"/>
    <w:uiPriority w:val="9"/>
    <w:unhideWhenUsed/>
    <w:qFormat/>
    <w:rsid w:val="00FC693F"/>
    <w:pPr>
      <w:keepNext/>
      <w:keepLines/>
      <w:spacing w:before="220" w:after="80" w:line="254" w:lineRule="auto"/>
      <w:outlineLvl w:val="1"/>
      <w:outlineLvl w:val="1"/>
      <w:keepNext/>
      <w:keepLines/>
    </w:pPr>
    <w:rPr>
      <w:rFonts w:ascii="Arial" w:hAnsi="Arial" w:eastAsia="Arial" w:cs="Arial"/>
      <w:b/>
      <w:bCs/>
      <w:i w:val="0"/>
      <w:color w:val="2F5497"/>
      <w:sz w:val="23"/>
      <w:szCs w:val="26"/>
    </w:rPr>
  </w:style>
  <w:style w:type="paragraph" w:styleId="Heading3">
    <w:name w:val="heading 3"/>
    <w:basedOn w:val="Normal"/>
    <w:next w:val="Normal"/>
    <w:link w:val="Heading3Char"/>
    <w:uiPriority w:val="9"/>
    <w:unhideWhenUsed/>
    <w:qFormat/>
    <w:rsid w:val="00FC693F"/>
    <w:pPr>
      <w:keepNext/>
      <w:keepLines/>
      <w:spacing w:before="160" w:after="60" w:line="254" w:lineRule="auto"/>
      <w:outlineLvl w:val="2"/>
      <w:outlineLvl w:val="2"/>
      <w:keepNext/>
      <w:keepLines/>
    </w:pPr>
    <w:rPr>
      <w:rFonts w:ascii="Arial" w:hAnsi="Arial" w:eastAsia="Arial" w:cs="Arial"/>
      <w:b/>
      <w:bCs/>
      <w:i w:val="0"/>
      <w:color w:val="2F54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before="40" w:after="160"/>
    </w:pPr>
    <w:rPr>
      <w:rFonts w:ascii="Arial" w:hAnsi="Arial" w:eastAsia="Arial" w:cs="Arial"/>
      <w:b w:val="0"/>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0" w:after="40" w:line="254" w:lineRule="auto"/>
    </w:pPr>
    <w:rPr>
      <w:rFonts w:ascii="Arial" w:hAnsi="Arial" w:eastAsia="Arial" w:cs="Arial"/>
      <w:b/>
      <w:i w:val="0"/>
      <w:color w:val="1B335F"/>
      <w:sz w:val="52"/>
    </w:rPr>
  </w:style>
  <w:style w:type="paragraph" w:customStyle="1" w:styleId="DocSubtitle">
    <w:name w:val="DocSubtitle"/>
    <w:basedOn w:val="Normal"/>
    <w:pPr>
      <w:spacing w:before="0" w:after="40" w:line="254" w:lineRule="auto"/>
    </w:pPr>
    <w:rPr>
      <w:rFonts w:ascii="Arial" w:hAnsi="Arial" w:eastAsia="Arial" w:cs="Arial"/>
      <w:b w:val="0"/>
      <w:i w:val="0"/>
      <w:color w:val="2F5497"/>
      <w:sz w:val="26"/>
    </w:rPr>
  </w:style>
  <w:style w:type="paragraph" w:customStyle="1" w:styleId="DocMeta">
    <w:name w:val="DocMeta"/>
    <w:basedOn w:val="Normal"/>
    <w:pPr>
      <w:spacing w:before="0" w:after="40" w:line="254" w:lineRule="auto"/>
    </w:pPr>
    <w:rPr>
      <w:rFonts w:ascii="Arial" w:hAnsi="Arial" w:eastAsia="Arial" w:cs="Arial"/>
      <w:b w:val="0"/>
      <w:i w:val="0"/>
      <w:color w:val="595959"/>
      <w:sz w:val="18"/>
    </w:rPr>
  </w:style>
  <w:style w:type="paragraph" w:customStyle="1" w:styleId="Requirement">
    <w:name w:val="Requirement"/>
    <w:basedOn w:val="Normal"/>
    <w:pPr>
      <w:spacing w:before="60" w:after="120" w:line="254" w:lineRule="auto"/>
      <w:keepNext/>
      <w:keepLines/>
    </w:pPr>
    <w:rPr>
      <w:rFonts w:ascii="Arial" w:hAnsi="Arial" w:eastAsia="Arial" w:cs="Arial"/>
      <w:b/>
      <w:i w:val="0"/>
      <w:sz w:val="20"/>
    </w:rPr>
  </w:style>
  <w:style w:type="paragraph" w:customStyle="1" w:styleId="Guidance">
    <w:name w:val="Guidance"/>
    <w:basedOn w:val="Normal"/>
    <w:pPr>
      <w:spacing w:before="0" w:after="120" w:line="254" w:lineRule="auto"/>
    </w:pPr>
    <w:rPr>
      <w:rFonts w:ascii="Arial" w:hAnsi="Arial" w:eastAsia="Arial" w:cs="Arial"/>
      <w:b w:val="0"/>
      <w:i w:val="0"/>
      <w:sz w:val="20"/>
    </w:rPr>
  </w:style>
  <w:style w:type="paragraph" w:customStyle="1" w:styleId="ContentsHead">
    <w:name w:val="ContentsHead"/>
    <w:basedOn w:val="Normal"/>
    <w:pPr>
      <w:spacing w:before="80" w:after="40" w:line="254" w:lineRule="auto"/>
    </w:pPr>
    <w:rPr>
      <w:rFonts w:ascii="Arial" w:hAnsi="Arial" w:eastAsia="Arial" w:cs="Arial"/>
      <w:b/>
      <w:i w:val="0"/>
      <w:color w:val="1B335F"/>
      <w:sz w:val="20"/>
    </w:rPr>
  </w:style>
  <w:style w:type="paragraph" w:customStyle="1" w:styleId="ContentsItem">
    <w:name w:val="ContentsItem"/>
    <w:basedOn w:val="Normal"/>
    <w:pPr>
      <w:spacing w:before="0" w:after="20" w:line="254" w:lineRule="auto"/>
      <w:ind w:left="340"/>
    </w:pPr>
    <w:rPr>
      <w:rFonts w:ascii="Arial" w:hAnsi="Arial" w:eastAsia="Arial" w:cs="Arial"/>
      <w:b w:val="0"/>
      <w:i w:val="0"/>
      <w:sz w:val="20"/>
    </w:rPr>
  </w:style>
  <w:style w:type="paragraph" w:customStyle="1" w:styleId="CrossRef">
    <w:name w:val="CrossRef"/>
    <w:basedOn w:val="Normal"/>
    <w:pPr>
      <w:spacing w:before="0" w:after="160" w:line="254" w:lineRule="auto"/>
    </w:pPr>
    <w:rPr>
      <w:rFonts w:ascii="Arial" w:hAnsi="Arial" w:eastAsia="Arial" w:cs="Arial"/>
      <w:b w:val="0"/>
      <w:i/>
      <w:color w:val="2F5497"/>
      <w:sz w:val="18"/>
    </w:rPr>
  </w:style>
  <w:style w:type="paragraph" w:customStyle="1" w:styleId="SourceNote">
    <w:name w:val="SourceNote"/>
    <w:basedOn w:val="Normal"/>
    <w:pPr>
      <w:spacing w:before="0" w:after="80" w:line="254" w:lineRule="auto"/>
    </w:pPr>
    <w:rPr>
      <w:rFonts w:ascii="Arial" w:hAnsi="Arial" w:eastAsia="Arial" w:cs="Arial"/>
      <w:b w:val="0"/>
      <w:i/>
      <w:color w:val="595959"/>
      <w:sz w:val="18"/>
    </w:rPr>
  </w:style>
  <w:style w:type="paragraph" w:customStyle="1" w:styleId="Verification">
    <w:name w:val="Verification"/>
    <w:basedOn w:val="Normal"/>
    <w:pPr>
      <w:spacing w:before="0" w:after="160" w:line="254" w:lineRule="auto"/>
    </w:pPr>
    <w:rPr>
      <w:rFonts w:ascii="Arial" w:hAnsi="Arial" w:eastAsia="Arial" w:cs="Arial"/>
      <w:b w:val="0"/>
      <w:i w:val="0"/>
      <w:color w:val="9C6300"/>
      <w:sz w:val="18"/>
    </w:rPr>
  </w:style>
  <w:style w:type="paragraph" w:customStyle="1" w:styleId="Bullet">
    <w:name w:val="Bullet"/>
    <w:basedOn w:val="Normal"/>
    <w:pPr>
      <w:spacing w:before="0" w:after="60" w:line="254" w:lineRule="auto"/>
      <w:ind w:left="312"/>
    </w:pPr>
    <w:rPr>
      <w:rFonts w:ascii="Arial" w:hAnsi="Arial" w:eastAsia="Arial" w:cs="Arial"/>
      <w:b w:val="0"/>
      <w:i w:val="0"/>
      <w:sz w:val="20"/>
    </w:rPr>
  </w:style>
  <w:style w:type="paragraph" w:customStyle="1" w:styleId="TableText">
    <w:name w:val="TableText"/>
    <w:basedOn w:val="Normal"/>
    <w:pPr>
      <w:spacing w:before="20" w:after="20" w:line="254" w:lineRule="auto"/>
    </w:pPr>
    <w:rPr>
      <w:rFonts w:ascii="Arial" w:hAnsi="Arial" w:eastAsia="Arial" w:cs="Arial"/>
      <w:b w:val="0"/>
      <w:i w:val="0"/>
      <w:sz w:val="17"/>
    </w:rPr>
  </w:style>
  <w:style w:type="paragraph" w:customStyle="1" w:styleId="TableHead">
    <w:name w:val="TableHead"/>
    <w:basedOn w:val="Normal"/>
    <w:pPr>
      <w:spacing w:before="20" w:after="20" w:line="254" w:lineRule="auto"/>
    </w:pPr>
    <w:rPr>
      <w:rFonts w:ascii="Arial" w:hAnsi="Arial" w:eastAsia="Arial" w:cs="Arial"/>
      <w:b/>
      <w:i w:val="0"/>
      <w:color w:val="FFFFFF"/>
      <w:sz w:val="17"/>
    </w:rPr>
  </w:style>
  <w:style w:type="paragraph" w:customStyle="1" w:styleId="GuideBody">
    <w:name w:val="GuideBody"/>
    <w:basedOn w:val="Normal"/>
    <w:pPr>
      <w:spacing w:before="0" w:after="120" w:line="254" w:lineRule="auto"/>
    </w:pPr>
    <w:rPr>
      <w:rFonts w:ascii="Arial" w:hAnsi="Arial" w:eastAsia="Arial" w:cs="Arial"/>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