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such as an approve or decline recommendation, is producing a quantitative estimate expressed categorically.</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full organisational separation is impractical, the entity should be explicit about the residual conflict and how it is managed.</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w:t>
            </w:r>
          </w:p>
        </w:tc>
      </w:tr>
    </w:tbl>
    <w:p>
      <w:pPr>
        <w:pStyle w:val="DocMeta"/>
      </w:pPr>
    </w:p>
    <w:p>
      <w:pPr>
        <w:pStyle w:val="GuideBody"/>
      </w:pPr>
      <w:r>
        <w:rPr>
          <w:b/>
        </w:rPr>
        <w:t xml:space="preserve">44.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[B where implemented].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[B where implemented].</w:t>
      </w:r>
    </w:p>
    <w:p>
      <w:pPr>
        <w:pStyle w:val="GuideBody"/>
      </w:pPr>
      <w:r>
        <w:rPr>
          <w:b/>
        </w:rPr>
        <w:t xml:space="preserve">93.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[B where implemented].</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M25, M33, M34</w:t>
            </w:r>
          </w:p>
        </w:tc>
      </w:tr>
    </w:tbl>
    <w:p>
      <w:pPr>
        <w:pStyle w:val="DocMeta"/>
      </w:pPr>
    </w:p>
    <w:p>
      <w:pPr>
        <w:pStyle w:val="GuideBody"/>
      </w:pPr>
      <w:r>
        <w:rPr>
          <w:b/>
        </w:rPr>
        <w:t xml:space="preserve">95.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[B where implemented].</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[B where implemented].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5; OSFI E-23 reporting;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Former SR 11-7 §IV (implementation); not carried forward in 2026; ECB internal models implementation</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5 (aggregate model risk); ECB model risk in the SREP</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FSB-AI-2024</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The Financial Stability Implications of Artificial Intelligence</w:t>
            </w:r>
          </w:p>
        </w:tc>
        <w:tc>
          <w:tcPr>
            <w:tcW w:type="dxa" w:w="2494"/>
            <w:shd w:val="clear" w:color="auto" w:fill="F4F6FA"/>
          </w:tcPr>
          <w:p>
            <w:pPr>
              <w:pStyle w:val="TableText"/>
            </w:pPr>
            <w:r>
              <w:rPr>
                <w:rFonts w:ascii="Arial" w:hAnsi="Arial"/>
                <w:sz w:val="14"/>
              </w:rPr>
              <w:t>Analytical report. Expressly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FSB-AI-2017</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Artificial intelligence and machine learning in financial services</w:t>
            </w:r>
          </w:p>
        </w:tc>
        <w:tc>
          <w:tcPr>
            <w:tcW w:type="dxa" w:w="2494"/>
          </w:tcPr>
          <w:p>
            <w:pPr>
              <w:pStyle w:val="TableText"/>
            </w:pPr>
            <w:r>
              <w:rPr>
                <w:rFonts w:ascii="Arial" w:hAnsi="Arial"/>
                <w:sz w:val="14"/>
              </w:rPr>
              <w:t>Analytical report.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APRA-CPS220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220 Risk Management</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220. SPS 220 is the RSE licensee counterpart.</w:t>
            </w:r>
          </w:p>
        </w:tc>
      </w:tr>
      <w:tr>
        <w:tc>
          <w:tcPr>
            <w:tcW w:type="dxa" w:w="964"/>
          </w:tcPr>
          <w:p>
            <w:pPr>
              <w:pStyle w:val="TableText"/>
            </w:pPr>
            <w:r>
              <w:rPr>
                <w:rFonts w:ascii="Arial" w:hAnsi="Arial"/>
                <w:sz w:val="14"/>
              </w:rPr>
              <w:t>APRA-SPS220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220 Risk Management</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APRA-CPS230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230 Operational Risk Management</w:t>
            </w:r>
          </w:p>
        </w:tc>
        <w:tc>
          <w:tcPr>
            <w:tcW w:type="dxa" w:w="2494"/>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shd w:val="clear" w:color="auto" w:fill="F4F6FA"/>
          </w:tcPr>
          <w:p>
            <w:pPr>
              <w:pStyle w:val="TableText"/>
            </w:pPr>
            <w:r>
              <w:rPr>
                <w:rFonts w:ascii="Arial" w:hAnsi="Arial"/>
                <w:sz w:val="14"/>
              </w:rPr>
              <w:t>APRA-regulated entities as defined in CPS 230.</w:t>
            </w:r>
          </w:p>
        </w:tc>
      </w:tr>
      <w:tr>
        <w:tc>
          <w:tcPr>
            <w:tcW w:type="dxa" w:w="964"/>
          </w:tcPr>
          <w:p>
            <w:pPr>
              <w:pStyle w:val="TableText"/>
            </w:pPr>
            <w:r>
              <w:rPr>
                <w:rFonts w:ascii="Arial" w:hAnsi="Arial"/>
                <w:sz w:val="14"/>
              </w:rPr>
              <w:t>APRA-CPS234</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234 Information Security</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234.</w:t>
            </w:r>
          </w:p>
        </w:tc>
      </w:tr>
      <w:tr>
        <w:tc>
          <w:tcPr>
            <w:tcW w:type="dxa" w:w="964"/>
            <w:shd w:val="clear" w:color="auto" w:fill="F4F6FA"/>
          </w:tcPr>
          <w:p>
            <w:pPr>
              <w:pStyle w:val="TableText"/>
            </w:pPr>
            <w:r>
              <w:rPr>
                <w:rFonts w:ascii="Arial" w:hAnsi="Arial"/>
                <w:sz w:val="14"/>
              </w:rPr>
              <w:t>APRA-CPG235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Practice Guide CPG 235 Managing Data Risk</w:t>
            </w:r>
          </w:p>
        </w:tc>
        <w:tc>
          <w:tcPr>
            <w:tcW w:type="dxa" w:w="2494"/>
            <w:shd w:val="clear" w:color="auto" w:fill="F4F6FA"/>
          </w:tcPr>
          <w:p>
            <w:pPr>
              <w:pStyle w:val="TableText"/>
            </w:pPr>
            <w:r>
              <w:rPr>
                <w:rFonts w:ascii="Arial" w:hAnsi="Arial"/>
                <w:sz w:val="14"/>
              </w:rPr>
              <w:t>Prudential practice guide. Non-enforceable guidance.</w:t>
            </w:r>
          </w:p>
        </w:tc>
        <w:tc>
          <w:tcPr>
            <w:tcW w:type="dxa" w:w="2551"/>
            <w:shd w:val="clear" w:color="auto" w:fill="F4F6FA"/>
          </w:tcPr>
          <w:p>
            <w:pPr>
              <w:pStyle w:val="TableText"/>
            </w:pPr>
            <w:r>
              <w:rPr>
                <w:rFonts w:ascii="Arial" w:hAnsi="Arial"/>
                <w:sz w:val="14"/>
              </w:rPr>
              <w:t>APRA-regulated entities.</w:t>
            </w:r>
          </w:p>
        </w:tc>
      </w:tr>
      <w:tr>
        <w:tc>
          <w:tcPr>
            <w:tcW w:type="dxa" w:w="964"/>
          </w:tcPr>
          <w:p>
            <w:pPr>
              <w:pStyle w:val="TableText"/>
            </w:pPr>
            <w:r>
              <w:rPr>
                <w:rFonts w:ascii="Arial" w:hAnsi="Arial"/>
                <w:sz w:val="14"/>
              </w:rPr>
              <w:t>APRA-APS113</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APS 113 Capital Adequacy: Internal Ratings-based Approach to Credit Risk</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ADIs approved by APRA to use the internal ratings-based approach.</w:t>
            </w:r>
          </w:p>
        </w:tc>
      </w:tr>
      <w:tr>
        <w:tc>
          <w:tcPr>
            <w:tcW w:type="dxa" w:w="964"/>
            <w:shd w:val="clear" w:color="auto" w:fill="F4F6FA"/>
          </w:tcPr>
          <w:p>
            <w:pPr>
              <w:pStyle w:val="TableText"/>
            </w:pPr>
            <w:r>
              <w:rPr>
                <w:rFonts w:ascii="Arial" w:hAnsi="Arial"/>
                <w:sz w:val="14"/>
              </w:rPr>
              <w:t>APRA-CPS320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320 Actuarial and Related Matters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Insurers as defined in the standard.</w:t>
            </w:r>
          </w:p>
        </w:tc>
      </w:tr>
      <w:tr>
        <w:tc>
          <w:tcPr>
            <w:tcW w:type="dxa" w:w="964"/>
          </w:tcPr>
          <w:p>
            <w:pPr>
              <w:pStyle w:val="TableText"/>
            </w:pPr>
            <w:r>
              <w:rPr>
                <w:rFonts w:ascii="Arial" w:hAnsi="Arial"/>
                <w:sz w:val="14"/>
              </w:rPr>
              <w:t>APRA-SPS530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530 Investment Governance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r>
        <w:tc>
          <w:tcPr>
            <w:tcW w:type="dxa" w:w="964"/>
            <w:shd w:val="clear" w:color="auto" w:fill="F4F6FA"/>
          </w:tcPr>
          <w:p>
            <w:pPr>
              <w:pStyle w:val="TableText"/>
            </w:pPr>
            <w:r>
              <w:rPr>
                <w:rFonts w:ascii="Arial" w:hAnsi="Arial"/>
                <w:sz w:val="14"/>
              </w:rPr>
              <w:t>APRA-SPS515</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515 Strategic Planning and Member Outcomes</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