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 for models already in use</w:t>
      </w:r>
    </w:p>
    <w:p>
      <w:pPr>
        <w:pStyle w:val="Requirement"/>
      </w:pPr>
      <w:r>
        <w:rPr>
          <w:b/>
        </w:rPr>
        <w:t>A4. An APRA-regulated entity must bring a model that is in use at the commencement of this Prudential Standard into compliance in accordance with a documented remediation plan approved by the Board or a Board committee, within the period determined by APRA.</w:t>
      </w:r>
    </w:p>
    <w:p>
      <w:pPr>
        <w:pStyle w:val="Guidance"/>
      </w:pPr>
      <w:r>
        <w:t>Without this paragraph, requirements expressed as a bar on use — such as the pre-implementation testing and independent validation requirements — would on commencement prohibit the continued use of models the entity is already relying on. That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and previous determinations</w:t>
      </w:r>
    </w:p>
    <w:p>
      <w:pPr>
        <w:pStyle w:val="Requirement"/>
      </w:pPr>
      <w:r>
        <w:rPr>
          <w:b/>
        </w:rPr>
        <w:t>A6. Terms defined in Annex A have the meaning given in that Annex, and a reference to a prudential standard is a reference to that standard as in force from time to time.</w:t>
      </w:r>
    </w:p>
    <w:p>
      <w:pPr>
        <w:pStyle w:val="Guidance"/>
      </w:pPr>
      <w:r>
        <w:t>Where an AI system meets the definition of a model, this Prudential Standard applies to it. The interaction with any separate prudential standard on artificial intelligence risk management is addressed in M34 and is a matter for settlement once the numbering and scope of that instrument are known.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compliance and human resources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69.</w:t>
      </w:r>
    </w:p>
    <w:p>
      <w:pPr>
        <w:pStyle w:val="Heading3"/>
      </w:pPr>
      <w:r>
        <w:t>M21 — Scope of validation</w:t>
      </w:r>
    </w:p>
    <w:p>
      <w:pPr>
        <w:pStyle w:val="Requirement"/>
      </w:pPr>
      <w:r>
        <w:rPr>
          <w:b/>
        </w:rPr>
        <w:t>M21. Validation of a model must address conceptual soundness, ongoing model monitoring, and outcomes analysis comparing model outputs with corresponding actual outcomes to the extent those outcomes are observable and sufficient for the purpose,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arising from common models, data sources, platforms and providers.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potential for biased outcomes,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AI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must apply this Prudential Standard to models used to determine insurance liabilities,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adequacy assessment or, for an RSE licensee, in determining its operational risk financial requirement target amount,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its regulatory reporting or its ability to meet its prudential obligations, and must provide APRA with information relating to its models and model risk management on request.</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analysis by parties with the competence to identify deficiencies, the standing for their findings to carry weight, and incentives that reward raising issues.</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An APRA-regulated entity's model inventory must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a price or an employment outcome.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Firms set their own definition; Principle 1.1 requires one, and requires consideration of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FSB-AI-2024</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The Financial Stability Implications of Artificial Intelligence</w:t>
            </w:r>
          </w:p>
        </w:tc>
        <w:tc>
          <w:tcPr>
            <w:tcW w:type="dxa" w:w="1304"/>
            <w:shd w:val="clear" w:color="auto" w:fill="F4F6FA"/>
          </w:tcPr>
          <w:p>
            <w:pPr>
              <w:pStyle w:val="TableText"/>
            </w:pPr>
            <w:r>
              <w:rPr>
                <w:rFonts w:ascii="Arial" w:hAnsi="Arial"/>
                <w:sz w:val="14"/>
              </w:rPr>
              <w:t>14 Nov 2024</w:t>
            </w:r>
          </w:p>
        </w:tc>
        <w:tc>
          <w:tcPr>
            <w:tcW w:type="dxa" w:w="1701"/>
            <w:shd w:val="clear" w:color="auto" w:fill="F4F6FA"/>
          </w:tcPr>
          <w:p>
            <w:pPr>
              <w:pStyle w:val="TableText"/>
            </w:pPr>
            <w:r>
              <w:rPr>
                <w:rFonts w:ascii="Arial" w:hAnsi="Arial"/>
                <w:sz w:val="14"/>
              </w:rPr>
              <w:t>Analytical report. Expressly not a standard.</w:t>
            </w:r>
          </w:p>
        </w:tc>
        <w:tc>
          <w:tcPr>
            <w:tcW w:type="dxa" w:w="1984"/>
            <w:shd w:val="clear" w:color="auto" w:fill="F4F6FA"/>
          </w:tcPr>
          <w:p>
            <w:pPr>
              <w:pStyle w:val="TableText"/>
            </w:pPr>
            <w:r>
              <w:rPr>
                <w:rFonts w:ascii="Arial" w:hAnsi="Arial"/>
                <w:sz w:val="14"/>
              </w:rPr>
              <w:t>https://www.fsb.org/2024/11/the-financial-stability-implications-of-artificial-intelligence/</w:t>
            </w:r>
          </w:p>
        </w:tc>
      </w:tr>
      <w:tr>
        <w:tc>
          <w:tcPr>
            <w:tcW w:type="dxa" w:w="1077"/>
          </w:tcPr>
          <w:p>
            <w:pPr>
              <w:pStyle w:val="TableText"/>
            </w:pPr>
            <w:r>
              <w:rPr>
                <w:rFonts w:ascii="Arial" w:hAnsi="Arial"/>
                <w:sz w:val="14"/>
              </w:rPr>
              <w:t>FSB-AI-2017</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Artificial intelligence and machine learning in financial services</w:t>
            </w:r>
          </w:p>
        </w:tc>
        <w:tc>
          <w:tcPr>
            <w:tcW w:type="dxa" w:w="1304"/>
          </w:tcPr>
          <w:p>
            <w:pPr>
              <w:pStyle w:val="TableText"/>
            </w:pPr>
            <w:r>
              <w:rPr>
                <w:rFonts w:ascii="Arial" w:hAnsi="Arial"/>
                <w:sz w:val="14"/>
              </w:rPr>
              <w:t>1 Nov 2017</w:t>
            </w:r>
          </w:p>
        </w:tc>
        <w:tc>
          <w:tcPr>
            <w:tcW w:type="dxa" w:w="1701"/>
          </w:tcPr>
          <w:p>
            <w:pPr>
              <w:pStyle w:val="TableText"/>
            </w:pPr>
            <w:r>
              <w:rPr>
                <w:rFonts w:ascii="Arial" w:hAnsi="Arial"/>
                <w:sz w:val="14"/>
              </w:rPr>
              <w:t>Analytical report. Not a standard.</w:t>
            </w:r>
          </w:p>
        </w:tc>
        <w:tc>
          <w:tcPr>
            <w:tcW w:type="dxa" w:w="1984"/>
          </w:tcPr>
          <w:p>
            <w:pPr>
              <w:pStyle w:val="TableText"/>
            </w:pPr>
            <w:r>
              <w:rPr>
                <w:rFonts w:ascii="Arial" w:hAnsi="Arial"/>
                <w:sz w:val="14"/>
              </w:rPr>
              <w:t>https://www.fsb.org/2017/11/artificial-intelligence-and-machine-learning-in-financial-service/</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Determined 23 Apr 2026; commences 1 Jul 2026</w:t>
            </w:r>
          </w:p>
        </w:tc>
        <w:tc>
          <w:tcPr>
            <w:tcW w:type="dxa" w:w="1701"/>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Released 4 Jun 2026; commenced 30 Jun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Determined 29 Apr 2026; commenced 1 Jul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