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Meta"/>
      </w:pPr>
      <w:r>
        <w:rPr>
          <w:b/>
          <w:sz w:val="18"/>
        </w:rPr>
        <w:t>AUSTRALIAN PRUDENTIAL REGULATION AUTHORITY</w:t>
      </w:r>
    </w:p>
    <w:p>
      <w:pPr>
        <w:pStyle w:val="DocTitle"/>
        <w:pBdr>
          <w:bottom w:val="single" w:sz="8" w:space="4" w:color="1B335F"/>
        </w:pBdr>
      </w:pPr>
      <w:r>
        <w:t>Prudential Practice Guide CPG 240</w:t>
      </w:r>
    </w:p>
    <w:p>
      <w:pPr>
        <w:pStyle w:val="DocSubtitle"/>
      </w:pPr>
      <w:r>
        <w:rPr>
          <w:b/>
        </w:rPr>
        <w:t>Model Risk Management</w:t>
      </w:r>
    </w:p>
    <w:p>
      <w:pPr>
        <w:pStyle w:val="DocMeta"/>
      </w:pPr>
      <w:r>
        <w:t>Draft cross-industry prudential practice guide</w:t>
      </w:r>
    </w:p>
    <w:p>
      <w:pPr>
        <w:pStyle w:val="DocMeta"/>
      </w:pPr>
      <w:r>
        <w:t>Policy development version — information verified to 25 July 2026</w:t>
      </w:r>
    </w:p>
    <w:p>
      <w:pPr>
        <w:pStyle w:val="DocMeta"/>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70" w:type="dxa"/>
          <w:left w:w="140" w:type="dxa"/>
          <w:bottom w:w="70" w:type="dxa"/>
          <w:right w:w="140" w:type="dxa"/>
        </w:tblCellMar>
      </w:tblPr>
      <w:tblGrid>
        <w:gridCol w:w="9412"/>
      </w:tblGrid>
      <w:tr>
        <w:tc>
          <w:tcPr>
            <w:tcW w:type="dxa" w:w="9411"/>
            <w:shd w:val="clear" w:color="auto" w:fill="1B335F"/>
          </w:tcPr>
          <w:p>
            <w:pPr>
              <w:jc w:val="center"/>
            </w:pPr>
            <w:r>
              <w:rPr>
                <w:rFonts w:ascii="Arial" w:hAnsi="Arial"/>
                <w:b/>
                <w:color w:val="FFFFFF"/>
                <w:sz w:val="18"/>
              </w:rPr>
              <w:t>POLICY DEVELOPMENT DRAFT — NOT IN FORCE</w:t>
            </w:r>
          </w:p>
        </w:tc>
      </w:tr>
    </w:tbl>
    <w:p>
      <w:pPr>
        <w:pStyle w:val="DocMeta"/>
      </w:pP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How to read this guide</w:t>
            </w:r>
          </w:p>
          <w:p>
            <w:pPr/>
            <w:r>
              <w:rPr>
                <w:rFonts w:ascii="Arial" w:hAnsi="Arial"/>
                <w:sz w:val="19"/>
              </w:rPr>
              <w:t>This guide uses 'should' to indicate APRA's expectations. Compliance with a practice guide is not mandatory, but APRA expects an entity either to apply the guidance or to be able to explain the alternative approach it has adopted and why that approach meets the requirements of CPS 240. Requirements use 'must' and appear only in CPS 240. Verification annotations appear in amber throughout, recording the evidential basis for statements about overseas frameworks.</w:t>
            </w:r>
          </w:p>
        </w:tc>
      </w:tr>
    </w:tbl>
    <w:p>
      <w:pPr>
        <w:pStyle w:val="DocMeta"/>
      </w:pPr>
    </w:p>
    <w:p>
      <w:pPr>
        <w:pStyle w:val="DocMeta"/>
      </w:pPr>
      <w:r>
        <w:br w:type="page"/>
      </w:r>
    </w:p>
    <w:p>
      <w:pPr>
        <w:pStyle w:val="Heading1"/>
      </w:pPr>
      <w:r>
        <w:t>Introduction</w:t>
      </w:r>
    </w:p>
    <w:p>
      <w:pPr>
        <w:pStyle w:val="GuideBody"/>
      </w:pPr>
      <w:r>
        <w:t>This Prudential Practice Guide assists an APRA-regulated entity to comply with Prudential Standard CPS 240 Model Risk Management. It uses 'should' to indicate expectations. Compliance with this guide is not itself mandatory; CPS 240 uses 'must' for requirements.</w:t>
      </w:r>
    </w:p>
    <w:p>
      <w:pPr>
        <w:pStyle w:val="GuideBody"/>
      </w:pPr>
      <w:r>
        <w:rPr>
          <w:b/>
        </w:rPr>
        <w:t xml:space="preserve">1. </w:t>
      </w:r>
      <w:r>
        <w:t>This guide is structured to follow CPS 240. Each chapter opens with the requirements it supports, so that a reader working from the standard can find the corresponding guidance, and a reader working from the guidance can identify the obligation it explains.</w:t>
      </w:r>
    </w:p>
    <w:p>
      <w:pPr>
        <w:pStyle w:val="GuideBody"/>
      </w:pPr>
      <w:r>
        <w:rPr>
          <w:b/>
        </w:rPr>
        <w:t xml:space="preserve">2. </w:t>
      </w:r>
      <w:r>
        <w:t>Guidance in this guide is drawn from Australian prudential requirements and from the model risk frameworks of comparable authorities. International sources are labelled by legal status: [B] binding in its home jurisdiction, [SE] supervisory expectation, [G] guidance, [PB] proposed or consultative, and [A] analytical or advisory. An overseas instrument is not binding in Australia whatever its status at home, and is used here only to inform expectations under CPS 240.</w:t>
      </w:r>
    </w:p>
    <w:p>
      <w:pPr>
        <w:pStyle w:val="SourceNote"/>
      </w:pPr>
      <w:r>
        <w:t>Status classification follows Annex D of this guide and the source register in the accompanying assessment workbook.</w:t>
      </w:r>
    </w:p>
    <w:p>
      <w:pPr>
        <w:pStyle w:val="GuideBody"/>
      </w:pPr>
      <w:r>
        <w:rPr>
          <w:b/>
        </w:rPr>
        <w:t xml:space="preserve">3. </w:t>
      </w:r>
      <w:r>
        <w:t>APRA expects this guide to be applied proportionately. An entity with a small number of vendor models and one with several hundred internally developed models across banking, insurance and superannuation businesses face the same obligations but will meet them very differently.</w:t>
      </w:r>
    </w:p>
    <w:p>
      <w:pPr>
        <w:pStyle w:val="GuideBody"/>
      </w:pPr>
      <w:r>
        <w:rPr>
          <w:b/>
        </w:rPr>
        <w:t xml:space="preserve">4. </w:t>
      </w:r>
      <w:r>
        <w:t>This guide does not create obligations, does not vary CPS 240, and does not limit APRA's discretion in supervising an entity. Where this guide and CPS 240 appear to differ, CPS 240 prevails.</w:t>
      </w:r>
    </w:p>
    <w:p>
      <w:pPr>
        <w:pStyle w:val="Heading2"/>
      </w:pPr>
      <w:r>
        <w:t>Why model risk warrants a dedicated standard</w:t>
      </w:r>
    </w:p>
    <w:p>
      <w:pPr>
        <w:pStyle w:val="GuideBody"/>
      </w:pPr>
      <w:r>
        <w:rPr>
          <w:b/>
        </w:rPr>
        <w:t xml:space="preserve">5. </w:t>
      </w:r>
      <w:r>
        <w:t>Regulated entities have increased their reliance on models faster than they have increased their capacity to govern them. Models now determine capital, provisions, valuations, insurance liabilities, unit prices, credit decisions, fraud interventions and member outcomes. The consequence of a model being wrong has grown with the consequence of the decisions it drives.</w:t>
      </w:r>
    </w:p>
    <w:p>
      <w:pPr>
        <w:pStyle w:val="GuideBody"/>
      </w:pPr>
      <w:r>
        <w:rPr>
          <w:b/>
        </w:rPr>
        <w:t xml:space="preserve">6. </w:t>
      </w:r>
      <w:r>
        <w:t>Model risk has historically been managed inside the frameworks for the risks the models measure — credit models under credit risk, valuation models under market risk — with the result that no one is accountable for the risk that the measurement itself is wrong. Comparable authorities have moved model risk into its own discipline for this reason.</w:t>
      </w:r>
    </w:p>
    <w:p>
      <w:pPr>
        <w:pStyle w:val="SourceNote"/>
      </w:pPr>
      <w:r>
        <w:t>Source: PRA SS1/23 [SE]. OSFI Guideline E-23 (2027) [SE]. US interagency guidance on model risk management, SR 26-2 / OCC 2026-13 / FDIC FIL-15-2026 [SE].</w:t>
      </w:r>
    </w:p>
    <w:p>
      <w:pPr>
        <w:pStyle w:val="GuideBody"/>
      </w:pPr>
      <w:r>
        <w:rPr>
          <w:b/>
        </w:rPr>
        <w:t xml:space="preserve">7. </w:t>
      </w:r>
      <w:r>
        <w:t>The most consequential failures observed internationally have rarely been mathematical. They have been failures of scope, where a model was not known to exist; of use, where a sound model was applied to a purpose it was not built for; of implementation, where the deployed model differed from the approved one; and of challenge, where a weakness was identified and not acted upon.</w:t>
      </w:r>
    </w:p>
    <w:p>
      <w:pPr>
        <w:pStyle w:val="DocMeta"/>
      </w:pPr>
      <w:r>
        <w:br w:type="page"/>
      </w:r>
    </w:p>
    <w:p>
      <w:pPr>
        <w:pStyle w:val="Heading1"/>
      </w:pPr>
      <w:r>
        <w:t>Scope — what is a model</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M01, M02, M03, M31</w:t>
            </w:r>
          </w:p>
        </w:tc>
      </w:tr>
    </w:tbl>
    <w:p>
      <w:pPr>
        <w:pStyle w:val="DocMeta"/>
      </w:pPr>
    </w:p>
    <w:p>
      <w:pPr>
        <w:pStyle w:val="GuideBody"/>
      </w:pPr>
      <w:r>
        <w:rPr>
          <w:b/>
        </w:rPr>
        <w:t xml:space="preserve">8. </w:t>
      </w:r>
      <w:r>
        <w:t>An entity should adopt a single enterprise definition of a model and apply it consistently. Fragmented definitions applied differently by business line produce inconsistent coverage and make aggregate model risk impossible to assess.</w:t>
      </w:r>
    </w:p>
    <w:p>
      <w:pPr>
        <w:pStyle w:val="GuideBody"/>
      </w:pPr>
      <w:r>
        <w:rPr>
          <w:b/>
        </w:rPr>
        <w:t xml:space="preserve">9. </w:t>
      </w:r>
      <w:r>
        <w:t>It is useful to think of a model as having three parts: an information input component that delivers data and assumptions, a processing component that transforms inputs into estimates, and a reporting component that translates the estimates into information a business can use. Each part can fail independently, and a failure in the first or third is as consequential as a failure in the second.</w:t>
      </w:r>
    </w:p>
    <w:p>
      <w:pPr>
        <w:pStyle w:val="SourceNote"/>
      </w:pPr>
      <w:r>
        <w:t>Source: PRA SS1/23 Principle 1.1 Model definition [SE]. OSFI Guideline E-23 (2027), key terms [SE]. The three-component description originated in the 2011 United States interagency guidance, which was rescinded on 17 April 2026; the description remains analytically useful and is retained here on that basis rather than as a current citation.</w:t>
      </w:r>
    </w:p>
    <w:p>
      <w:pPr>
        <w:pStyle w:val="Verification"/>
      </w:pPr>
      <w:r>
        <w:t>⚠ Verification: the United States interagency guidance was revised on 17 April 2026 (SR 26-2, OCC Bulletin 2026-13, FDIC FIL-15-2026), rescinding the 2011 guidance. The 2026 definition is narrower — a 'complex' quantitative method applying statistical, economic or financial theories, expressly excluding simple arithmetic such as spreadsheet calculations and deterministic rule-based processes, and expressly excluding generative and agentic AI. CPS 240 does not adopt that narrowing, for the reasons given in the standard. The divergence is deliberate.</w:t>
      </w:r>
    </w:p>
    <w:p>
      <w:pPr>
        <w:pStyle w:val="GuideBody"/>
      </w:pPr>
      <w:r>
        <w:rPr>
          <w:b/>
        </w:rPr>
        <w:t xml:space="preserve">10. </w:t>
      </w:r>
      <w:r>
        <w:t>The definition is function-based. Whether the processing component is a linear regression, a deterministic actuarial projection, a decision tree, a gradient-boosted ensemble or a large language model does not change whether the tool is a model. Defining scope by technology creates a perimeter that moves every time the technology does.</w:t>
      </w:r>
    </w:p>
    <w:p>
      <w:pPr>
        <w:pStyle w:val="GuideBody"/>
      </w:pPr>
      <w:r>
        <w:rPr>
          <w:b/>
        </w:rPr>
        <w:t xml:space="preserve">11. </w:t>
      </w:r>
      <w:r>
        <w:t>Quantitative estimates include forecasts, valuations, risk measures, scores, rankings, classifications and probabilities. A tool that produces a categorical output, such as an approve or decline recommendation, is producing a quantitative estimate expressed categorically.</w:t>
      </w:r>
    </w:p>
    <w:p>
      <w:pPr>
        <w:pStyle w:val="Heading2"/>
      </w:pPr>
      <w:r>
        <w:t>Applying the definition at the margin</w:t>
      </w:r>
    </w:p>
    <w:p>
      <w:pPr>
        <w:pStyle w:val="GuideBody"/>
      </w:pPr>
      <w:r>
        <w:rPr>
          <w:b/>
        </w:rPr>
        <w:t xml:space="preserve">12. </w:t>
      </w:r>
      <w:r>
        <w:t>Entities should expect genuine borderline cases and should decide them on a documented basis. The practical question is whether uncertainty in the method could produce a materially wrong answer that a user would not detect. Where it could, the tool should generally be managed as a model.</w:t>
      </w:r>
    </w:p>
    <w:p>
      <w:pPr>
        <w:pStyle w:val="GuideBody"/>
      </w:pPr>
      <w:r>
        <w:rPr>
          <w:b/>
        </w:rPr>
        <w:t xml:space="preserve">13. </w:t>
      </w:r>
      <w:r>
        <w:t>Tools that fall outside the definition but drive material decisions should still be controlled. Complex spreadsheets, rules engines, allocation keys, pricing calculators and end-user computing tools fail in the same ways models fail — stale assumptions, broken links, undocumented changes, key-person dependency — without the benefit of the model lifecycle.</w:t>
      </w:r>
    </w:p>
    <w:p>
      <w:pPr>
        <w:pStyle w:val="SourceNote"/>
      </w:pPr>
      <w:r>
        <w:t>Source: PRA SS1/23 Principle 1.1, which expects firms to consider quantitative methods falling outside the model definition [SE].</w:t>
      </w:r>
    </w:p>
    <w:p>
      <w:pPr>
        <w:pStyle w:val="Verification"/>
      </w:pPr>
      <w:r>
        <w:t>⚠ Verification: PRA SS1/23's five principles and 23 sub-principles were extracted verbatim from the primary supervisory statement. Principle 1 is 'Model identification and model risk classification' and Principle 5 is 'Model risk mitigants'. An earlier draft in this project described Principle 5 as 'reporting'; that was incorrect and has been corrected here.</w:t>
      </w:r>
    </w:p>
    <w:p>
      <w:pPr>
        <w:pStyle w:val="GuideBody"/>
      </w:pPr>
      <w:r>
        <w:rPr>
          <w:b/>
        </w:rPr>
        <w:t xml:space="preserve">14. </w:t>
      </w:r>
      <w:r>
        <w:t>Controls for non-model quantitative tools need not replicate the model lifecycle. Identified ownership, version control, access restriction, documented logic, change control and periodic verification that the tool still performs as intended will usually be proportionate.</w:t>
      </w:r>
    </w:p>
    <w:p>
      <w:pPr>
        <w:pStyle w:val="Heading2"/>
      </w:pPr>
      <w:r>
        <w:t>Models the entity did not build</w:t>
      </w:r>
    </w:p>
    <w:p>
      <w:pPr>
        <w:pStyle w:val="GuideBody"/>
      </w:pPr>
      <w:r>
        <w:rPr>
          <w:b/>
        </w:rPr>
        <w:t xml:space="preserve">15. </w:t>
      </w:r>
      <w:r>
        <w:t>A model is within scope because the entity relies on its output, not because the entity wrote it. Vendor models, models embedded in core banking, actuarial or treasury platforms, models inherited through acquisition, models operated by a service provider and models supplied by a parent or affiliate are all within scope.</w:t>
      </w:r>
    </w:p>
    <w:p>
      <w:pPr>
        <w:pStyle w:val="GuideBody"/>
      </w:pPr>
      <w:r>
        <w:rPr>
          <w:b/>
        </w:rPr>
        <w:t xml:space="preserve">16. </w:t>
      </w:r>
      <w:r>
        <w:t>Entities should be alert to models that arrive without a procurement decision — a feature enabled in an existing platform, an analytics capability switched on by a provider, or a tool adopted by a business team. These are the models least likely to appear in the inventory and least likely to have been assessed.</w:t>
      </w:r>
    </w:p>
    <w:p>
      <w:pPr>
        <w:pStyle w:val="DocMeta"/>
      </w:pPr>
      <w:r>
        <w:br w:type="page"/>
      </w:r>
    </w:p>
    <w:p>
      <w:pPr>
        <w:pStyle w:val="Heading1"/>
      </w:pPr>
      <w:r>
        <w:t>Proportionality and model risk tiering</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M04, M14, M15</w:t>
            </w:r>
          </w:p>
        </w:tc>
      </w:tr>
    </w:tbl>
    <w:p>
      <w:pPr>
        <w:pStyle w:val="DocMeta"/>
      </w:pPr>
    </w:p>
    <w:p>
      <w:pPr>
        <w:pStyle w:val="GuideBody"/>
      </w:pPr>
      <w:r>
        <w:rPr>
          <w:b/>
        </w:rPr>
        <w:t xml:space="preserve">17. </w:t>
      </w:r>
      <w:r>
        <w:t>Tiering is the mechanism by which proportionality is made operational. It converts a general statement that controls should reflect risk into a specific determination of how much development evidence, validation depth, monitoring frequency, approval seniority and reporting each model attracts.</w:t>
      </w:r>
    </w:p>
    <w:p>
      <w:pPr>
        <w:pStyle w:val="SourceNote"/>
      </w:pPr>
      <w:r>
        <w:t>Source: PRA SS1/23 Principle 1.3 Model tiering [SE]. OSFI Guideline E-23 (2027) Principle 2.2, on establishing a model risk rating approach that assesses key dimensions of model risk [SE].</w:t>
      </w:r>
    </w:p>
    <w:p>
      <w:pPr>
        <w:pStyle w:val="GuideBody"/>
      </w:pPr>
      <w:r>
        <w:rPr>
          <w:b/>
        </w:rPr>
        <w:t xml:space="preserve">18. </w:t>
      </w:r>
      <w:r>
        <w:t>A tiering methodology should combine quantitative and qualitative factors. Quantitative factors typically include the size of the exposure, balance, provision, capital number or customer population the model influences. Qualitative factors include complexity, transparency, data quality, degree of automation, reversibility of the consequence and the availability of an alternative.</w:t>
      </w:r>
    </w:p>
    <w:p>
      <w:pPr>
        <w:pStyle w:val="GuideBody"/>
      </w:pPr>
      <w:r>
        <w:rPr>
          <w:b/>
        </w:rPr>
        <w:t xml:space="preserve">19. </w:t>
      </w:r>
      <w:r>
        <w:t>Materiality of use should dominate technical complexity. A simple deterministic calculation that sets a regulatory capital figure or a unit price warrants a higher tier than a sophisticated model used for internal management reporting. Tiering schemes anchored to methodological sophistication systematically under-govern the models that matter most.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2608"/>
            <w:shd w:val="clear" w:color="auto" w:fill="1B335F"/>
          </w:tcPr>
          <w:p>
            <w:pPr>
              <w:pStyle w:val="TableHead"/>
            </w:pPr>
            <w:r>
              <w:rPr>
                <w:rFonts w:ascii="Arial" w:hAnsi="Arial"/>
                <w:b/>
                <w:color w:val="FFFFFF"/>
                <w:sz w:val="16"/>
              </w:rPr>
              <w:t>Factor</w:t>
            </w:r>
          </w:p>
        </w:tc>
        <w:tc>
          <w:tcPr>
            <w:tcW w:type="dxa" w:w="3402"/>
            <w:shd w:val="clear" w:color="auto" w:fill="1B335F"/>
          </w:tcPr>
          <w:p>
            <w:pPr>
              <w:pStyle w:val="TableHead"/>
            </w:pPr>
            <w:r>
              <w:rPr>
                <w:rFonts w:ascii="Arial" w:hAnsi="Arial"/>
                <w:b/>
                <w:color w:val="FFFFFF"/>
                <w:sz w:val="16"/>
              </w:rPr>
              <w:t>Lower tier indicator</w:t>
            </w:r>
          </w:p>
        </w:tc>
        <w:tc>
          <w:tcPr>
            <w:tcW w:type="dxa" w:w="3402"/>
            <w:shd w:val="clear" w:color="auto" w:fill="1B335F"/>
          </w:tcPr>
          <w:p>
            <w:pPr>
              <w:pStyle w:val="TableHead"/>
            </w:pPr>
            <w:r>
              <w:rPr>
                <w:rFonts w:ascii="Arial" w:hAnsi="Arial"/>
                <w:b/>
                <w:color w:val="FFFFFF"/>
                <w:sz w:val="16"/>
              </w:rPr>
              <w:t>Higher tier indicator</w:t>
            </w:r>
          </w:p>
        </w:tc>
      </w:tr>
      <w:tr>
        <w:tc>
          <w:tcPr>
            <w:tcW w:type="dxa" w:w="2608"/>
          </w:tcPr>
          <w:p>
            <w:pPr>
              <w:pStyle w:val="TableText"/>
            </w:pPr>
            <w:r>
              <w:rPr>
                <w:rFonts w:ascii="Arial" w:hAnsi="Arial"/>
                <w:sz w:val="16"/>
              </w:rPr>
              <w:t>Consequence of error</w:t>
            </w:r>
          </w:p>
        </w:tc>
        <w:tc>
          <w:tcPr>
            <w:tcW w:type="dxa" w:w="3402"/>
          </w:tcPr>
          <w:p>
            <w:pPr>
              <w:pStyle w:val="TableText"/>
            </w:pPr>
            <w:r>
              <w:rPr>
                <w:rFonts w:ascii="Arial" w:hAnsi="Arial"/>
                <w:sz w:val="16"/>
              </w:rPr>
              <w:t>Internal management information; readily corrected</w:t>
            </w:r>
          </w:p>
        </w:tc>
        <w:tc>
          <w:tcPr>
            <w:tcW w:type="dxa" w:w="3402"/>
          </w:tcPr>
          <w:p>
            <w:pPr>
              <w:pStyle w:val="TableText"/>
            </w:pPr>
            <w:r>
              <w:rPr>
                <w:rFonts w:ascii="Arial" w:hAnsi="Arial"/>
                <w:sz w:val="16"/>
              </w:rPr>
              <w:t>Regulatory capital, provisions, unit price, insurance liability or customer outcome</w:t>
            </w:r>
          </w:p>
        </w:tc>
      </w:tr>
      <w:tr>
        <w:tc>
          <w:tcPr>
            <w:tcW w:type="dxa" w:w="2608"/>
            <w:shd w:val="clear" w:color="auto" w:fill="F4F6FA"/>
          </w:tcPr>
          <w:p>
            <w:pPr>
              <w:pStyle w:val="TableText"/>
            </w:pPr>
            <w:r>
              <w:rPr>
                <w:rFonts w:ascii="Arial" w:hAnsi="Arial"/>
                <w:sz w:val="16"/>
              </w:rPr>
              <w:t>Reliance</w:t>
            </w:r>
          </w:p>
        </w:tc>
        <w:tc>
          <w:tcPr>
            <w:tcW w:type="dxa" w:w="3402"/>
            <w:shd w:val="clear" w:color="auto" w:fill="F4F6FA"/>
          </w:tcPr>
          <w:p>
            <w:pPr>
              <w:pStyle w:val="TableText"/>
            </w:pPr>
            <w:r>
              <w:rPr>
                <w:rFonts w:ascii="Arial" w:hAnsi="Arial"/>
                <w:sz w:val="16"/>
              </w:rPr>
              <w:t>Output is one input among several to a human decision</w:t>
            </w:r>
          </w:p>
        </w:tc>
        <w:tc>
          <w:tcPr>
            <w:tcW w:type="dxa" w:w="3402"/>
            <w:shd w:val="clear" w:color="auto" w:fill="F4F6FA"/>
          </w:tcPr>
          <w:p>
            <w:pPr>
              <w:pStyle w:val="TableText"/>
            </w:pPr>
            <w:r>
              <w:rPr>
                <w:rFonts w:ascii="Arial" w:hAnsi="Arial"/>
                <w:sz w:val="16"/>
              </w:rPr>
              <w:t>Output is determinative or applied automatically at volume</w:t>
            </w:r>
          </w:p>
        </w:tc>
      </w:tr>
      <w:tr>
        <w:tc>
          <w:tcPr>
            <w:tcW w:type="dxa" w:w="2608"/>
          </w:tcPr>
          <w:p>
            <w:pPr>
              <w:pStyle w:val="TableText"/>
            </w:pPr>
            <w:r>
              <w:rPr>
                <w:rFonts w:ascii="Arial" w:hAnsi="Arial"/>
                <w:sz w:val="16"/>
              </w:rPr>
              <w:t>Transparency</w:t>
            </w:r>
          </w:p>
        </w:tc>
        <w:tc>
          <w:tcPr>
            <w:tcW w:type="dxa" w:w="3402"/>
          </w:tcPr>
          <w:p>
            <w:pPr>
              <w:pStyle w:val="TableText"/>
            </w:pPr>
            <w:r>
              <w:rPr>
                <w:rFonts w:ascii="Arial" w:hAnsi="Arial"/>
                <w:sz w:val="16"/>
              </w:rPr>
              <w:t>Method and drivers can be explained to a non-specialist</w:t>
            </w:r>
          </w:p>
        </w:tc>
        <w:tc>
          <w:tcPr>
            <w:tcW w:type="dxa" w:w="3402"/>
          </w:tcPr>
          <w:p>
            <w:pPr>
              <w:pStyle w:val="TableText"/>
            </w:pPr>
            <w:r>
              <w:rPr>
                <w:rFonts w:ascii="Arial" w:hAnsi="Arial"/>
                <w:sz w:val="16"/>
              </w:rPr>
              <w:t>Method is opaque; drivers cannot be readily attributed</w:t>
            </w:r>
          </w:p>
        </w:tc>
      </w:tr>
      <w:tr>
        <w:tc>
          <w:tcPr>
            <w:tcW w:type="dxa" w:w="2608"/>
            <w:shd w:val="clear" w:color="auto" w:fill="F4F6FA"/>
          </w:tcPr>
          <w:p>
            <w:pPr>
              <w:pStyle w:val="TableText"/>
            </w:pPr>
            <w:r>
              <w:rPr>
                <w:rFonts w:ascii="Arial" w:hAnsi="Arial"/>
                <w:sz w:val="16"/>
              </w:rPr>
              <w:t>Data</w:t>
            </w:r>
          </w:p>
        </w:tc>
        <w:tc>
          <w:tcPr>
            <w:tcW w:type="dxa" w:w="3402"/>
            <w:shd w:val="clear" w:color="auto" w:fill="F4F6FA"/>
          </w:tcPr>
          <w:p>
            <w:pPr>
              <w:pStyle w:val="TableText"/>
            </w:pPr>
            <w:r>
              <w:rPr>
                <w:rFonts w:ascii="Arial" w:hAnsi="Arial"/>
                <w:sz w:val="16"/>
              </w:rPr>
              <w:t>Ample, directly relevant internal data</w:t>
            </w:r>
          </w:p>
        </w:tc>
        <w:tc>
          <w:tcPr>
            <w:tcW w:type="dxa" w:w="3402"/>
            <w:shd w:val="clear" w:color="auto" w:fill="F4F6FA"/>
          </w:tcPr>
          <w:p>
            <w:pPr>
              <w:pStyle w:val="TableText"/>
            </w:pPr>
            <w:r>
              <w:rPr>
                <w:rFonts w:ascii="Arial" w:hAnsi="Arial"/>
                <w:sz w:val="16"/>
              </w:rPr>
              <w:t>Sparse, proxy, external or unrepresentative data</w:t>
            </w:r>
          </w:p>
        </w:tc>
      </w:tr>
      <w:tr>
        <w:tc>
          <w:tcPr>
            <w:tcW w:type="dxa" w:w="2608"/>
          </w:tcPr>
          <w:p>
            <w:pPr>
              <w:pStyle w:val="TableText"/>
            </w:pPr>
            <w:r>
              <w:rPr>
                <w:rFonts w:ascii="Arial" w:hAnsi="Arial"/>
                <w:sz w:val="16"/>
              </w:rPr>
              <w:t>Reversibility</w:t>
            </w:r>
          </w:p>
        </w:tc>
        <w:tc>
          <w:tcPr>
            <w:tcW w:type="dxa" w:w="3402"/>
          </w:tcPr>
          <w:p>
            <w:pPr>
              <w:pStyle w:val="TableText"/>
            </w:pPr>
            <w:r>
              <w:rPr>
                <w:rFonts w:ascii="Arial" w:hAnsi="Arial"/>
                <w:sz w:val="16"/>
              </w:rPr>
              <w:t>Error detectable and correctable within a reporting period</w:t>
            </w:r>
          </w:p>
        </w:tc>
        <w:tc>
          <w:tcPr>
            <w:tcW w:type="dxa" w:w="3402"/>
          </w:tcPr>
          <w:p>
            <w:pPr>
              <w:pStyle w:val="TableText"/>
            </w:pPr>
            <w:r>
              <w:rPr>
                <w:rFonts w:ascii="Arial" w:hAnsi="Arial"/>
                <w:sz w:val="16"/>
              </w:rPr>
              <w:t>Error crystallises value transfer or is difficult to unwind</w:t>
            </w:r>
          </w:p>
        </w:tc>
      </w:tr>
      <w:tr>
        <w:tc>
          <w:tcPr>
            <w:tcW w:type="dxa" w:w="2608"/>
            <w:shd w:val="clear" w:color="auto" w:fill="F4F6FA"/>
          </w:tcPr>
          <w:p>
            <w:pPr>
              <w:pStyle w:val="TableText"/>
            </w:pPr>
            <w:r>
              <w:rPr>
                <w:rFonts w:ascii="Arial" w:hAnsi="Arial"/>
                <w:sz w:val="16"/>
              </w:rPr>
              <w:t>Alternatives</w:t>
            </w:r>
          </w:p>
        </w:tc>
        <w:tc>
          <w:tcPr>
            <w:tcW w:type="dxa" w:w="3402"/>
            <w:shd w:val="clear" w:color="auto" w:fill="F4F6FA"/>
          </w:tcPr>
          <w:p>
            <w:pPr>
              <w:pStyle w:val="TableText"/>
            </w:pPr>
            <w:r>
              <w:rPr>
                <w:rFonts w:ascii="Arial" w:hAnsi="Arial"/>
                <w:sz w:val="16"/>
              </w:rPr>
              <w:t>A credible fallback exists and has been tested</w:t>
            </w:r>
          </w:p>
        </w:tc>
        <w:tc>
          <w:tcPr>
            <w:tcW w:type="dxa" w:w="3402"/>
            <w:shd w:val="clear" w:color="auto" w:fill="F4F6FA"/>
          </w:tcPr>
          <w:p>
            <w:pPr>
              <w:pStyle w:val="TableText"/>
            </w:pPr>
            <w:r>
              <w:rPr>
                <w:rFonts w:ascii="Arial" w:hAnsi="Arial"/>
                <w:sz w:val="16"/>
              </w:rPr>
              <w:t>No practical alternative; entity is dependent on the model</w:t>
            </w:r>
          </w:p>
        </w:tc>
      </w:tr>
      <w:tr>
        <w:tc>
          <w:tcPr>
            <w:tcW w:type="dxa" w:w="2608"/>
          </w:tcPr>
          <w:p>
            <w:pPr>
              <w:pStyle w:val="TableText"/>
            </w:pPr>
            <w:r>
              <w:rPr>
                <w:rFonts w:ascii="Arial" w:hAnsi="Arial"/>
                <w:sz w:val="16"/>
              </w:rPr>
              <w:t>Change dynamics</w:t>
            </w:r>
          </w:p>
        </w:tc>
        <w:tc>
          <w:tcPr>
            <w:tcW w:type="dxa" w:w="3402"/>
          </w:tcPr>
          <w:p>
            <w:pPr>
              <w:pStyle w:val="TableText"/>
            </w:pPr>
            <w:r>
              <w:rPr>
                <w:rFonts w:ascii="Arial" w:hAnsi="Arial"/>
                <w:sz w:val="16"/>
              </w:rPr>
              <w:t>Stable method, infrequent recalibration</w:t>
            </w:r>
          </w:p>
        </w:tc>
        <w:tc>
          <w:tcPr>
            <w:tcW w:type="dxa" w:w="3402"/>
          </w:tcPr>
          <w:p>
            <w:pPr>
              <w:pStyle w:val="TableText"/>
            </w:pPr>
            <w:r>
              <w:rPr>
                <w:rFonts w:ascii="Arial" w:hAnsi="Arial"/>
                <w:sz w:val="16"/>
              </w:rPr>
              <w:t>Frequent retraining, adaptive behaviour or vendor-driven change</w:t>
            </w:r>
          </w:p>
        </w:tc>
      </w:tr>
    </w:tbl>
    <w:p>
      <w:pPr>
        <w:pStyle w:val="Caption"/>
      </w:pPr>
      <w:r>
        <w:t>Indicative tiering factors and how they translate into control intensity. Entities should calibrate to their own circumstances.</w:t>
      </w:r>
    </w:p>
    <w:p>
      <w:pPr>
        <w:pStyle w:val="GuideBody"/>
      </w:pPr>
      <w:r>
        <w:rPr>
          <w:b/>
        </w:rPr>
        <w:t xml:space="preserve">20. </w:t>
      </w:r>
      <w:r>
        <w:t>The number of tiers matters less than the difference between them. Three tiers applied with genuine differentiation are more useful than five tiers that attract broadly similar treatment. If the tiering scheme does not change what actually happens to a model, it is documentation rather than control.</w:t>
      </w:r>
    </w:p>
    <w:p>
      <w:pPr>
        <w:pStyle w:val="GuideBody"/>
      </w:pPr>
      <w:r>
        <w:rPr>
          <w:b/>
        </w:rPr>
        <w:t xml:space="preserve">21. </w:t>
      </w:r>
      <w:r>
        <w:t>Entities should monitor the distribution of models across tiers over time. A population that migrates steadily downward, or in which very few models occupy the highest tier, warrants examination of whether the criteria are being applied as designed.</w:t>
      </w:r>
    </w:p>
    <w:p>
      <w:pPr>
        <w:pStyle w:val="Heading2"/>
      </w:pPr>
      <w:r>
        <w:t>Controlled exceptions</w:t>
      </w:r>
    </w:p>
    <w:p>
      <w:pPr>
        <w:pStyle w:val="GuideBody"/>
      </w:pPr>
      <w:r>
        <w:rPr>
          <w:b/>
        </w:rPr>
        <w:t xml:space="preserve">22. </w:t>
      </w:r>
      <w:r>
        <w:t>Reduced controls should be a decision rather than an omission. An exception should identify the requirement not being met, the reason, the compensating control, the approver, the expiry date and the review point.</w:t>
      </w:r>
    </w:p>
    <w:p>
      <w:pPr>
        <w:pStyle w:val="GuideBody"/>
      </w:pPr>
      <w:r>
        <w:rPr>
          <w:b/>
        </w:rPr>
        <w:t xml:space="preserve">23. </w:t>
      </w:r>
      <w:r>
        <w:t>An exception register in which items have no expiry, or are routinely extended, indicates that the entity has adopted a lower standard rather than granted an exception. APRA supervisors may examine the age profile of exceptions as an indicator of framework effectiveness.</w:t>
      </w:r>
    </w:p>
    <w:p>
      <w:pPr>
        <w:pStyle w:val="Verification"/>
      </w:pPr>
      <w:r>
        <w:t>⚠ Verification: proportionality is expressly provided for in the PRA, OSFI and US frameworks. The specific expectation that exceptions be time-bound with recorded compensating controls is drawn from APRA's existing risk management architecture rather than from a comparator instrument, and is identified in the assessment workbook as a policy design choice.</w:t>
      </w:r>
    </w:p>
    <w:p>
      <w:pPr>
        <w:pStyle w:val="Heading2"/>
      </w:pPr>
      <w:r>
        <w:t>Reassessment</w:t>
      </w:r>
    </w:p>
    <w:p>
      <w:pPr>
        <w:pStyle w:val="GuideBody"/>
      </w:pPr>
      <w:r>
        <w:rPr>
          <w:b/>
        </w:rPr>
        <w:t xml:space="preserve">24. </w:t>
      </w:r>
      <w:r>
        <w:t>Tiers should be reassessed on a defined cycle and on the occurrence of trigger events. Triggers should include material change to the model, its data, its purpose or its user base; significant growth in the exposure or population it covers; deterioration in performance; and changes the entity did not initiate, such as a vendor version release or a change in an upstream data definition.</w:t>
      </w:r>
    </w:p>
    <w:p>
      <w:pPr>
        <w:pStyle w:val="GuideBody"/>
      </w:pPr>
      <w:r>
        <w:rPr>
          <w:b/>
        </w:rPr>
        <w:t xml:space="preserve">25. </w:t>
      </w:r>
      <w:r>
        <w:t>Reliance can grow without any change to the model. A model built for a small portfolio that is progressively applied to a larger one has become more material without being touched, and a reassessment cycle driven only by model change will not detect this.</w:t>
      </w:r>
    </w:p>
    <w:p>
      <w:pPr>
        <w:pStyle w:val="DocMeta"/>
      </w:pPr>
      <w:r>
        <w:br w:type="page"/>
      </w:r>
    </w:p>
    <w:p>
      <w:pPr>
        <w:pStyle w:val="Heading1"/>
      </w:pPr>
      <w:r>
        <w:t>Governance and accountability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M05, M06, M07, M08, M12</w:t>
            </w:r>
          </w:p>
        </w:tc>
      </w:tr>
    </w:tbl>
    <w:p>
      <w:pPr>
        <w:pStyle w:val="DocMeta"/>
      </w:pPr>
    </w:p>
    <w:p>
      <w:pPr>
        <w:pStyle w:val="GuideBody"/>
      </w:pPr>
      <w:r>
        <w:rPr>
          <w:b/>
        </w:rPr>
        <w:t xml:space="preserve">26. </w:t>
      </w:r>
      <w:r>
        <w:t>The Board should understand what the entity relies on models to do, where that reliance is concentrated, what the consequences of failure would be, how failure would be detected, and what would happen next. It is not expected to understand model methodology.</w:t>
      </w:r>
    </w:p>
    <w:p>
      <w:pPr>
        <w:pStyle w:val="SourceNote"/>
      </w:pPr>
      <w:r>
        <w:t>Source: PRA SS1/23 Principle 2 Governance, and Principle 2.1 Board of directors' responsibilities [SE]. OSFI Guideline E-23 (2027) Outcome 1 and Principle 1.1 [SE]. US interagency guidance 2026 §VI, governance and controls [SE]. CPS 220 Risk Management [B].</w:t>
      </w:r>
    </w:p>
    <w:p>
      <w:pPr>
        <w:pStyle w:val="GuideBody"/>
      </w:pPr>
      <w:r>
        <w:rPr>
          <w:b/>
        </w:rPr>
        <w:t xml:space="preserve">27. </w:t>
      </w:r>
      <w:r>
        <w:t>Board reporting should support that understanding. Useful content includes the tiering profile and its movement, validation coverage and overdue validations against tier, unresolved high-severity findings and their age, material limitations accepted and the compensating controls relied on, the aggregate size and direction of overlays, model incidents, and concentration of reliance on individual providers or methods.</w:t>
      </w:r>
    </w:p>
    <w:p>
      <w:pPr>
        <w:pStyle w:val="GuideBody"/>
      </w:pPr>
      <w:r>
        <w:rPr>
          <w:b/>
        </w:rPr>
        <w:t xml:space="preserve">28. </w:t>
      </w:r>
      <w:r>
        <w:t>Reporting should aggregate rather than enumerate. A schedule of individual model issues does not tell the Board whether model risk is rising or falling. Trend, concentration and coverage are more informative than counts.</w:t>
      </w:r>
    </w:p>
    <w:p>
      <w:pPr>
        <w:pStyle w:val="GuideBody"/>
      </w:pPr>
      <w:r>
        <w:rPr>
          <w:b/>
        </w:rPr>
        <w:t xml:space="preserve">29. </w:t>
      </w:r>
      <w:r>
        <w:t>For a smaller entity, model risk reporting may sit within existing risk reporting rather than in a standalone pack, provided the Board receives the substance and can identify model risk as a distinct matter.</w:t>
      </w:r>
    </w:p>
    <w:p>
      <w:pPr>
        <w:pStyle w:val="Heading2"/>
      </w:pPr>
      <w:r>
        <w:t>Senior accountability</w:t>
      </w:r>
    </w:p>
    <w:p>
      <w:pPr>
        <w:pStyle w:val="GuideBody"/>
      </w:pPr>
      <w:r>
        <w:rPr>
          <w:b/>
        </w:rPr>
        <w:t xml:space="preserve">30. </w:t>
      </w:r>
      <w:r>
        <w:t>A single senior executive should be accountable for the framework itself — its coverage, its consistency of application and its effectiveness. This is distinct from accountability for individual models, and exists so that framework-level failures have an owner.</w:t>
      </w:r>
    </w:p>
    <w:p>
      <w:pPr>
        <w:pStyle w:val="SourceNote"/>
      </w:pPr>
      <w:r>
        <w:t>Source: PRA SS1/23 Principle 2.2, SMF accountability for the model risk management framework [SE]. OSFI Guideline E-23 (2027) Principle 1.1 [SE].</w:t>
      </w:r>
    </w:p>
    <w:p>
      <w:pPr>
        <w:pStyle w:val="GuideBody"/>
      </w:pPr>
      <w:r>
        <w:rPr>
          <w:b/>
        </w:rPr>
        <w:t xml:space="preserve">31. </w:t>
      </w:r>
      <w:r>
        <w:t>The accountable executive should be positioned to require change. Accountability without the authority to direct remediation, or without independence from the businesses whose models are being governed, is unlikely to be effective.</w:t>
      </w:r>
    </w:p>
    <w:p>
      <w:pPr>
        <w:pStyle w:val="Verification"/>
      </w:pPr>
      <w:r>
        <w:t>⚠ Verification: the PRA allocates model risk management framework accountability to a designated senior management function. The precise interaction with the Australian accountability regime requires legal settlement and is flagged in Annex F of CPS 240.</w:t>
      </w:r>
    </w:p>
    <w:p>
      <w:pPr>
        <w:pStyle w:val="Heading2"/>
      </w:pPr>
      <w:r>
        <w:t>Model ownership</w:t>
      </w:r>
    </w:p>
    <w:p>
      <w:pPr>
        <w:pStyle w:val="GuideBody"/>
      </w:pPr>
      <w:r>
        <w:rPr>
          <w:b/>
        </w:rPr>
        <w:t xml:space="preserve">32. </w:t>
      </w:r>
      <w:r>
        <w:t>Each model should have a named owner accountable for it being fit for its approved purpose, for its documentation being current, for its performance being monitored, for its limitations being communicated to users, and for the remediation of findings. Ownership recorded in the inventory but not exercised is not ownership.</w:t>
      </w:r>
    </w:p>
    <w:p>
      <w:pPr>
        <w:pStyle w:val="GuideBody"/>
      </w:pPr>
      <w:r>
        <w:rPr>
          <w:b/>
        </w:rPr>
        <w:t xml:space="preserve">33. </w:t>
      </w:r>
      <w:r>
        <w:t>Where several businesses use the same model, the entity should distinguish ownership of the model from ownership of each use. The model can be sound while a particular use of it is not, and the two failures require different responses.</w:t>
      </w:r>
    </w:p>
    <w:p>
      <w:pPr>
        <w:pStyle w:val="SourceNote"/>
      </w:pPr>
      <w:r>
        <w:t>Source: US interagency guidance 2026 §VI, roles and responsibilities [SE]. OSFI Guideline E-23 (2027) Principle 1.1 [SE]. ECB Guide to internal models, internal governance [SE].</w:t>
      </w:r>
    </w:p>
    <w:p>
      <w:pPr>
        <w:pStyle w:val="Heading2"/>
      </w:pPr>
      <w:r>
        <w:t>Capability and independence</w:t>
      </w:r>
    </w:p>
    <w:p>
      <w:pPr>
        <w:pStyle w:val="GuideBody"/>
      </w:pPr>
      <w:r>
        <w:rPr>
          <w:b/>
        </w:rPr>
        <w:t xml:space="preserve">34. </w:t>
      </w:r>
      <w:r>
        <w:t>Validation should be performed by people who did not build the model and who do not report to those who did or to the business sponsoring its use. Where full organisational separation is impractical, the entity should be explicit about the residual conflict and how it is managed.</w:t>
      </w:r>
    </w:p>
    <w:p>
      <w:pPr>
        <w:pStyle w:val="GuideBody"/>
      </w:pPr>
      <w:r>
        <w:rPr>
          <w:b/>
        </w:rPr>
        <w:t xml:space="preserve">35. </w:t>
      </w:r>
      <w:r>
        <w:t>Independence is a matter of incentive as much as of reporting line. Where a validator's workload, progression or remuneration depends on models being approved, the control is compromised regardless of the organisational structure.</w:t>
      </w:r>
    </w:p>
    <w:p>
      <w:pPr>
        <w:pStyle w:val="GuideBody"/>
      </w:pPr>
      <w:r>
        <w:rPr>
          <w:b/>
        </w:rPr>
        <w:t xml:space="preserve">36. </w:t>
      </w:r>
      <w:r>
        <w:t>Smaller entities may achieve independence by using qualified people from elsewhere in the entity or group who were not involved in development, or by engaging an external provider. An entity that outsources validation should retain enough capability to scope the work, understand the findings and challenge the conclusions.</w:t>
      </w:r>
    </w:p>
    <w:p>
      <w:pPr>
        <w:pStyle w:val="SourceNote"/>
      </w:pPr>
      <w:r>
        <w:t>Source: US interagency guidance 2026 §V [SE]. PRA SS1/23 Principle 4.1 The independent validation function [SE]. ECB Guide to internal models, internal validation [SE].</w:t>
      </w:r>
    </w:p>
    <w:p>
      <w:pPr>
        <w:pStyle w:val="DocMeta"/>
      </w:pPr>
      <w:r>
        <w:br w:type="page"/>
      </w:r>
    </w:p>
    <w:p>
      <w:pPr>
        <w:pStyle w:val="Heading1"/>
      </w:pPr>
      <w:r>
        <w:t>Framework, appetite and policy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M09, M10, M11, M40</w:t>
            </w:r>
          </w:p>
        </w:tc>
      </w:tr>
    </w:tbl>
    <w:p>
      <w:pPr>
        <w:pStyle w:val="DocMeta"/>
      </w:pPr>
    </w:p>
    <w:p>
      <w:pPr>
        <w:pStyle w:val="GuideBody"/>
      </w:pPr>
      <w:r>
        <w:rPr>
          <w:b/>
        </w:rPr>
        <w:t xml:space="preserve">37. </w:t>
      </w:r>
      <w:r>
        <w:t>The framework should treat model risk as a risk in its own right. Treating it as a category of operational risk tends to produce incident-driven management after a failure rather than lifecycle management designed to prevent one.</w:t>
      </w:r>
    </w:p>
    <w:p>
      <w:pPr>
        <w:pStyle w:val="SourceNote"/>
      </w:pPr>
      <w:r>
        <w:t>Source: PRA SS1/23 Principle 2 [SE]. OSFI Guideline E-23 (2027) Outcome 1, that model risk is well understood and managed across the enterprise [SE]. CPS 220 Risk Management [B].</w:t>
      </w:r>
    </w:p>
    <w:p>
      <w:pPr>
        <w:pStyle w:val="GuideBody"/>
      </w:pPr>
      <w:r>
        <w:rPr>
          <w:b/>
        </w:rPr>
        <w:t xml:space="preserve">38. </w:t>
      </w:r>
      <w:r>
        <w:t>The framework should connect to, rather than duplicate, the entity's arrangements for data risk, information security, operational risk, change management, service provider management and internal audit. Where an entity operates a separate AI risk framework, the boundary between the two should be explicit.</w:t>
      </w:r>
    </w:p>
    <w:p>
      <w:pPr>
        <w:pStyle w:val="Heading2"/>
      </w:pPr>
      <w:r>
        <w:t>Model risk appetite</w:t>
      </w:r>
    </w:p>
    <w:p>
      <w:pPr>
        <w:pStyle w:val="GuideBody"/>
      </w:pPr>
      <w:r>
        <w:rPr>
          <w:b/>
        </w:rPr>
        <w:t xml:space="preserve">39. </w:t>
      </w:r>
      <w:r>
        <w:t>A model risk appetite should be capable of being breached. An appetite expressed only as a statement of intent cannot be monitored and therefore cannot constrain behaviour.</w:t>
      </w:r>
    </w:p>
    <w:p>
      <w:pPr>
        <w:pStyle w:val="GuideBody"/>
      </w:pPr>
      <w:r>
        <w:rPr>
          <w:b/>
        </w:rPr>
        <w:t xml:space="preserve">40. </w:t>
      </w:r>
      <w:r>
        <w:t>Measurable expressions available to most entities include tolerance for the proportion of high-tier models with a current validation, the permitted number and age of unresolved high-severity findings, limits on the aggregate size of overlays relative to the modelled figure, and constraints on models operating outside approved conditions of use.</w:t>
      </w:r>
    </w:p>
    <w:p>
      <w:pPr>
        <w:pStyle w:val="GuideBody"/>
      </w:pPr>
      <w:r>
        <w:rPr>
          <w:b/>
        </w:rPr>
        <w:t xml:space="preserve">41. </w:t>
      </w:r>
      <w:r>
        <w:t>Entities that cannot yet quantify aggregate model risk should say so, use coverage and qualitative measures in the interim, and set out how they intend to develop the capability. An appetite deferred until quantification is available is an appetite that does not exist.</w:t>
      </w:r>
    </w:p>
    <w:p>
      <w:pPr>
        <w:pStyle w:val="Verification"/>
      </w:pPr>
      <w:r>
        <w:t>⚠ Verification: a model risk appetite is expected by the PRA and OSFI. Requiring it to be expressed in monitorable terms is a drafting choice that makes the obligation supervisable, and is identified as a policy design choice in the assessment workbook.</w:t>
      </w:r>
    </w:p>
    <w:p>
      <w:pPr>
        <w:pStyle w:val="Heading2"/>
      </w:pPr>
      <w:r>
        <w:t>Policies and standards</w:t>
      </w:r>
    </w:p>
    <w:p>
      <w:pPr>
        <w:pStyle w:val="GuideBody"/>
      </w:pPr>
      <w:r>
        <w:rPr>
          <w:b/>
        </w:rPr>
        <w:t xml:space="preserve">42. </w:t>
      </w:r>
      <w:r>
        <w:t>Policies and standards should be applied consistently across the entity. Where different businesses apply materially different development, documentation or validation standards to models of equivalent tier, the entity should be able to justify the difference on risk grounds rather than on history or convenience.</w:t>
      </w:r>
    </w:p>
    <w:p>
      <w:pPr>
        <w:pStyle w:val="SourceNote"/>
      </w:pPr>
      <w:r>
        <w:t>Source: PRA SS1/23 Principle 2.3 Policies and procedures [SE]. OSFI Guideline E-23 (2027) Principle 3.1 [SE]. US interagency guidance 2026 §VI, governance and controls [SE].</w:t>
      </w:r>
    </w:p>
    <w:p>
      <w:pPr>
        <w:pStyle w:val="GuideBody"/>
      </w:pPr>
      <w:r>
        <w:rPr>
          <w:b/>
        </w:rPr>
        <w:t xml:space="preserve">43. </w:t>
      </w:r>
      <w:r>
        <w:t>Policies should be reviewed at least annually and version-controlled, with the substance of changes recorded. A policy library in which the current version cannot be established, or in which superseded versions remain in circulation, undermines the framework it documents.</w:t>
      </w:r>
    </w:p>
    <w:p>
      <w:pPr>
        <w:pStyle w:val="DocMeta"/>
      </w:pPr>
      <w:r>
        <w:br w:type="page"/>
      </w:r>
    </w:p>
    <w:p>
      <w:pPr>
        <w:pStyle w:val="Heading1"/>
      </w:pPr>
      <w:r>
        <w:t>Identification and inventory</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M13</w:t>
            </w:r>
          </w:p>
        </w:tc>
      </w:tr>
    </w:tbl>
    <w:p>
      <w:pPr>
        <w:pStyle w:val="DocMeta"/>
      </w:pPr>
    </w:p>
    <w:p>
      <w:pPr>
        <w:pStyle w:val="GuideBody"/>
      </w:pPr>
      <w:r>
        <w:rPr>
          <w:b/>
        </w:rPr>
        <w:t xml:space="preserve">44. </w:t>
      </w:r>
      <w:r>
        <w:t>The inventory is the foundation of the framework. No requirement in CPS 240 can be demonstrated for a model the entity does not know it has, and inventory completeness is therefore the first thing an entity should be able to evidence.</w:t>
      </w:r>
    </w:p>
    <w:p>
      <w:pPr>
        <w:pStyle w:val="SourceNote"/>
      </w:pPr>
      <w:r>
        <w:t>Source: PRA SS1/23 Principle 1.2 Model inventory [SE]. OSFI Guideline E-23 (2027) Principle 2.1, on identifying and tracking all models in use or recently decommissioned [SE]. US interagency guidance 2026 §VI, model inventory [SE].</w:t>
      </w:r>
    </w:p>
    <w:p>
      <w:pPr>
        <w:pStyle w:val="GuideBody"/>
      </w:pPr>
      <w:r>
        <w:rPr>
          <w:b/>
        </w:rPr>
        <w:t xml:space="preserve">45. </w:t>
      </w:r>
      <w:r>
        <w:t>Identification requires active discovery. Voluntary registration reliably under-reports, because the models least likely to be declared are those adopted without formal approval — precisely the population of greatest concern.</w:t>
      </w:r>
    </w:p>
    <w:p>
      <w:pPr>
        <w:pStyle w:val="GuideBody"/>
      </w:pPr>
      <w:r>
        <w:rPr>
          <w:b/>
        </w:rPr>
        <w:t xml:space="preserve">46. </w:t>
      </w:r>
      <w:r>
        <w:t>Discovery mechanisms that entities have found effective include:</w:t>
      </w:r>
    </w:p>
    <w:p>
      <w:pPr>
        <w:pStyle w:val="Bullet"/>
      </w:pPr>
      <w:r>
        <w:t>• procurement and vendor onboarding gates that ask directly whether a product contains or provides a model</w:t>
      </w:r>
    </w:p>
    <w:p>
      <w:pPr>
        <w:pStyle w:val="Bullet"/>
      </w:pPr>
      <w:r>
        <w:t>• architecture and change approval gates applied to model deployment</w:t>
      </w:r>
    </w:p>
    <w:p>
      <w:pPr>
        <w:pStyle w:val="Bullet"/>
      </w:pPr>
      <w:r>
        <w:t>• periodic attestation by business unit heads, naming the models their unit relies on</w:t>
      </w:r>
    </w:p>
    <w:p>
      <w:pPr>
        <w:pStyle w:val="Bullet"/>
      </w:pPr>
      <w:r>
        <w:t>• reconciliation of the inventory against system inventories, data flows and expenditure</w:t>
      </w:r>
    </w:p>
    <w:p>
      <w:pPr>
        <w:pStyle w:val="Bullet"/>
      </w:pPr>
      <w:r>
        <w:t>• review of material spreadsheets and end-user computing registers</w:t>
      </w:r>
    </w:p>
    <w:p>
      <w:pPr>
        <w:pStyle w:val="Bullet"/>
      </w:pPr>
      <w:r>
        <w:t>• targeted enquiry following an acquisition or a platform upgrade</w:t>
      </w:r>
    </w:p>
    <w:p>
      <w:pPr>
        <w:pStyle w:val="GuideBody"/>
      </w:pPr>
      <w:r>
        <w:rPr>
          <w:b/>
        </w:rPr>
        <w:t xml:space="preserve">47. </w:t>
      </w:r>
      <w:r>
        <w:t>The inventory should record decommissioned models where outputs they produced remain in force. A retired model that set a provision, a capital number, a customer price or an insurance liability that has not yet run off continues to carry model risk after the model itself has been switched off.</w:t>
      </w:r>
    </w:p>
    <w:p>
      <w:pPr>
        <w:pStyle w:val="GuideBody"/>
      </w:pPr>
      <w:r>
        <w:rPr>
          <w:b/>
        </w:rPr>
        <w:t xml:space="preserve">48. </w:t>
      </w:r>
      <w:r>
        <w:t>Annex B of CPS 240 sets out the minimum inventory fields. Entities should treat these as a floor. The inventory should be maintained as a controlled record with defined update responsibilities rather than as a periodically refreshed spreadsheet.</w:t>
      </w:r>
    </w:p>
    <w:p>
      <w:pPr>
        <w:pStyle w:val="Verification"/>
      </w:pPr>
      <w:r>
        <w:t>⚠ Verification: inventory obligations were confirmed from the primary text of the PRA, OSFI and US instruments. OSFI's express inclusion of recently decommissioned models is extracted from Principle 2.1 of Guideline E-23 (2027).</w:t>
      </w:r>
    </w:p>
    <w:p>
      <w:pPr>
        <w:pStyle w:val="DocMeta"/>
      </w:pPr>
      <w:r>
        <w:br w:type="page"/>
      </w:r>
    </w:p>
    <w:p>
      <w:pPr>
        <w:pStyle w:val="Heading1"/>
      </w:pPr>
      <w:r>
        <w:t>Development, data and documentation</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M16, M17, M18, M33</w:t>
            </w:r>
          </w:p>
        </w:tc>
      </w:tr>
    </w:tbl>
    <w:p>
      <w:pPr>
        <w:pStyle w:val="DocMeta"/>
      </w:pPr>
    </w:p>
    <w:p>
      <w:pPr>
        <w:pStyle w:val="GuideBody"/>
      </w:pPr>
      <w:r>
        <w:rPr>
          <w:b/>
        </w:rPr>
        <w:t xml:space="preserve">49. </w:t>
      </w:r>
      <w:r>
        <w:t>Conceptual soundness asks whether the chosen approach is appropriate for the intended purpose, given the data available and the conditions in which the model will operate. It is not answered by goodness of fit. A model that fits its development sample closely may be conceptually unsound if that sample is unrepresentative of the conditions of use.</w:t>
      </w:r>
    </w:p>
    <w:p>
      <w:pPr>
        <w:pStyle w:val="SourceNote"/>
      </w:pPr>
      <w:r>
        <w:t>Source: US interagency guidance 2026 §IV, model development and model use [SE]. PRA SS1/23 Principle 3.1 Model purpose and design [SE]. OSFI Guideline E-23 (2027) Principle 3.3 [SE].</w:t>
      </w:r>
    </w:p>
    <w:p>
      <w:pPr>
        <w:pStyle w:val="GuideBody"/>
      </w:pPr>
      <w:r>
        <w:rPr>
          <w:b/>
        </w:rPr>
        <w:t xml:space="preserve">50. </w:t>
      </w:r>
      <w:r>
        <w:t>Development should record the purpose the model is being built for, the design decisions taken, the theory or empirical basis for them, the variables considered and why they were retained or rejected, the assumptions on which the model depends, and the limitations that development did not resolve.</w:t>
      </w:r>
    </w:p>
    <w:p>
      <w:pPr>
        <w:pStyle w:val="GuideBody"/>
      </w:pPr>
      <w:r>
        <w:rPr>
          <w:b/>
        </w:rPr>
        <w:t xml:space="preserve">51. </w:t>
      </w:r>
      <w:r>
        <w:t>Reasonable alternatives should be considered and the choice recorded. Where a more transparent method would have performed acceptably, the entity should be able to explain why a less transparent one was preferred. This is not a presumption against complex methods; it is a record that the trade-off was made deliberately.</w:t>
      </w:r>
    </w:p>
    <w:p>
      <w:pPr>
        <w:pStyle w:val="GuideBody"/>
      </w:pPr>
      <w:r>
        <w:rPr>
          <w:b/>
        </w:rPr>
        <w:t xml:space="preserve">52. </w:t>
      </w:r>
      <w:r>
        <w:t>Development evidence should include the tests that were run and their results, including tests the model did not pass and how that was resolved. Documentation presenting only successful tests gives validation and approval an incomplete picture.</w:t>
      </w:r>
    </w:p>
    <w:p>
      <w:pPr>
        <w:pStyle w:val="Heading2"/>
      </w:pPr>
      <w:r>
        <w:t>Data</w:t>
      </w:r>
    </w:p>
    <w:p>
      <w:pPr>
        <w:pStyle w:val="GuideBody"/>
      </w:pPr>
      <w:r>
        <w:rPr>
          <w:b/>
        </w:rPr>
        <w:t xml:space="preserve">53. </w:t>
      </w:r>
      <w:r>
        <w:t>Data should be assessed for appropriateness as well as accuracy. Accurate data drawn from a population, product, geography or period unlike the one in which the model will be used produces confident and wrong answers, and is a more common failure than poor data quality.</w:t>
      </w:r>
    </w:p>
    <w:p>
      <w:pPr>
        <w:pStyle w:val="SourceNote"/>
      </w:pPr>
      <w:r>
        <w:t>Source: BCBS 239 Principles for effective risk data aggregation and risk reporting [B where implemented]. OSFI Guideline E-23 (2027) Principle 3.2, that data used to develop the model should be suitable for the intended use [SE]. CPG 235 Managing Data Risk [G]. ECB Guide on effective risk data aggregation and risk reporting [SE].</w:t>
      </w:r>
    </w:p>
    <w:p>
      <w:pPr>
        <w:pStyle w:val="GuideBody"/>
      </w:pPr>
      <w:r>
        <w:rPr>
          <w:b/>
        </w:rPr>
        <w:t xml:space="preserve">54. </w:t>
      </w:r>
      <w:r>
        <w:t>Entities should document data lineage to source for material models, so that a change in an upstream system or definition can be traced to the models it affects. Lineage that stops at the data warehouse does not support that assessment.</w:t>
      </w:r>
    </w:p>
    <w:p>
      <w:pPr>
        <w:pStyle w:val="GuideBody"/>
      </w:pPr>
      <w:r>
        <w:rPr>
          <w:b/>
        </w:rPr>
        <w:t xml:space="preserve">55. </w:t>
      </w:r>
      <w:r>
        <w:t>Where proxy or external data substitutes for insufficient internal data, the basis for considering the proxy suitable should be recorded and the sensitivity of the output to that choice should be tested. Proxies adopted at development frequently persist long after internal data has become available.</w:t>
      </w:r>
    </w:p>
    <w:p>
      <w:pPr>
        <w:pStyle w:val="GuideBody"/>
      </w:pPr>
      <w:r>
        <w:rPr>
          <w:b/>
        </w:rPr>
        <w:t xml:space="preserve">56. </w:t>
      </w:r>
      <w:r>
        <w:t>Synthetic data used in development or testing should be identified as such, with its generation method documented and its representativeness assessed. Testing a model on synthetic data generated from the same assumptions used to build it does not test those assumptions.</w:t>
      </w:r>
    </w:p>
    <w:p>
      <w:pPr>
        <w:pStyle w:val="Heading2"/>
      </w:pPr>
      <w:r>
        <w:t>Documentation</w:t>
      </w:r>
    </w:p>
    <w:p>
      <w:pPr>
        <w:pStyle w:val="GuideBody"/>
      </w:pPr>
      <w:r>
        <w:rPr>
          <w:b/>
        </w:rPr>
        <w:t xml:space="preserve">57. </w:t>
      </w:r>
      <w:r>
        <w:t>The practical standard for documentation is reconstruction: a competent person who was not involved in the model's development should be able to pick up the documentation and reproduce its material results. Documentation that depends on the continued availability of the developer is a key-person dependency.</w:t>
      </w:r>
    </w:p>
    <w:p>
      <w:pPr>
        <w:pStyle w:val="SourceNote"/>
      </w:pPr>
      <w:r>
        <w:t>Source: US interagency guidance 2026 §VI, documentation [SE]. PRA SS1/23 Principle 3.5 Model development documentation [SE]. ECB Guide to internal models, documentation [SE].</w:t>
      </w:r>
    </w:p>
    <w:p>
      <w:pPr>
        <w:pStyle w:val="GuideBody"/>
      </w:pPr>
      <w:r>
        <w:rPr>
          <w:b/>
        </w:rPr>
        <w:t xml:space="preserve">58. </w:t>
      </w:r>
      <w:r>
        <w:t>Documentation should be maintained through the model's life. Documentation assembled in response to a validation cycle or a supervisory request describes the model as it is remembered rather than as it was built and changed.</w:t>
      </w:r>
    </w:p>
    <w:p>
      <w:pPr>
        <w:pStyle w:val="DocMeta"/>
      </w:pPr>
      <w:r>
        <w:br w:type="page"/>
      </w:r>
    </w:p>
    <w:p>
      <w:pPr>
        <w:pStyle w:val="Heading1"/>
      </w:pPr>
      <w:r>
        <w:t>Testing, validation and approval</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M19, M20, M21, M22, M23, M24, M29, M31, M42</w:t>
            </w:r>
          </w:p>
        </w:tc>
      </w:tr>
    </w:tbl>
    <w:p>
      <w:pPr>
        <w:pStyle w:val="DocMeta"/>
      </w:pPr>
    </w:p>
    <w:p>
      <w:pPr>
        <w:pStyle w:val="GuideBody"/>
      </w:pPr>
      <w:r>
        <w:rPr>
          <w:b/>
        </w:rPr>
        <w:t xml:space="preserve">59. </w:t>
      </w:r>
      <w:r>
        <w:t>Development testing and validation are different exercises with different purposes. Development testing establishes whether the model works as its developers intended. Validation forms an independent view of whether it is fit to be relied upon.</w:t>
      </w:r>
    </w:p>
    <w:p>
      <w:pPr>
        <w:pStyle w:val="GuideBody"/>
      </w:pPr>
      <w:r>
        <w:rPr>
          <w:b/>
        </w:rPr>
        <w:t xml:space="preserve">60. </w:t>
      </w:r>
      <w:r>
        <w:t>Pre-implementation testing should cover performance under expected conditions and under stressed, boundary and unrepresentative conditions; sensitivity to key assumptions and inputs; stability over time and across segments; and behaviour at the edges of the population the model will encounter.</w:t>
      </w:r>
    </w:p>
    <w:p>
      <w:pPr>
        <w:pStyle w:val="GuideBody"/>
      </w:pPr>
      <w:r>
        <w:rPr>
          <w:b/>
        </w:rPr>
        <w:t xml:space="preserve">61. </w:t>
      </w:r>
      <w:r>
        <w:t>Testing should use data sufficiently independent of the data used to fit the model. Out-of-sample and, where possible, out-of-time testing should be standard for higher-tier models.</w:t>
      </w:r>
    </w:p>
    <w:p>
      <w:pPr>
        <w:pStyle w:val="SourceNote"/>
      </w:pPr>
      <w:r>
        <w:t>Source: US interagency guidance 2026 §IV, model testing [SE]. PRA SS1/23 Principle 3.3 Model development testing [SE].</w:t>
      </w:r>
    </w:p>
    <w:p>
      <w:pPr>
        <w:pStyle w:val="Heading2"/>
      </w:pPr>
      <w:r>
        <w:t>The three elements of validation</w:t>
      </w:r>
    </w:p>
    <w:p>
      <w:pPr>
        <w:pStyle w:val="GuideBody"/>
      </w:pPr>
      <w:r>
        <w:rPr>
          <w:b/>
        </w:rPr>
        <w:t xml:space="preserve">62. </w:t>
      </w:r>
      <w:r>
        <w:t>Validation should address three complementary components: conceptual soundness, including assessment of model design, key modelling choices, assumptions, data selection, construction and developmental evidence; outcomes analysis, comparing model outputs with corresponding real-world outcomes; and ongoing model monitoring, evaluating whether the model continues to perform as expected as products, exposures, activities, clients, data relevance or market conditions change.</w:t>
      </w:r>
    </w:p>
    <w:p>
      <w:pPr>
        <w:pStyle w:val="SourceNote"/>
      </w:pPr>
      <w:r>
        <w:t>Source: US interagency guidance 2026 §V, components of model validation [SE]. PRA SS1/23 Principle 4.2 Independent review, 4.3 Process verification and 4.4 Model performance monitoring [SE]. OSFI Guideline E-23 (2027) Principle 3.4 [SE].</w:t>
      </w:r>
    </w:p>
    <w:p>
      <w:pPr>
        <w:pStyle w:val="GuideBody"/>
      </w:pPr>
      <w:r>
        <w:rPr>
          <w:b/>
        </w:rPr>
        <w:t xml:space="preserve">63. </w:t>
      </w:r>
      <w:r>
        <w:t>No component is sufficient alone. Conceptual soundness cannot detect deterioration after implementation. Outcomes analysis can detect deterioration but not explain it. Verification that the model was built and deployed as documented says nothing about whether the design was appropriate in the first place.</w:t>
      </w:r>
    </w:p>
    <w:p>
      <w:pPr>
        <w:pStyle w:val="GuideBody"/>
      </w:pPr>
      <w:r>
        <w:rPr>
          <w:b/>
        </w:rPr>
        <w:t xml:space="preserve">64. </w:t>
      </w:r>
      <w:r>
        <w:t>Validation should test implementation as well as design — that the model as coded and running in production is the model as documented and approved. Differences in data definitions, rounding, treatment of missing values, library versions or execution order between environments can change results materially and are not detected by methodological review.</w:t>
      </w:r>
    </w:p>
    <w:p>
      <w:pPr>
        <w:pStyle w:val="GuideBody"/>
      </w:pPr>
      <w:r>
        <w:rPr>
          <w:b/>
        </w:rPr>
        <w:t xml:space="preserve">65. </w:t>
      </w:r>
      <w:r>
        <w:t>A validation report should reach an explicit conclusion on fitness for the intended use, with any conditions or limitations stated. A report that records observations without a conclusion leaves the approval decision without the input it was designed to receive.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2353"/>
        <w:gridCol w:w="2353"/>
        <w:gridCol w:w="2353"/>
        <w:gridCol w:w="2353"/>
      </w:tblGrid>
      <w:tr>
        <w:trPr>
          <w:tblHeader w:val="true"/>
        </w:trPr>
        <w:tc>
          <w:tcPr>
            <w:tcW w:type="dxa" w:w="2381"/>
            <w:shd w:val="clear" w:color="auto" w:fill="1B335F"/>
          </w:tcPr>
          <w:p>
            <w:pPr>
              <w:pStyle w:val="TableHead"/>
            </w:pPr>
            <w:r>
              <w:rPr>
                <w:rFonts w:ascii="Arial" w:hAnsi="Arial"/>
                <w:b/>
                <w:color w:val="FFFFFF"/>
                <w:sz w:val="16"/>
              </w:rPr>
              <w:t>Element</w:t>
            </w:r>
          </w:p>
        </w:tc>
        <w:tc>
          <w:tcPr>
            <w:tcW w:type="dxa" w:w="2494"/>
            <w:shd w:val="clear" w:color="auto" w:fill="1B335F"/>
          </w:tcPr>
          <w:p>
            <w:pPr>
              <w:pStyle w:val="TableHead"/>
            </w:pPr>
            <w:r>
              <w:rPr>
                <w:rFonts w:ascii="Arial" w:hAnsi="Arial"/>
                <w:b/>
                <w:color w:val="FFFFFF"/>
                <w:sz w:val="16"/>
              </w:rPr>
              <w:t>Tier 1 (highest)</w:t>
            </w:r>
          </w:p>
        </w:tc>
        <w:tc>
          <w:tcPr>
            <w:tcW w:type="dxa" w:w="2268"/>
            <w:shd w:val="clear" w:color="auto" w:fill="1B335F"/>
          </w:tcPr>
          <w:p>
            <w:pPr>
              <w:pStyle w:val="TableHead"/>
            </w:pPr>
            <w:r>
              <w:rPr>
                <w:rFonts w:ascii="Arial" w:hAnsi="Arial"/>
                <w:b/>
                <w:color w:val="FFFFFF"/>
                <w:sz w:val="16"/>
              </w:rPr>
              <w:t>Tier 2</w:t>
            </w:r>
          </w:p>
        </w:tc>
        <w:tc>
          <w:tcPr>
            <w:tcW w:type="dxa" w:w="2268"/>
            <w:shd w:val="clear" w:color="auto" w:fill="1B335F"/>
          </w:tcPr>
          <w:p>
            <w:pPr>
              <w:pStyle w:val="TableHead"/>
            </w:pPr>
            <w:r>
              <w:rPr>
                <w:rFonts w:ascii="Arial" w:hAnsi="Arial"/>
                <w:b/>
                <w:color w:val="FFFFFF"/>
                <w:sz w:val="16"/>
              </w:rPr>
              <w:t>Tier 3 (lowest)</w:t>
            </w:r>
          </w:p>
        </w:tc>
      </w:tr>
      <w:tr>
        <w:tc>
          <w:tcPr>
            <w:tcW w:type="dxa" w:w="2381"/>
          </w:tcPr>
          <w:p>
            <w:pPr>
              <w:pStyle w:val="TableText"/>
            </w:pPr>
            <w:r>
              <w:rPr>
                <w:rFonts w:ascii="Arial" w:hAnsi="Arial"/>
                <w:sz w:val="16"/>
              </w:rPr>
              <w:t>Independent validation before use</w:t>
            </w:r>
          </w:p>
        </w:tc>
        <w:tc>
          <w:tcPr>
            <w:tcW w:type="dxa" w:w="2494"/>
          </w:tcPr>
          <w:p>
            <w:pPr>
              <w:pStyle w:val="TableText"/>
            </w:pPr>
            <w:r>
              <w:rPr>
                <w:rFonts w:ascii="Arial" w:hAnsi="Arial"/>
                <w:sz w:val="16"/>
              </w:rPr>
              <w:t>Full, by a function independent of development</w:t>
            </w:r>
          </w:p>
        </w:tc>
        <w:tc>
          <w:tcPr>
            <w:tcW w:type="dxa" w:w="2268"/>
          </w:tcPr>
          <w:p>
            <w:pPr>
              <w:pStyle w:val="TableText"/>
            </w:pPr>
            <w:r>
              <w:rPr>
                <w:rFonts w:ascii="Arial" w:hAnsi="Arial"/>
                <w:sz w:val="16"/>
              </w:rPr>
              <w:t>Full, proportionate scope</w:t>
            </w:r>
          </w:p>
        </w:tc>
        <w:tc>
          <w:tcPr>
            <w:tcW w:type="dxa" w:w="2268"/>
          </w:tcPr>
          <w:p>
            <w:pPr>
              <w:pStyle w:val="TableText"/>
            </w:pPr>
            <w:r>
              <w:rPr>
                <w:rFonts w:ascii="Arial" w:hAnsi="Arial"/>
                <w:sz w:val="16"/>
              </w:rPr>
              <w:t>Review by a competent person not involved in development</w:t>
            </w:r>
          </w:p>
        </w:tc>
      </w:tr>
      <w:tr>
        <w:tc>
          <w:tcPr>
            <w:tcW w:type="dxa" w:w="2381"/>
            <w:shd w:val="clear" w:color="auto" w:fill="F4F6FA"/>
          </w:tcPr>
          <w:p>
            <w:pPr>
              <w:pStyle w:val="TableText"/>
            </w:pPr>
            <w:r>
              <w:rPr>
                <w:rFonts w:ascii="Arial" w:hAnsi="Arial"/>
                <w:sz w:val="16"/>
              </w:rPr>
              <w:t>Periodic revalidation</w:t>
            </w:r>
          </w:p>
        </w:tc>
        <w:tc>
          <w:tcPr>
            <w:tcW w:type="dxa" w:w="2494"/>
            <w:shd w:val="clear" w:color="auto" w:fill="F4F6FA"/>
          </w:tcPr>
          <w:p>
            <w:pPr>
              <w:pStyle w:val="TableText"/>
            </w:pPr>
            <w:r>
              <w:rPr>
                <w:rFonts w:ascii="Arial" w:hAnsi="Arial"/>
                <w:sz w:val="16"/>
              </w:rPr>
              <w:t>At least annually</w:t>
            </w:r>
          </w:p>
        </w:tc>
        <w:tc>
          <w:tcPr>
            <w:tcW w:type="dxa" w:w="2268"/>
            <w:shd w:val="clear" w:color="auto" w:fill="F4F6FA"/>
          </w:tcPr>
          <w:p>
            <w:pPr>
              <w:pStyle w:val="TableText"/>
            </w:pPr>
            <w:r>
              <w:rPr>
                <w:rFonts w:ascii="Arial" w:hAnsi="Arial"/>
                <w:sz w:val="16"/>
              </w:rPr>
              <w:t>Every two to three years</w:t>
            </w:r>
          </w:p>
        </w:tc>
        <w:tc>
          <w:tcPr>
            <w:tcW w:type="dxa" w:w="2268"/>
            <w:shd w:val="clear" w:color="auto" w:fill="F4F6FA"/>
          </w:tcPr>
          <w:p>
            <w:pPr>
              <w:pStyle w:val="TableText"/>
            </w:pPr>
            <w:r>
              <w:rPr>
                <w:rFonts w:ascii="Arial" w:hAnsi="Arial"/>
                <w:sz w:val="16"/>
              </w:rPr>
              <w:t>Cyclical, risk-based</w:t>
            </w:r>
          </w:p>
        </w:tc>
      </w:tr>
      <w:tr>
        <w:tc>
          <w:tcPr>
            <w:tcW w:type="dxa" w:w="2381"/>
          </w:tcPr>
          <w:p>
            <w:pPr>
              <w:pStyle w:val="TableText"/>
            </w:pPr>
            <w:r>
              <w:rPr>
                <w:rFonts w:ascii="Arial" w:hAnsi="Arial"/>
                <w:sz w:val="16"/>
              </w:rPr>
              <w:t>Outcomes analysis</w:t>
            </w:r>
          </w:p>
        </w:tc>
        <w:tc>
          <w:tcPr>
            <w:tcW w:type="dxa" w:w="2494"/>
          </w:tcPr>
          <w:p>
            <w:pPr>
              <w:pStyle w:val="TableText"/>
            </w:pPr>
            <w:r>
              <w:rPr>
                <w:rFonts w:ascii="Arial" w:hAnsi="Arial"/>
                <w:sz w:val="16"/>
              </w:rPr>
              <w:t>Continuous or quarterly, with formal backtesting</w:t>
            </w:r>
          </w:p>
        </w:tc>
        <w:tc>
          <w:tcPr>
            <w:tcW w:type="dxa" w:w="2268"/>
          </w:tcPr>
          <w:p>
            <w:pPr>
              <w:pStyle w:val="TableText"/>
            </w:pPr>
            <w:r>
              <w:rPr>
                <w:rFonts w:ascii="Arial" w:hAnsi="Arial"/>
                <w:sz w:val="16"/>
              </w:rPr>
              <w:t>Semi-annual or annual</w:t>
            </w:r>
          </w:p>
        </w:tc>
        <w:tc>
          <w:tcPr>
            <w:tcW w:type="dxa" w:w="2268"/>
          </w:tcPr>
          <w:p>
            <w:pPr>
              <w:pStyle w:val="TableText"/>
            </w:pPr>
            <w:r>
              <w:rPr>
                <w:rFonts w:ascii="Arial" w:hAnsi="Arial"/>
                <w:sz w:val="16"/>
              </w:rPr>
              <w:t>Periodic, may be qualitative</w:t>
            </w:r>
          </w:p>
        </w:tc>
      </w:tr>
      <w:tr>
        <w:tc>
          <w:tcPr>
            <w:tcW w:type="dxa" w:w="2381"/>
            <w:shd w:val="clear" w:color="auto" w:fill="F4F6FA"/>
          </w:tcPr>
          <w:p>
            <w:pPr>
              <w:pStyle w:val="TableText"/>
            </w:pPr>
            <w:r>
              <w:rPr>
                <w:rFonts w:ascii="Arial" w:hAnsi="Arial"/>
                <w:sz w:val="16"/>
              </w:rPr>
              <w:t>Benchmarking</w:t>
            </w:r>
          </w:p>
        </w:tc>
        <w:tc>
          <w:tcPr>
            <w:tcW w:type="dxa" w:w="2494"/>
            <w:shd w:val="clear" w:color="auto" w:fill="F4F6FA"/>
          </w:tcPr>
          <w:p>
            <w:pPr>
              <w:pStyle w:val="TableText"/>
            </w:pPr>
            <w:r>
              <w:rPr>
                <w:rFonts w:ascii="Arial" w:hAnsi="Arial"/>
                <w:sz w:val="16"/>
              </w:rPr>
              <w:t>Against an alternative model or challenger where practicable</w:t>
            </w:r>
          </w:p>
        </w:tc>
        <w:tc>
          <w:tcPr>
            <w:tcW w:type="dxa" w:w="2268"/>
            <w:shd w:val="clear" w:color="auto" w:fill="F4F6FA"/>
          </w:tcPr>
          <w:p>
            <w:pPr>
              <w:pStyle w:val="TableText"/>
            </w:pPr>
            <w:r>
              <w:rPr>
                <w:rFonts w:ascii="Arial" w:hAnsi="Arial"/>
                <w:sz w:val="16"/>
              </w:rPr>
              <w:t>Where practicable</w:t>
            </w:r>
          </w:p>
        </w:tc>
        <w:tc>
          <w:tcPr>
            <w:tcW w:type="dxa" w:w="2268"/>
            <w:shd w:val="clear" w:color="auto" w:fill="F4F6FA"/>
          </w:tcPr>
          <w:p>
            <w:pPr>
              <w:pStyle w:val="TableText"/>
            </w:pPr>
            <w:r>
              <w:rPr>
                <w:rFonts w:ascii="Arial" w:hAnsi="Arial"/>
                <w:sz w:val="16"/>
              </w:rPr>
              <w:t>Not ordinarily required</w:t>
            </w:r>
          </w:p>
        </w:tc>
      </w:tr>
      <w:tr>
        <w:tc>
          <w:tcPr>
            <w:tcW w:type="dxa" w:w="2381"/>
          </w:tcPr>
          <w:p>
            <w:pPr>
              <w:pStyle w:val="TableText"/>
            </w:pPr>
            <w:r>
              <w:rPr>
                <w:rFonts w:ascii="Arial" w:hAnsi="Arial"/>
                <w:sz w:val="16"/>
              </w:rPr>
              <w:t>Process verification</w:t>
            </w:r>
          </w:p>
        </w:tc>
        <w:tc>
          <w:tcPr>
            <w:tcW w:type="dxa" w:w="2494"/>
          </w:tcPr>
          <w:p>
            <w:pPr>
              <w:pStyle w:val="TableText"/>
            </w:pPr>
            <w:r>
              <w:rPr>
                <w:rFonts w:ascii="Arial" w:hAnsi="Arial"/>
                <w:sz w:val="16"/>
              </w:rPr>
              <w:t>Full, including code and environment review</w:t>
            </w:r>
          </w:p>
        </w:tc>
        <w:tc>
          <w:tcPr>
            <w:tcW w:type="dxa" w:w="2268"/>
          </w:tcPr>
          <w:p>
            <w:pPr>
              <w:pStyle w:val="TableText"/>
            </w:pPr>
            <w:r>
              <w:rPr>
                <w:rFonts w:ascii="Arial" w:hAnsi="Arial"/>
                <w:sz w:val="16"/>
              </w:rPr>
              <w:t>Targeted</w:t>
            </w:r>
          </w:p>
        </w:tc>
        <w:tc>
          <w:tcPr>
            <w:tcW w:type="dxa" w:w="2268"/>
          </w:tcPr>
          <w:p>
            <w:pPr>
              <w:pStyle w:val="TableText"/>
            </w:pPr>
            <w:r>
              <w:rPr>
                <w:rFonts w:ascii="Arial" w:hAnsi="Arial"/>
                <w:sz w:val="16"/>
              </w:rPr>
              <w:t>Confirmation of implementation</w:t>
            </w:r>
          </w:p>
        </w:tc>
      </w:tr>
      <w:tr>
        <w:tc>
          <w:tcPr>
            <w:tcW w:type="dxa" w:w="2381"/>
            <w:shd w:val="clear" w:color="auto" w:fill="F4F6FA"/>
          </w:tcPr>
          <w:p>
            <w:pPr>
              <w:pStyle w:val="TableText"/>
            </w:pPr>
            <w:r>
              <w:rPr>
                <w:rFonts w:ascii="Arial" w:hAnsi="Arial"/>
                <w:sz w:val="16"/>
              </w:rPr>
              <w:t>Approval authority</w:t>
            </w:r>
          </w:p>
        </w:tc>
        <w:tc>
          <w:tcPr>
            <w:tcW w:type="dxa" w:w="2494"/>
            <w:shd w:val="clear" w:color="auto" w:fill="F4F6FA"/>
          </w:tcPr>
          <w:p>
            <w:pPr>
              <w:pStyle w:val="TableText"/>
            </w:pPr>
            <w:r>
              <w:rPr>
                <w:rFonts w:ascii="Arial" w:hAnsi="Arial"/>
                <w:sz w:val="16"/>
              </w:rPr>
              <w:t>Board committee or designated senior forum</w:t>
            </w:r>
          </w:p>
        </w:tc>
        <w:tc>
          <w:tcPr>
            <w:tcW w:type="dxa" w:w="2268"/>
            <w:shd w:val="clear" w:color="auto" w:fill="F4F6FA"/>
          </w:tcPr>
          <w:p>
            <w:pPr>
              <w:pStyle w:val="TableText"/>
            </w:pPr>
            <w:r>
              <w:rPr>
                <w:rFonts w:ascii="Arial" w:hAnsi="Arial"/>
                <w:sz w:val="16"/>
              </w:rPr>
              <w:t>Senior executive or model risk committee</w:t>
            </w:r>
          </w:p>
        </w:tc>
        <w:tc>
          <w:tcPr>
            <w:tcW w:type="dxa" w:w="2268"/>
            <w:shd w:val="clear" w:color="auto" w:fill="F4F6FA"/>
          </w:tcPr>
          <w:p>
            <w:pPr>
              <w:pStyle w:val="TableText"/>
            </w:pPr>
            <w:r>
              <w:rPr>
                <w:rFonts w:ascii="Arial" w:hAnsi="Arial"/>
                <w:sz w:val="16"/>
              </w:rPr>
              <w:t>Delegated within policy</w:t>
            </w:r>
          </w:p>
        </w:tc>
      </w:tr>
    </w:tbl>
    <w:p>
      <w:pPr>
        <w:pStyle w:val="Caption"/>
      </w:pPr>
      <w:r>
        <w:t>Indicative validation intensity by tier. Frequencies are illustrative; entities should calibrate them and define the events that trigger validation outside the cycle.</w:t>
      </w:r>
    </w:p>
    <w:p>
      <w:pPr>
        <w:pStyle w:val="Verification"/>
      </w:pPr>
      <w:r>
        <w:t>⚠ Verification: the three core elements of validation are extracted from the US interagency guidance, which remains supervisory guidance rather than a regulation. Validation frequencies in the table above are illustrative drafting and are not taken from any comparator instrument; they are identified as a policy design choice in the assessment workbook.</w:t>
      </w:r>
    </w:p>
    <w:p>
      <w:pPr>
        <w:pStyle w:val="Heading2"/>
      </w:pPr>
      <w:r>
        <w:t>Effective challenge</w:t>
      </w:r>
    </w:p>
    <w:p>
      <w:pPr>
        <w:pStyle w:val="GuideBody"/>
      </w:pPr>
      <w:r>
        <w:rPr>
          <w:b/>
        </w:rPr>
        <w:t xml:space="preserve">66. </w:t>
      </w:r>
      <w:r>
        <w:t>Effective challenge is critical and objective analysis by people with three attributes together: the expertise to identify model limitations, sufficient independence to maintain objectivity, and the organisational standing and influence to bring about change. Removing any one defeats the control while leaving its documentation intact. Entities should also attend to incentives, since a challenger rewarded for clearing models will not challenge for long.</w:t>
      </w:r>
    </w:p>
    <w:p>
      <w:pPr>
        <w:pStyle w:val="SourceNote"/>
      </w:pPr>
      <w:r>
        <w:t>Source: US interagency guidance 2026 §III, effective challenge [SE]. PRA SS1/23 Principle 4 Independent model validation [SE].</w:t>
      </w:r>
    </w:p>
    <w:p>
      <w:pPr>
        <w:pStyle w:val="GuideBody"/>
      </w:pPr>
      <w:r>
        <w:rPr>
          <w:b/>
        </w:rPr>
        <w:t xml:space="preserve">67. </w:t>
      </w:r>
      <w:r>
        <w:t>Indicators that challenge is not effective include findings consistently closed by explanation rather than by change, findings downgraded in severity without new evidence, validation conclusions that soften late in the approval process, and validation functions whose resourcing is set by the businesses whose models they review.</w:t>
      </w:r>
    </w:p>
    <w:p>
      <w:pPr>
        <w:pStyle w:val="GuideBody"/>
      </w:pPr>
      <w:r>
        <w:rPr>
          <w:b/>
        </w:rPr>
        <w:t xml:space="preserve">68. </w:t>
      </w:r>
      <w:r>
        <w:t>Entities should periodically assess whether challenge is working, rather than assuming it from the existence of a validation function. Analysis of finding closure routes, severity migration and elapsed time to remediation is more informative than validation completion rates.</w:t>
      </w:r>
    </w:p>
    <w:p>
      <w:pPr>
        <w:pStyle w:val="Heading2"/>
      </w:pPr>
      <w:r>
        <w:t>Vendor validation</w:t>
      </w:r>
    </w:p>
    <w:p>
      <w:pPr>
        <w:pStyle w:val="GuideBody"/>
      </w:pPr>
      <w:r>
        <w:rPr>
          <w:b/>
        </w:rPr>
        <w:t xml:space="preserve">69. </w:t>
      </w:r>
      <w:r>
        <w:t>Vendor validation reports, certifications and third-party audit opinions may inform the entity's validation. They do not discharge it, because they are not designed around the entity's data, portfolio, controls or intended use. An entity relying on them should record what they cover and what remains for the entity to test.</w:t>
      </w:r>
    </w:p>
    <w:p>
      <w:pPr>
        <w:pStyle w:val="Heading2"/>
      </w:pPr>
      <w:r>
        <w:t>Approval</w:t>
      </w:r>
    </w:p>
    <w:p>
      <w:pPr>
        <w:pStyle w:val="GuideBody"/>
      </w:pPr>
      <w:r>
        <w:rPr>
          <w:b/>
        </w:rPr>
        <w:t xml:space="preserve">70. </w:t>
      </w:r>
      <w:r>
        <w:t>Approval should be of a specific model version for a specific purpose under specific conditions. Approval expressed in general terms leaves no basis on which to determine later whether the model is being used as approved.</w:t>
      </w:r>
    </w:p>
    <w:p>
      <w:pPr>
        <w:pStyle w:val="GuideBody"/>
      </w:pPr>
      <w:r>
        <w:rPr>
          <w:b/>
        </w:rPr>
        <w:t xml:space="preserve">71. </w:t>
      </w:r>
      <w:r>
        <w:t>The approval record should identify the approved version, the permitted uses and users, any limits on application, the monitoring thresholds that apply, the limitations accepted and the compensating controls relied upon, and the date by which the model must be reviewed.</w:t>
      </w:r>
    </w:p>
    <w:p>
      <w:pPr>
        <w:pStyle w:val="SourceNote"/>
      </w:pPr>
      <w:r>
        <w:t>Source: OSFI Guideline E-23 (2027), model approval within the model lifecycle [SE]. ECB Guide to internal models [SE].</w:t>
      </w:r>
    </w:p>
    <w:p>
      <w:pPr>
        <w:pStyle w:val="GuideBody"/>
      </w:pPr>
      <w:r>
        <w:rPr>
          <w:b/>
        </w:rPr>
        <w:t xml:space="preserve">72. </w:t>
      </w:r>
      <w:r>
        <w:t>Approval despite unresolved high-severity findings should be exceptional, time-bound, supported by compensating controls and escalated to the forum that set the model risk appetite.</w:t>
      </w:r>
    </w:p>
    <w:p>
      <w:pPr>
        <w:pStyle w:val="DocMeta"/>
      </w:pPr>
      <w:r>
        <w:br w:type="page"/>
      </w:r>
    </w:p>
    <w:p>
      <w:pPr>
        <w:pStyle w:val="Heading1"/>
      </w:pPr>
      <w:r>
        <w:t>Implementation, use and change</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M12, M24, M25, M26, M27</w:t>
            </w:r>
          </w:p>
        </w:tc>
      </w:tr>
    </w:tbl>
    <w:p>
      <w:pPr>
        <w:pStyle w:val="DocMeta"/>
      </w:pPr>
    </w:p>
    <w:p>
      <w:pPr>
        <w:pStyle w:val="GuideBody"/>
      </w:pPr>
      <w:r>
        <w:rPr>
          <w:b/>
        </w:rPr>
        <w:t xml:space="preserve">73. </w:t>
      </w:r>
      <w:r>
        <w:t>Implementation is an under-appreciated source of model failure. Validation focused on methodology will not detect that the production model differs from the approved one, and such differences arise routinely from environment, data pipeline and configuration differences rather than from deliberate change.</w:t>
      </w:r>
    </w:p>
    <w:p>
      <w:pPr>
        <w:pStyle w:val="GuideBody"/>
      </w:pPr>
      <w:r>
        <w:rPr>
          <w:b/>
        </w:rPr>
        <w:t xml:space="preserve">74. </w:t>
      </w:r>
      <w:r>
        <w:t>Entities should verify, before a model is relied upon in production, that it reproduces the approved model's results on a controlled set of cases, and should repeat that verification after material infrastructure or data pipeline change.</w:t>
      </w:r>
    </w:p>
    <w:p>
      <w:pPr>
        <w:pStyle w:val="SourceNote"/>
      </w:pPr>
      <w:r>
        <w:t>Source: Former SR 11-7 §IV, implementation — not carried forward as a separate heading in the 2026 guidance [SE]. OSFI Guideline E-23 (2027) Principle 3.5, that models should be deployed in an environment with quality and change control processes [SE]. PRA SS1/23 Principle 3.6 Supporting systems [SE].</w:t>
      </w:r>
    </w:p>
    <w:p>
      <w:pPr>
        <w:pStyle w:val="Heading2"/>
      </w:pPr>
      <w:r>
        <w:t>Change</w:t>
      </w:r>
    </w:p>
    <w:p>
      <w:pPr>
        <w:pStyle w:val="GuideBody"/>
      </w:pPr>
      <w:r>
        <w:rPr>
          <w:b/>
        </w:rPr>
        <w:t xml:space="preserve">75. </w:t>
      </w:r>
      <w:r>
        <w:t>Change assessment should consider the change both in isolation and cumulatively. A sequence of individually immaterial recalibrations can move a model materially away from the version that was validated, and change frameworks that assess only the increment will not detect this.</w:t>
      </w:r>
    </w:p>
    <w:p>
      <w:pPr>
        <w:pStyle w:val="GuideBody"/>
      </w:pPr>
      <w:r>
        <w:rPr>
          <w:b/>
        </w:rPr>
        <w:t xml:space="preserve">76. </w:t>
      </w:r>
      <w:r>
        <w:t>Changes the entity did not initiate are still changes to its model risk profile. A vendor version release, a change in an upstream data definition, a change in the composition of a portfolio the model is applied to, or a change in the regulatory basis of a calculation should each enter the change assessment.</w:t>
      </w:r>
    </w:p>
    <w:p>
      <w:pPr>
        <w:pStyle w:val="SourceNote"/>
      </w:pPr>
      <w:r>
        <w:t>Source: ECB Guide to internal models, management of model changes [SE]. OSFI Guideline E-23 (2027) Principle 3.5 [SE].</w:t>
      </w:r>
    </w:p>
    <w:p>
      <w:pPr>
        <w:pStyle w:val="Heading2"/>
      </w:pPr>
      <w:r>
        <w:t>Use</w:t>
      </w:r>
    </w:p>
    <w:p>
      <w:pPr>
        <w:pStyle w:val="GuideBody"/>
      </w:pPr>
      <w:r>
        <w:rPr>
          <w:b/>
        </w:rPr>
        <w:t xml:space="preserve">77. </w:t>
      </w:r>
      <w:r>
        <w:t>Misuse of a sound model is one of the two recognised sources of model risk and is frequently the less well controlled. Common patterns include applying a model built to rank relative risk to set absolute prices, applying a model developed on one portfolio to another, and continuing to rely on a model in conditions it was known not to cover.</w:t>
      </w:r>
    </w:p>
    <w:p>
      <w:pPr>
        <w:pStyle w:val="SourceNote"/>
      </w:pPr>
      <w:r>
        <w:t>Source: Former SR 11-7 §III, the two sources of model risk — the 2026 guidance retains the misuse limb [SE]. PRA SS1/23 Principle 3 [SE]. ECB Guide to internal models, use test [SE].</w:t>
      </w:r>
    </w:p>
    <w:p>
      <w:pPr>
        <w:pStyle w:val="GuideBody"/>
      </w:pPr>
      <w:r>
        <w:rPr>
          <w:b/>
        </w:rPr>
        <w:t xml:space="preserve">78. </w:t>
      </w:r>
      <w:r>
        <w:t>Users should be given the model's limitations, not merely have access to them. Limitations recorded in a validation report that users do not read are not communicated. Entities should consider embedding limitations and conditions of use in the systems through which users receive model output.</w:t>
      </w:r>
    </w:p>
    <w:p>
      <w:pPr>
        <w:pStyle w:val="Heading2"/>
      </w:pPr>
      <w:r>
        <w:t>Overlays and expert judgement</w:t>
      </w:r>
    </w:p>
    <w:p>
      <w:pPr>
        <w:pStyle w:val="GuideBody"/>
      </w:pPr>
      <w:r>
        <w:rPr>
          <w:b/>
        </w:rPr>
        <w:t xml:space="preserve">79. </w:t>
      </w:r>
      <w:r>
        <w:t>Adjustments to model output should be governed with the same discipline as the model. The basis, the quantification, the approver, the duration and the conditions for removal should each be recorded.</w:t>
      </w:r>
    </w:p>
    <w:p>
      <w:pPr>
        <w:pStyle w:val="SourceNote"/>
      </w:pPr>
      <w:r>
        <w:t>Source: PRA SS1/23 Principle 5.1 Process for applying post-model adjustments [SE]. ECB Guide to internal models, margin of conservatism [SE].</w:t>
      </w:r>
    </w:p>
    <w:p>
      <w:pPr>
        <w:pStyle w:val="GuideBody"/>
      </w:pPr>
      <w:r>
        <w:rPr>
          <w:b/>
        </w:rPr>
        <w:t xml:space="preserve">80. </w:t>
      </w:r>
      <w:r>
        <w:t>A persistent overlay in a consistent direction is evidence about the model rather than a correction to it. Where an entity has adjusted a model's output in the same direction for successive periods, the appropriate response is usually redevelopment rather than continued adjustment.</w:t>
      </w:r>
    </w:p>
    <w:p>
      <w:pPr>
        <w:pStyle w:val="GuideBody"/>
      </w:pPr>
      <w:r>
        <w:rPr>
          <w:b/>
        </w:rPr>
        <w:t xml:space="preserve">81. </w:t>
      </w:r>
      <w:r>
        <w:t>Overlays should be reported in aggregate. Individually approved adjustments can collectively become the dominant driver of a reported figure without any single approval having considered that effect.</w:t>
      </w:r>
    </w:p>
    <w:p>
      <w:pPr>
        <w:pStyle w:val="Verification"/>
      </w:pPr>
      <w:r>
        <w:t>⚠ Verification: post-model adjustments are addressed expressly by PRA SS1/23 Principle 5.1, which defines them to include model overlays, management overlays and model overrides. The ECB addresses the same issue through the margin of conservatism framework for internal models.</w:t>
      </w:r>
    </w:p>
    <w:p>
      <w:pPr>
        <w:pStyle w:val="DocMeta"/>
      </w:pPr>
      <w:r>
        <w:br w:type="page"/>
      </w:r>
    </w:p>
    <w:p>
      <w:pPr>
        <w:pStyle w:val="Heading1"/>
      </w:pPr>
      <w:r>
        <w:t>Monitoring, mitigants and retirement</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M28, M29, M30</w:t>
            </w:r>
          </w:p>
        </w:tc>
      </w:tr>
    </w:tbl>
    <w:p>
      <w:pPr>
        <w:pStyle w:val="DocMeta"/>
      </w:pPr>
    </w:p>
    <w:p>
      <w:pPr>
        <w:pStyle w:val="GuideBody"/>
      </w:pPr>
      <w:r>
        <w:rPr>
          <w:b/>
        </w:rPr>
        <w:t xml:space="preserve">82. </w:t>
      </w:r>
      <w:r>
        <w:t>Monitoring should test whether the conditions that made the model valid continue to hold, not only whether its output has moved. A model can produce stable output while the relationships it depends on have broken down.</w:t>
      </w:r>
    </w:p>
    <w:p>
      <w:pPr>
        <w:pStyle w:val="SourceNote"/>
      </w:pPr>
      <w:r>
        <w:t>Source: US interagency guidance 2026 §V, ongoing model monitoring [SE]. PRA SS1/23 Principle 4.4 Model performance monitoring [SE]. OSFI Guideline E-23 (2027) Principle 3.6 [SE].</w:t>
      </w:r>
    </w:p>
    <w:p>
      <w:pPr>
        <w:pStyle w:val="GuideBody"/>
      </w:pPr>
      <w:r>
        <w:rPr>
          <w:b/>
        </w:rPr>
        <w:t xml:space="preserve">83. </w:t>
      </w:r>
      <w:r>
        <w:t>Thresholds should be set in advance and linked to a defined response — investigation, escalation, restriction of use, revalidation, overlay or withdrawal. A threshold that produces a note rather than an action is not a control.</w:t>
      </w:r>
    </w:p>
    <w:p>
      <w:pPr>
        <w:pStyle w:val="GuideBody"/>
      </w:pPr>
      <w:r>
        <w:rPr>
          <w:b/>
        </w:rPr>
        <w:t xml:space="preserve">84. </w:t>
      </w:r>
      <w:r>
        <w:t>Monitoring should cover input data as well as output. Shifts in the distribution, completeness or definition of inputs frequently precede deterioration in output and provide earlier warning.</w:t>
      </w:r>
    </w:p>
    <w:p>
      <w:pPr>
        <w:pStyle w:val="Heading2"/>
      </w:pPr>
      <w:r>
        <w:t>Limitations and remediation</w:t>
      </w:r>
    </w:p>
    <w:p>
      <w:pPr>
        <w:pStyle w:val="GuideBody"/>
      </w:pPr>
      <w:r>
        <w:rPr>
          <w:b/>
        </w:rPr>
        <w:t xml:space="preserve">85. </w:t>
      </w:r>
      <w:r>
        <w:t>Compensating controls should be specific to the limitation they address. A general statement that outputs are subject to management review does not compensate for a known bias in a particular segment, because it does not direct attention to that segment.</w:t>
      </w:r>
    </w:p>
    <w:p>
      <w:pPr>
        <w:pStyle w:val="SourceNote"/>
      </w:pPr>
      <w:r>
        <w:t>Source: PRA SS1/23 Principle 5 Model risk mitigants, and Principle 5.2 Restrictions on model use [SE].</w:t>
      </w:r>
    </w:p>
    <w:p>
      <w:pPr>
        <w:pStyle w:val="GuideBody"/>
      </w:pPr>
      <w:r>
        <w:rPr>
          <w:b/>
        </w:rPr>
        <w:t xml:space="preserve">86. </w:t>
      </w:r>
      <w:r>
        <w:t>Entities should monitor how findings are closed. A high proportion closed by rationale, deferral or reclassification rather than by change indicates that remediation is not functioning, even where closure rates appear satisfactory.</w:t>
      </w:r>
    </w:p>
    <w:p>
      <w:pPr>
        <w:pStyle w:val="Heading2"/>
      </w:pPr>
      <w:r>
        <w:t>Restriction, suspension and retirement</w:t>
      </w:r>
    </w:p>
    <w:p>
      <w:pPr>
        <w:pStyle w:val="GuideBody"/>
      </w:pPr>
      <w:r>
        <w:rPr>
          <w:b/>
        </w:rPr>
        <w:t xml:space="preserve">87. </w:t>
      </w:r>
      <w:r>
        <w:t>An entity should know in advance what it would do if a material model became unusable — whether an alternative exists, how long it would take to bring into service, and what the interim basis for decisions would be. For models supporting a critical operation, this should be tested.</w:t>
      </w:r>
    </w:p>
    <w:p>
      <w:pPr>
        <w:pStyle w:val="SourceNote"/>
      </w:pPr>
      <w:r>
        <w:t>Source: OSFI Guideline E-23 (2027) Principle 3.6, model decommission [SE]. CPS 230 Operational Risk Management [B].</w:t>
      </w:r>
    </w:p>
    <w:p>
      <w:pPr>
        <w:pStyle w:val="GuideBody"/>
      </w:pPr>
      <w:r>
        <w:rPr>
          <w:b/>
        </w:rPr>
        <w:t xml:space="preserve">88. </w:t>
      </w:r>
      <w:r>
        <w:t>Decommissioning should address downstream models that consume the retired model's output, decisions and balances that remain in force, retained records, and the disposition of data. Retirement that switches off the model without addressing its residue leaves risk in place without an owner.</w:t>
      </w:r>
    </w:p>
    <w:p>
      <w:pPr>
        <w:pStyle w:val="DocMeta"/>
      </w:pPr>
      <w:r>
        <w:br w:type="page"/>
      </w:r>
    </w:p>
    <w:p>
      <w:pPr>
        <w:pStyle w:val="Heading1"/>
      </w:pPr>
      <w:r>
        <w:t>Third-party models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M31, M32</w:t>
            </w:r>
          </w:p>
        </w:tc>
      </w:tr>
    </w:tbl>
    <w:p>
      <w:pPr>
        <w:pStyle w:val="DocMeta"/>
      </w:pPr>
    </w:p>
    <w:p>
      <w:pPr>
        <w:pStyle w:val="GuideBody"/>
      </w:pPr>
      <w:r>
        <w:rPr>
          <w:b/>
        </w:rPr>
        <w:t xml:space="preserve">89. </w:t>
      </w:r>
      <w:r>
        <w:t>A third-party model is subject to the same framework as an internally developed one. The entity's ability to inspect it is lower, which increases rather than reduces the work required to gain assurance.</w:t>
      </w:r>
    </w:p>
    <w:p>
      <w:pPr>
        <w:pStyle w:val="SourceNote"/>
      </w:pPr>
      <w:r>
        <w:t>Source: US interagency guidance 2026 §VII, vendor and other third-party products [SE]. PRA SS1/23 Principle 2.6 Use of externally developed models, third-party vendor products [SE]. OSFI Guideline E-23 (2027), third-party models [SE].</w:t>
      </w:r>
    </w:p>
    <w:p>
      <w:pPr>
        <w:pStyle w:val="GuideBody"/>
      </w:pPr>
      <w:r>
        <w:rPr>
          <w:b/>
        </w:rPr>
        <w:t xml:space="preserve">90. </w:t>
      </w:r>
      <w:r>
        <w:t>Where a provider will not disclose methodology, the entity should intensify what it can do independently: benchmarking against an alternative, outcomes analysis on its own portfolio, sensitivity testing through controlled variation of inputs, and tighter conditions of use. Opacity should narrow the approved use, not widen the tolerance.</w:t>
      </w:r>
    </w:p>
    <w:p>
      <w:pPr>
        <w:pStyle w:val="GuideBody"/>
      </w:pPr>
      <w:r>
        <w:rPr>
          <w:b/>
        </w:rPr>
        <w:t xml:space="preserve">91. </w:t>
      </w:r>
      <w:r>
        <w:t>An entity should not accept from a provider a level of opacity it would not accept from an internal development team for a model of the same tier.</w:t>
      </w:r>
    </w:p>
    <w:p>
      <w:pPr>
        <w:pStyle w:val="Heading2"/>
      </w:pPr>
      <w:r>
        <w:t>Information rights</w:t>
      </w:r>
    </w:p>
    <w:p>
      <w:pPr>
        <w:pStyle w:val="GuideBody"/>
      </w:pPr>
      <w:r>
        <w:rPr>
          <w:b/>
        </w:rPr>
        <w:t xml:space="preserve">92. </w:t>
      </w:r>
      <w:r>
        <w:t>Information rights should be usable in practice. A contractual audit right the entity has neither the capability nor the intention to exercise provides little assurance. Rights to timely notice of material model change, to performance information and to incident notification are generally more valuable.</w:t>
      </w:r>
    </w:p>
    <w:p>
      <w:pPr>
        <w:pStyle w:val="SourceNote"/>
      </w:pPr>
      <w:r>
        <w:t>Source: CPS 230 Operational Risk Management, service provider management [B]. BCBS Principles for the sound management of third-party risk [B where implemented].</w:t>
      </w:r>
    </w:p>
    <w:p>
      <w:pPr>
        <w:pStyle w:val="GuideBody"/>
      </w:pPr>
      <w:r>
        <w:rPr>
          <w:b/>
        </w:rPr>
        <w:t xml:space="preserve">93. </w:t>
      </w:r>
      <w:r>
        <w:t>CPS 240 does not require access to vendor source code or training data. It requires sufficient information, or sufficient compensating control, for the entity to form a view on fitness for its own use.</w:t>
      </w:r>
    </w:p>
    <w:p>
      <w:pPr>
        <w:pStyle w:val="Heading2"/>
      </w:pPr>
      <w:r>
        <w:t>Concentration</w:t>
      </w:r>
    </w:p>
    <w:p>
      <w:pPr>
        <w:pStyle w:val="GuideBody"/>
      </w:pPr>
      <w:r>
        <w:rPr>
          <w:b/>
        </w:rPr>
        <w:t xml:space="preserve">94. </w:t>
      </w:r>
      <w:r>
        <w:t>Concentration should be assessed at entity level and, so far as observable, across the industry. Widespread reliance on the same external model, data source or platform can produce correlated error across firms even where each firm's own governance is sound, and this is a supervisory concern that no individual firm's controls address.</w:t>
      </w:r>
    </w:p>
    <w:p>
      <w:pPr>
        <w:pStyle w:val="SourceNote"/>
      </w:pPr>
      <w:r>
        <w:t>Source: FSB, The Financial Stability Implications of Artificial Intelligence [A]. BCBS Principles for the sound management of third-party risk [B where implemented].</w:t>
      </w:r>
    </w:p>
    <w:p>
      <w:pPr>
        <w:pStyle w:val="DocMeta"/>
      </w:pPr>
      <w:r>
        <w:br w:type="page"/>
      </w:r>
    </w:p>
    <w:p>
      <w:pPr>
        <w:pStyle w:val="Heading1"/>
      </w:pPr>
      <w:r>
        <w:t>Artificial intelligence and machine learning models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M25, M33, M34</w:t>
            </w:r>
          </w:p>
        </w:tc>
      </w:tr>
    </w:tbl>
    <w:p>
      <w:pPr>
        <w:pStyle w:val="DocMeta"/>
      </w:pPr>
    </w:p>
    <w:p>
      <w:pPr>
        <w:pStyle w:val="GuideBody"/>
      </w:pPr>
      <w:r>
        <w:rPr>
          <w:b/>
        </w:rPr>
        <w:t xml:space="preserve">95. </w:t>
      </w:r>
      <w:r>
        <w:t>An artificial intelligence or machine learning model is a model. Every requirement of CPS 240 applies to it. This chapter addresses the respects in which those requirements are harder to satisfy, not a separate regime.</w:t>
      </w:r>
    </w:p>
    <w:p>
      <w:pPr>
        <w:pStyle w:val="SourceNote"/>
      </w:pPr>
      <w:r>
        <w:t>Source: OSFI Guideline E-23 (2027), which expressly brings AI and machine learning models within model risk management [SE]. MAS, Artificial Intelligence Model Risk Management information paper [G]. BCBS, Digitalisation of finance [A].</w:t>
      </w:r>
    </w:p>
    <w:p>
      <w:pPr>
        <w:pStyle w:val="GuideBody"/>
      </w:pPr>
      <w:r>
        <w:rPr>
          <w:b/>
        </w:rPr>
        <w:t xml:space="preserve">96. </w:t>
      </w:r>
      <w:r>
        <w:t>The characteristic difficulties are limited explainability, sensitivity to data drift, instability across retraining cycles, susceptibility to feature leakage, the potential for outcomes that differ systematically across groups, and dependence on externally supplied models whose construction cannot be inspected.</w:t>
      </w:r>
    </w:p>
    <w:p>
      <w:pPr>
        <w:pStyle w:val="Heading2"/>
      </w:pPr>
      <w:r>
        <w:t>Explainability</w:t>
      </w:r>
    </w:p>
    <w:p>
      <w:pPr>
        <w:pStyle w:val="GuideBody"/>
      </w:pPr>
      <w:r>
        <w:rPr>
          <w:b/>
        </w:rPr>
        <w:t xml:space="preserve">97. </w:t>
      </w:r>
      <w:r>
        <w:t>Explainability should be assessed against what the entity actually needs to do: satisfy itself the model is sound, monitor it, explain an outcome to a person affected by it, and meet applicable legal obligations. These require different depths of explanation and an absolute standard is neither achievable nor useful.</w:t>
      </w:r>
    </w:p>
    <w:p>
      <w:pPr>
        <w:pStyle w:val="GuideBody"/>
      </w:pPr>
      <w:r>
        <w:rPr>
          <w:b/>
        </w:rPr>
        <w:t xml:space="preserve">98. </w:t>
      </w:r>
      <w:r>
        <w:t>Where explainability is limited, outcome-based controls should be intensified rather than relaxed. Suitable measures include comparison against a more transparent benchmark model, stability testing across retraining cycles, subgroup outcome analysis, monitoring of input distribution shift, and narrower conditions of use.</w:t>
      </w:r>
    </w:p>
    <w:p>
      <w:pPr>
        <w:pStyle w:val="Verification"/>
      </w:pPr>
      <w:r>
        <w:t>⚠ Verification: an absolute explainability requirement was considered and rejected. Comparator authorities consistently frame explainability as fit-for-purpose and permit compensating controls where full explainability is not achievable. This is recorded in the red-team audit trail.</w:t>
      </w:r>
    </w:p>
    <w:p>
      <w:pPr>
        <w:pStyle w:val="Heading2"/>
      </w:pPr>
      <w:r>
        <w:t>Retraining and adaptive behaviour</w:t>
      </w:r>
    </w:p>
    <w:p>
      <w:pPr>
        <w:pStyle w:val="GuideBody"/>
      </w:pPr>
      <w:r>
        <w:rPr>
          <w:b/>
        </w:rPr>
        <w:t xml:space="preserve">99. </w:t>
      </w:r>
      <w:r>
        <w:t>Where a model retrains automatically, the entity should define the envelope within which retraining is authorised — the data it may use, the performance bounds it must remain within, and the parameters it may adjust — and should treat movement outside that envelope as a model change requiring assessment.</w:t>
      </w:r>
    </w:p>
    <w:p>
      <w:pPr>
        <w:pStyle w:val="GuideBody"/>
      </w:pPr>
      <w:r>
        <w:rPr>
          <w:b/>
        </w:rPr>
        <w:t xml:space="preserve">100. </w:t>
      </w:r>
      <w:r>
        <w:t>Retraining should be monitored for stability. A model whose behaviour changes materially between retraining cycles on similar data is exhibiting a form of instability that periodic validation will not detect.</w:t>
      </w:r>
    </w:p>
    <w:p>
      <w:pPr>
        <w:pStyle w:val="Heading2"/>
      </w:pPr>
      <w:r>
        <w:t>Boundary with AI risk management</w:t>
      </w:r>
    </w:p>
    <w:p>
      <w:pPr>
        <w:pStyle w:val="GuideBody"/>
      </w:pPr>
      <w:r>
        <w:rPr>
          <w:b/>
        </w:rPr>
        <w:t xml:space="preserve">101. </w:t>
      </w:r>
      <w:r>
        <w:t>Where an entity operates a separate AI risk management framework, the two address different risks in the same system. CPS 240 governs whether a quantitative output is fit to be relied upon. AI risk management governs the wider consequences of the system's operation, including security, autonomy, data handling, human oversight and resilience.</w:t>
      </w:r>
    </w:p>
    <w:p>
      <w:pPr>
        <w:pStyle w:val="GuideBody"/>
      </w:pPr>
      <w:r>
        <w:rPr>
          <w:b/>
        </w:rPr>
        <w:t xml:space="preserve">102. </w:t>
      </w:r>
      <w:r>
        <w:t>A generative or agentic system that produces no quantitative estimate used in decision-making is generally not a model, but remains subject to the entity's AI risk arrangements. A generative system used to produce an estimate that drives a material decision falls within both.</w:t>
      </w:r>
    </w:p>
    <w:p>
      <w:pPr>
        <w:pStyle w:val="GuideBody"/>
      </w:pPr>
      <w:r>
        <w:rPr>
          <w:b/>
        </w:rPr>
        <w:t xml:space="preserve">103. </w:t>
      </w:r>
      <w:r>
        <w:t>The entity should record, for each AI system, which framework or frameworks apply, so that the boundary is a documented determination that can be reviewed rather than an assumption that can leave a system ungoverned.</w:t>
      </w:r>
    </w:p>
    <w:p>
      <w:pPr>
        <w:pStyle w:val="Verification"/>
      </w:pPr>
      <w:r>
        <w:t>⚠ Verification: no comparator authority operates parallel model risk and AI risk instruments; OSFI deliberately brought AI within a single model risk guideline. The boundary rule in CPS 240 is therefore an Australian drafting choice arising from the proposed two-instrument architecture, and is identified as a policy design choice requiring consultation.</w:t>
      </w:r>
    </w:p>
    <w:p>
      <w:pPr>
        <w:pStyle w:val="DocMeta"/>
      </w:pPr>
      <w:r>
        <w:br w:type="page"/>
      </w:r>
    </w:p>
    <w:p>
      <w:pPr>
        <w:pStyle w:val="Heading1"/>
      </w:pPr>
      <w:r>
        <w:t>Specialist model classes</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M35, M36, M37, M38, M39</w:t>
            </w:r>
          </w:p>
        </w:tc>
      </w:tr>
    </w:tbl>
    <w:p>
      <w:pPr>
        <w:pStyle w:val="DocMeta"/>
      </w:pPr>
    </w:p>
    <w:p>
      <w:pPr>
        <w:pStyle w:val="GuideBody"/>
      </w:pPr>
      <w:r>
        <w:rPr>
          <w:b/>
        </w:rPr>
        <w:t xml:space="preserve">104. </w:t>
      </w:r>
      <w:r>
        <w:t>Models used to determine a regulatory capital requirement remain subject to the approval and change requirements of the applicable capital standard. CPS 240 sits alongside those requirements and does not displace them; where the two overlap, the more specific requirement prevails.</w:t>
      </w:r>
    </w:p>
    <w:p>
      <w:pPr>
        <w:pStyle w:val="SourceNote"/>
      </w:pPr>
      <w:r>
        <w:t>Source: APS 113 Capital Adequacy: Internal Ratings-based Approach to Credit Risk [B]. ECB Guide to internal models [SE], interpreting binding Capital Requirements Regulation provisions [B]. PRA SS1/23, which applies to firms with internal model approval [SE].</w:t>
      </w:r>
    </w:p>
    <w:p>
      <w:pPr>
        <w:pStyle w:val="GuideBody"/>
      </w:pPr>
      <w:r>
        <w:rPr>
          <w:b/>
        </w:rPr>
        <w:t xml:space="preserve">105. </w:t>
      </w:r>
      <w:r>
        <w:t>The requirement that an approved capital model be used in internal risk management is substantive rather than formal. Where a model is maintained for regulatory reporting while the business is managed on a different basis, one of the two is not trusted, and the entity should be able to explain which and why.</w:t>
      </w:r>
    </w:p>
    <w:p>
      <w:pPr>
        <w:pStyle w:val="Heading2"/>
      </w:pPr>
      <w:r>
        <w:t>Valuation and financial reporting</w:t>
      </w:r>
    </w:p>
    <w:p>
      <w:pPr>
        <w:pStyle w:val="GuideBody"/>
      </w:pPr>
      <w:r>
        <w:rPr>
          <w:b/>
        </w:rPr>
        <w:t xml:space="preserve">106. </w:t>
      </w:r>
      <w:r>
        <w:t>Valuation models concentrate model risk because the output is the reported number rather than an input to a decision a person subsequently makes. Level 3 valuations, illiquid exposures and modelled expected credit loss are the most sensitive to assumption choice and warrant the most independent scrutiny.</w:t>
      </w:r>
    </w:p>
    <w:p>
      <w:pPr>
        <w:pStyle w:val="SourceNote"/>
      </w:pPr>
      <w:r>
        <w:t>Source: BCBS, Supervisory guidance for assessing banks' financial instrument fair value practices [B where implemented].</w:t>
      </w:r>
    </w:p>
    <w:p>
      <w:pPr>
        <w:pStyle w:val="GuideBody"/>
      </w:pPr>
      <w:r>
        <w:rPr>
          <w:b/>
        </w:rPr>
        <w:t xml:space="preserve">107. </w:t>
      </w:r>
      <w:r>
        <w:t>Independent price verification is a distinct control from model validation. Both are expected for material valuation models, and an entity should not treat the presence of one as satisfying the other.</w:t>
      </w:r>
    </w:p>
    <w:p>
      <w:pPr>
        <w:pStyle w:val="Heading2"/>
      </w:pPr>
      <w:r>
        <w:t>Actuarial and insurance models</w:t>
      </w:r>
    </w:p>
    <w:p>
      <w:pPr>
        <w:pStyle w:val="GuideBody"/>
      </w:pPr>
      <w:r>
        <w:rPr>
          <w:b/>
        </w:rPr>
        <w:t xml:space="preserve">108. </w:t>
      </w:r>
      <w:r>
        <w:t>For an insurer, the Appointed Actuary framework already provides a form of independent professional review that will discharge a substantial part of the validation expectation for many actuarial models. It does not automatically discharge all of it, particularly implementation verification and data quality assessment.</w:t>
      </w:r>
    </w:p>
    <w:p>
      <w:pPr>
        <w:pStyle w:val="GuideBody"/>
      </w:pPr>
      <w:r>
        <w:rPr>
          <w:b/>
        </w:rPr>
        <w:t xml:space="preserve">109. </w:t>
      </w:r>
      <w:r>
        <w:t>Insurers should map which elements of CPS 240 validation are met through the actuarial control cycle and which require separate work, rather than assuming complete overlap in either direction. The mapping should be documented and reviewed.</w:t>
      </w:r>
    </w:p>
    <w:p>
      <w:pPr>
        <w:pStyle w:val="Verification"/>
      </w:pPr>
      <w:r>
        <w:t>⚠ Verification: OSFI's extension of Guideline E-23 (2027) to life and property and casualty insurers establishes the precedent for applying model risk management to insurance models. The specific interaction with the Australian Appointed Actuary framework is an Australian drafting question flagged for legal settlement.</w:t>
      </w:r>
    </w:p>
    <w:p>
      <w:pPr>
        <w:pStyle w:val="Heading2"/>
      </w:pPr>
      <w:r>
        <w:t>Superannuation models</w:t>
      </w:r>
    </w:p>
    <w:p>
      <w:pPr>
        <w:pStyle w:val="GuideBody"/>
      </w:pPr>
      <w:r>
        <w:rPr>
          <w:b/>
        </w:rPr>
        <w:t xml:space="preserve">110. </w:t>
      </w:r>
      <w:r>
        <w:t>For an RSE licensee, unit pricing and asset valuation models directly determine amounts credited to member accounts. An error is realised as a transfer of value between members and is frequently difficult to reverse, which places these models at the higher end of any reasonable tiering assessment.</w:t>
      </w:r>
    </w:p>
    <w:p>
      <w:pPr>
        <w:pStyle w:val="GuideBody"/>
      </w:pPr>
      <w:r>
        <w:rPr>
          <w:b/>
        </w:rPr>
        <w:t xml:space="preserve">111. </w:t>
      </w:r>
      <w:r>
        <w:t>Liquidity models supporting investment strategy should be tested against the conditions in which they would actually be relied upon, rather than against normal conditions in which liquidity is not in question.</w:t>
      </w:r>
    </w:p>
    <w:p>
      <w:pPr>
        <w:pStyle w:val="Verification"/>
      </w:pPr>
      <w:r>
        <w:t>⚠ Verification: no comparator authority addresses superannuation model risk. Application to RSE licensees is an Australian policy design choice arising from the cross-industry scope of the proposed standard, and is identified as such in the assessment workbook.</w:t>
      </w:r>
    </w:p>
    <w:p>
      <w:pPr>
        <w:pStyle w:val="Heading2"/>
      </w:pPr>
      <w:r>
        <w:t>Stress testing and scenario models</w:t>
      </w:r>
    </w:p>
    <w:p>
      <w:pPr>
        <w:pStyle w:val="GuideBody"/>
      </w:pPr>
      <w:r>
        <w:rPr>
          <w:b/>
        </w:rPr>
        <w:t xml:space="preserve">112. </w:t>
      </w:r>
      <w:r>
        <w:t>Stress testing models are used where historical data is least informative, so their results depend heavily on assumption and expert judgement. That makes the governance of assumptions the principal control rather than a reason to reduce governance.</w:t>
      </w:r>
    </w:p>
    <w:p>
      <w:pPr>
        <w:pStyle w:val="SourceNote"/>
      </w:pPr>
      <w:r>
        <w:t>Source: BCBS Stress testing principles [B where implemented]. CPS 220 Risk Management [B].</w:t>
      </w:r>
    </w:p>
    <w:p>
      <w:pPr>
        <w:pStyle w:val="GuideBody"/>
      </w:pPr>
      <w:r>
        <w:rPr>
          <w:b/>
        </w:rPr>
        <w:t xml:space="preserve">113. </w:t>
      </w:r>
      <w:r>
        <w:t>Forward-looking scenario models addressing risks with limited historical precedent, including climate scenarios, should be presented to decision-makers with the uncertainty in their outputs made explicit, and should not be reported with a precision the method cannot support.</w:t>
      </w:r>
    </w:p>
    <w:p>
      <w:pPr>
        <w:pStyle w:val="DocMeta"/>
      </w:pPr>
      <w:r>
        <w:br w:type="page"/>
      </w:r>
    </w:p>
    <w:p>
      <w:pPr>
        <w:pStyle w:val="Heading1"/>
      </w:pPr>
      <w:r>
        <w:t>Aggregate model risk, records and assurance</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60" w:type="dxa"/>
          <w:left w:w="130" w:type="dxa"/>
          <w:bottom w:w="60" w:type="dxa"/>
          <w:right w:w="130" w:type="dxa"/>
        </w:tblCellMar>
      </w:tblPr>
      <w:tblGrid>
        <w:gridCol w:w="9412"/>
      </w:tblGrid>
      <w:tr>
        <w:tc>
          <w:tcPr>
            <w:tcW w:type="dxa" w:w="9411"/>
            <w:shd w:val="clear" w:color="auto" w:fill="EEF2F8"/>
          </w:tcPr>
          <w:p>
            <w:pPr/>
            <w:r>
              <w:rPr>
                <w:rFonts w:ascii="Arial" w:hAnsi="Arial"/>
                <w:b/>
                <w:color w:val="1B335F"/>
                <w:sz w:val="18"/>
              </w:rPr>
              <w:t>CPS 240 cross-reference: M40, M41, M42, M43</w:t>
            </w:r>
          </w:p>
        </w:tc>
      </w:tr>
    </w:tbl>
    <w:p>
      <w:pPr>
        <w:pStyle w:val="DocMeta"/>
      </w:pPr>
    </w:p>
    <w:p>
      <w:pPr>
        <w:pStyle w:val="GuideBody"/>
      </w:pPr>
      <w:r>
        <w:rPr>
          <w:b/>
        </w:rPr>
        <w:t xml:space="preserve">114. </w:t>
      </w:r>
      <w:r>
        <w:t>Aggregate assessment need not begin with quantification. Concentration of reliance, correlation of method and data across models, common assumptions, and the extent of unvalidated or overdue models are all informative and are generally available before a quantification capability exists.</w:t>
      </w:r>
    </w:p>
    <w:p>
      <w:pPr>
        <w:pStyle w:val="SourceNote"/>
      </w:pPr>
      <w:r>
        <w:t>Source: PRA SS1/23 Principle 5 [SE]. ECB supervisory review of model risk [SE].</w:t>
      </w:r>
    </w:p>
    <w:p>
      <w:pPr>
        <w:pStyle w:val="GuideBody"/>
      </w:pPr>
      <w:r>
        <w:rPr>
          <w:b/>
        </w:rPr>
        <w:t xml:space="preserve">115. </w:t>
      </w:r>
      <w:r>
        <w:t>Where an entity concludes that no capital is warranted in respect of model risk, that conclusion should be reasoned and recorded. Reaching it by omission is not a conclusion.</w:t>
      </w:r>
    </w:p>
    <w:p>
      <w:pPr>
        <w:pStyle w:val="GuideBody"/>
      </w:pPr>
      <w:r>
        <w:rPr>
          <w:b/>
        </w:rPr>
        <w:t xml:space="preserve">116. </w:t>
      </w:r>
      <w:r>
        <w:t>Correlation deserves particular attention. Models that share a data source, a vendor, a core assumption or a development team can fail together, and an aggregate view built by summing independent assessments will understate that exposure.</w:t>
      </w:r>
    </w:p>
    <w:p>
      <w:pPr>
        <w:pStyle w:val="Heading2"/>
      </w:pPr>
      <w:r>
        <w:t>Records</w:t>
      </w:r>
    </w:p>
    <w:p>
      <w:pPr>
        <w:pStyle w:val="GuideBody"/>
      </w:pPr>
      <w:r>
        <w:rPr>
          <w:b/>
        </w:rPr>
        <w:t xml:space="preserve">117. </w:t>
      </w:r>
      <w:r>
        <w:t>Reconstructability allows a supervisor, auditor, actuary or court to establish what the entity knew and when. It should be designed into the model's operation rather than assembled after the event, because the records that matter most are usually those not retained by default.</w:t>
      </w:r>
    </w:p>
    <w:p>
      <w:pPr>
        <w:pStyle w:val="GuideBody"/>
      </w:pPr>
      <w:r>
        <w:rPr>
          <w:b/>
        </w:rPr>
        <w:t xml:space="preserve">118. </w:t>
      </w:r>
      <w:r>
        <w:t>Retention periods should align with the entity's other prudential record-keeping obligations and with the period over which the decisions the model informed remain material. For long-tail insurance liabilities and superannuation member outcomes, that period can be considerably longer than for credit decisions.</w:t>
      </w:r>
    </w:p>
    <w:p>
      <w:pPr>
        <w:pStyle w:val="Heading2"/>
      </w:pPr>
      <w:r>
        <w:t>Assurance</w:t>
      </w:r>
    </w:p>
    <w:p>
      <w:pPr>
        <w:pStyle w:val="GuideBody"/>
      </w:pPr>
      <w:r>
        <w:rPr>
          <w:b/>
        </w:rPr>
        <w:t xml:space="preserve">119. </w:t>
      </w:r>
      <w:r>
        <w:t>Internal audit's role is to assess whether the framework works, not to re-perform validation. Testing whether findings are genuinely resolved, whether tiering is applied consistently across businesses, and whether the inventory is complete is generally more informative than re-examining model methodology.</w:t>
      </w:r>
    </w:p>
    <w:p>
      <w:pPr>
        <w:pStyle w:val="SourceNote"/>
      </w:pPr>
      <w:r>
        <w:t>Source: PRA SS1/23 Principle 2.5 Internal Audit [SE]. US interagency guidance 2026 §VI, roles and responsibilities [SE]. ECB Guide to internal models, internal audit [SE].</w:t>
      </w:r>
    </w:p>
    <w:p>
      <w:pPr>
        <w:pStyle w:val="GuideBody"/>
      </w:pPr>
      <w:r>
        <w:rPr>
          <w:b/>
        </w:rPr>
        <w:t xml:space="preserve">120. </w:t>
      </w:r>
      <w:r>
        <w:t>Where internal audit lacks the technical capability to assess validation quality, the entity should obtain that capability, through co-sourcing or specialist recruitment, rather than narrow the scope of the assurance to what the existing team can cover.</w:t>
      </w:r>
    </w:p>
    <w:p>
      <w:pPr>
        <w:pStyle w:val="Heading2"/>
      </w:pPr>
      <w:r>
        <w:t>Engagement with APRA</w:t>
      </w:r>
    </w:p>
    <w:p>
      <w:pPr>
        <w:pStyle w:val="GuideBody"/>
      </w:pPr>
      <w:r>
        <w:rPr>
          <w:b/>
        </w:rPr>
        <w:t xml:space="preserve">121. </w:t>
      </w:r>
      <w:r>
        <w:t>Early engagement is expected where an entity identifies a material weakness in a model used for regulatory capital, reserving or reporting. Engagement at the point the correction is finalised gives APRA no opportunity to consider the issue while options remain open.</w:t>
      </w:r>
    </w:p>
    <w:p>
      <w:pPr>
        <w:pStyle w:val="GuideBody"/>
      </w:pPr>
      <w:r>
        <w:rPr>
          <w:b/>
        </w:rPr>
        <w:t xml:space="preserve">122. </w:t>
      </w:r>
      <w:r>
        <w:t>Where a model failure is also an operational risk or information security incident, the notification requirements of the applicable prudential standards apply. CPS 240 does not create a separate or conflicting deadline.</w:t>
      </w:r>
    </w:p>
    <w:p>
      <w:pPr>
        <w:pStyle w:val="Verification"/>
      </w:pPr>
      <w:r>
        <w:t>⚠ Verification: the decision not to introduce a model-risk-specific notification deadline was deliberate. Introducing one risked conflicting with existing materiality criteria and timeframes, and is recorded as a correction in the red-team audit trail.</w:t>
      </w:r>
    </w:p>
    <w:p>
      <w:pPr>
        <w:pStyle w:val="DocMeta"/>
      </w:pPr>
      <w:r>
        <w:br w:type="page"/>
      </w:r>
    </w:p>
    <w:p>
      <w:pPr>
        <w:pStyle w:val="Heading1"/>
      </w:pPr>
      <w:r>
        <w:t>Implementation</w:t>
      </w:r>
    </w:p>
    <w:p>
      <w:pPr>
        <w:pStyle w:val="GuideBody"/>
      </w:pPr>
      <w:r>
        <w:rPr>
          <w:b/>
        </w:rPr>
        <w:t xml:space="preserve">123. </w:t>
      </w:r>
      <w:r>
        <w:t>APRA recognises that meeting CPS 240 will require material uplift for many entities, particularly in inventory completeness, tiering consistency and validation coverage. The following phasing is indicative and would be settled through consultation.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1928"/>
            <w:shd w:val="clear" w:color="auto" w:fill="1B335F"/>
          </w:tcPr>
          <w:p>
            <w:pPr>
              <w:pStyle w:val="TableHead"/>
            </w:pPr>
            <w:r>
              <w:rPr>
                <w:rFonts w:ascii="Arial" w:hAnsi="Arial"/>
                <w:b/>
                <w:color w:val="FFFFFF"/>
                <w:sz w:val="16"/>
              </w:rPr>
              <w:t>Phase</w:t>
            </w:r>
          </w:p>
        </w:tc>
        <w:tc>
          <w:tcPr>
            <w:tcW w:type="dxa" w:w="2268"/>
            <w:shd w:val="clear" w:color="auto" w:fill="1B335F"/>
          </w:tcPr>
          <w:p>
            <w:pPr>
              <w:pStyle w:val="TableHead"/>
            </w:pPr>
            <w:r>
              <w:rPr>
                <w:rFonts w:ascii="Arial" w:hAnsi="Arial"/>
                <w:b/>
                <w:color w:val="FFFFFF"/>
                <w:sz w:val="16"/>
              </w:rPr>
              <w:t>Focus</w:t>
            </w:r>
          </w:p>
        </w:tc>
        <w:tc>
          <w:tcPr>
            <w:tcW w:type="dxa" w:w="5216"/>
            <w:shd w:val="clear" w:color="auto" w:fill="1B335F"/>
          </w:tcPr>
          <w:p>
            <w:pPr>
              <w:pStyle w:val="TableHead"/>
            </w:pPr>
            <w:r>
              <w:rPr>
                <w:rFonts w:ascii="Arial" w:hAnsi="Arial"/>
                <w:b/>
                <w:color w:val="FFFFFF"/>
                <w:sz w:val="16"/>
              </w:rPr>
              <w:t>Indicative activities</w:t>
            </w:r>
          </w:p>
        </w:tc>
      </w:tr>
      <w:tr>
        <w:tc>
          <w:tcPr>
            <w:tcW w:type="dxa" w:w="1928"/>
          </w:tcPr>
          <w:p>
            <w:pPr>
              <w:pStyle w:val="TableText"/>
            </w:pPr>
            <w:r>
              <w:rPr>
                <w:rFonts w:ascii="Arial" w:hAnsi="Arial"/>
                <w:sz w:val="16"/>
              </w:rPr>
              <w:t>Phase 1</w:t>
            </w:r>
          </w:p>
        </w:tc>
        <w:tc>
          <w:tcPr>
            <w:tcW w:type="dxa" w:w="2268"/>
          </w:tcPr>
          <w:p>
            <w:pPr>
              <w:pStyle w:val="TableText"/>
            </w:pPr>
            <w:r>
              <w:rPr>
                <w:rFonts w:ascii="Arial" w:hAnsi="Arial"/>
                <w:sz w:val="16"/>
              </w:rPr>
              <w:t>Foundation</w:t>
            </w:r>
          </w:p>
        </w:tc>
        <w:tc>
          <w:tcPr>
            <w:tcW w:type="dxa" w:w="5216"/>
          </w:tcPr>
          <w:p>
            <w:pPr>
              <w:pStyle w:val="TableText"/>
            </w:pPr>
            <w:r>
              <w:rPr>
                <w:rFonts w:ascii="Arial" w:hAnsi="Arial"/>
                <w:sz w:val="16"/>
              </w:rPr>
              <w:t>Designate the accountable executive. Adopt the model definition. Establish the framework and policy. Begin enterprise discovery and populate the inventory.</w:t>
            </w:r>
          </w:p>
        </w:tc>
      </w:tr>
      <w:tr>
        <w:tc>
          <w:tcPr>
            <w:tcW w:type="dxa" w:w="1928"/>
            <w:shd w:val="clear" w:color="auto" w:fill="F4F6FA"/>
          </w:tcPr>
          <w:p>
            <w:pPr>
              <w:pStyle w:val="TableText"/>
            </w:pPr>
            <w:r>
              <w:rPr>
                <w:rFonts w:ascii="Arial" w:hAnsi="Arial"/>
                <w:sz w:val="16"/>
              </w:rPr>
              <w:t>Phase 2</w:t>
            </w:r>
          </w:p>
        </w:tc>
        <w:tc>
          <w:tcPr>
            <w:tcW w:type="dxa" w:w="2268"/>
            <w:shd w:val="clear" w:color="auto" w:fill="F4F6FA"/>
          </w:tcPr>
          <w:p>
            <w:pPr>
              <w:pStyle w:val="TableText"/>
            </w:pPr>
            <w:r>
              <w:rPr>
                <w:rFonts w:ascii="Arial" w:hAnsi="Arial"/>
                <w:sz w:val="16"/>
              </w:rPr>
              <w:t>Classification and coverage</w:t>
            </w:r>
          </w:p>
        </w:tc>
        <w:tc>
          <w:tcPr>
            <w:tcW w:type="dxa" w:w="5216"/>
            <w:shd w:val="clear" w:color="auto" w:fill="F4F6FA"/>
          </w:tcPr>
          <w:p>
            <w:pPr>
              <w:pStyle w:val="TableText"/>
            </w:pPr>
            <w:r>
              <w:rPr>
                <w:rFonts w:ascii="Arial" w:hAnsi="Arial"/>
                <w:sz w:val="16"/>
              </w:rPr>
              <w:t>Complete the inventory. Apply tiering across the population. Establish validation arrangements for the highest tier. Set model risk appetite and reporting.</w:t>
            </w:r>
          </w:p>
        </w:tc>
      </w:tr>
      <w:tr>
        <w:tc>
          <w:tcPr>
            <w:tcW w:type="dxa" w:w="1928"/>
          </w:tcPr>
          <w:p>
            <w:pPr>
              <w:pStyle w:val="TableText"/>
            </w:pPr>
            <w:r>
              <w:rPr>
                <w:rFonts w:ascii="Arial" w:hAnsi="Arial"/>
                <w:sz w:val="16"/>
              </w:rPr>
              <w:t>Phase 3</w:t>
            </w:r>
          </w:p>
        </w:tc>
        <w:tc>
          <w:tcPr>
            <w:tcW w:type="dxa" w:w="2268"/>
          </w:tcPr>
          <w:p>
            <w:pPr>
              <w:pStyle w:val="TableText"/>
            </w:pPr>
            <w:r>
              <w:rPr>
                <w:rFonts w:ascii="Arial" w:hAnsi="Arial"/>
                <w:sz w:val="16"/>
              </w:rPr>
              <w:t>Full operation</w:t>
            </w:r>
          </w:p>
        </w:tc>
        <w:tc>
          <w:tcPr>
            <w:tcW w:type="dxa" w:w="5216"/>
          </w:tcPr>
          <w:p>
            <w:pPr>
              <w:pStyle w:val="TableText"/>
            </w:pPr>
            <w:r>
              <w:rPr>
                <w:rFonts w:ascii="Arial" w:hAnsi="Arial"/>
                <w:sz w:val="16"/>
              </w:rPr>
              <w:t>Validation coverage complete for material models. Monitoring, change control and overlay governance operating. Independent assurance performed. Aggregate reporting to the Board established.</w:t>
            </w:r>
          </w:p>
        </w:tc>
      </w:tr>
    </w:tbl>
    <w:p>
      <w:pPr>
        <w:pStyle w:val="Caption"/>
      </w:pPr>
      <w:r>
        <w:t>Indicative implementation phasing. Dates are illustrative and subject to consultation and to the commencement provisions ultimately settled.</w:t>
      </w:r>
    </w:p>
    <w:p>
      <w:pPr>
        <w:pStyle w:val="GuideBody"/>
      </w:pPr>
      <w:r>
        <w:rPr>
          <w:b/>
        </w:rPr>
        <w:t xml:space="preserve">124. </w:t>
      </w:r>
      <w:r>
        <w:t>Entities should sequence by risk rather than by convenience. Establishing validation for the highest-tier models before completing the inventory of the lowest is generally the better order, provided discovery continues in parallel.</w:t>
      </w:r>
    </w:p>
    <w:p>
      <w:pPr>
        <w:pStyle w:val="GuideBody"/>
      </w:pPr>
      <w:r>
        <w:rPr>
          <w:b/>
        </w:rPr>
        <w:t xml:space="preserve">125. </w:t>
      </w:r>
      <w:r>
        <w:t>Comparable transitions internationally have allowed extended lead times. OSFI's Guideline E-23 (2027) was published on 11 September 2025 with effect from 1 May 2027, providing approximately eighteen months. The PRA's SS1/23 was published in May 2023 with effect from 17 May 2024, providing twelve months.</w:t>
      </w:r>
    </w:p>
    <w:p>
      <w:pPr>
        <w:pStyle w:val="Verification"/>
      </w:pPr>
      <w:r>
        <w:t>⚠ Verification: both transition periods were confirmed from the primary instruments. The phasing in the table above is illustrative APRA drafting and is not derived from any comparator instrument.</w:t>
      </w:r>
    </w:p>
    <w:p>
      <w:pPr>
        <w:pStyle w:val="DocMeta"/>
      </w:pPr>
      <w:r>
        <w:br w:type="page"/>
      </w:r>
    </w:p>
    <w:p>
      <w:pPr>
        <w:pStyle w:val="Heading1"/>
      </w:pPr>
      <w:r>
        <w:t>Annex A — Requirement to guidance traceability</w:t>
      </w:r>
    </w:p>
    <w:p>
      <w:pPr>
        <w:pStyle w:val="GuideBody"/>
      </w:pPr>
      <w:r>
        <w:t>Every mandatory requirement in CPS 240 and the paragraphs of this guide that address it. Requirements with no guidance paragraph would indicate a gap in this guide; there are none.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882"/>
        <w:gridCol w:w="1882"/>
        <w:gridCol w:w="1882"/>
        <w:gridCol w:w="1882"/>
        <w:gridCol w:w="1882"/>
      </w:tblGrid>
      <w:tr>
        <w:trPr>
          <w:tblHeader w:val="true"/>
        </w:trPr>
        <w:tc>
          <w:tcPr>
            <w:tcW w:type="dxa" w:w="850"/>
            <w:shd w:val="clear" w:color="auto" w:fill="1B335F"/>
          </w:tcPr>
          <w:p>
            <w:pPr>
              <w:pStyle w:val="TableHead"/>
            </w:pPr>
            <w:r>
              <w:rPr>
                <w:rFonts w:ascii="Arial" w:hAnsi="Arial"/>
                <w:b/>
                <w:color w:val="FFFFFF"/>
                <w:sz w:val="16"/>
              </w:rPr>
              <w:t>CPS 240</w:t>
            </w:r>
          </w:p>
        </w:tc>
        <w:tc>
          <w:tcPr>
            <w:tcW w:type="dxa" w:w="3628"/>
            <w:shd w:val="clear" w:color="auto" w:fill="1B335F"/>
          </w:tcPr>
          <w:p>
            <w:pPr>
              <w:pStyle w:val="TableHead"/>
            </w:pPr>
            <w:r>
              <w:rPr>
                <w:rFonts w:ascii="Arial" w:hAnsi="Arial"/>
                <w:b/>
                <w:color w:val="FFFFFF"/>
                <w:sz w:val="16"/>
              </w:rPr>
              <w:t>Requirement</w:t>
            </w:r>
          </w:p>
        </w:tc>
        <w:tc>
          <w:tcPr>
            <w:tcW w:type="dxa" w:w="1928"/>
            <w:shd w:val="clear" w:color="auto" w:fill="1B335F"/>
          </w:tcPr>
          <w:p>
            <w:pPr>
              <w:pStyle w:val="TableHead"/>
            </w:pPr>
            <w:r>
              <w:rPr>
                <w:rFonts w:ascii="Arial" w:hAnsi="Arial"/>
                <w:b/>
                <w:color w:val="FFFFFF"/>
                <w:sz w:val="16"/>
              </w:rPr>
              <w:t>CPG 240 paragraphs</w:t>
            </w:r>
          </w:p>
        </w:tc>
        <w:tc>
          <w:tcPr>
            <w:tcW w:type="dxa" w:w="1871"/>
            <w:shd w:val="clear" w:color="auto" w:fill="1B335F"/>
          </w:tcPr>
          <w:p>
            <w:pPr>
              <w:pStyle w:val="TableHead"/>
            </w:pPr>
            <w:r>
              <w:rPr>
                <w:rFonts w:ascii="Arial" w:hAnsi="Arial"/>
                <w:b/>
                <w:color w:val="FFFFFF"/>
                <w:sz w:val="16"/>
              </w:rPr>
              <w:t>Provenance</w:t>
            </w:r>
          </w:p>
        </w:tc>
        <w:tc>
          <w:tcPr>
            <w:tcW w:type="dxa" w:w="1134"/>
            <w:shd w:val="clear" w:color="auto" w:fill="1B335F"/>
          </w:tcPr>
          <w:p>
            <w:pPr>
              <w:pStyle w:val="TableHead"/>
            </w:pPr>
            <w:r>
              <w:rPr>
                <w:rFonts w:ascii="Arial" w:hAnsi="Arial"/>
                <w:b/>
                <w:color w:val="FFFFFF"/>
                <w:sz w:val="16"/>
              </w:rPr>
              <w:t>Policy choice</w:t>
            </w:r>
          </w:p>
        </w:tc>
      </w:tr>
      <w:tr>
        <w:tc>
          <w:tcPr>
            <w:tcW w:type="dxa" w:w="850"/>
          </w:tcPr>
          <w:p>
            <w:pPr>
              <w:pStyle w:val="TableText"/>
            </w:pPr>
            <w:r>
              <w:rPr>
                <w:rFonts w:ascii="Arial" w:hAnsi="Arial"/>
                <w:sz w:val="16"/>
              </w:rPr>
              <w:t>M01</w:t>
            </w:r>
          </w:p>
        </w:tc>
        <w:tc>
          <w:tcPr>
            <w:tcW w:type="dxa" w:w="3628"/>
          </w:tcPr>
          <w:p>
            <w:pPr>
              <w:pStyle w:val="TableText"/>
            </w:pPr>
            <w:r>
              <w:rPr>
                <w:rFonts w:ascii="Arial" w:hAnsi="Arial"/>
                <w:sz w:val="16"/>
              </w:rPr>
              <w:t>Enterprise-wide application and retained accountability</w:t>
            </w:r>
          </w:p>
        </w:tc>
        <w:tc>
          <w:tcPr>
            <w:tcW w:type="dxa" w:w="1928"/>
          </w:tcPr>
          <w:p>
            <w:pPr>
              <w:pStyle w:val="TableText"/>
            </w:pPr>
            <w:r>
              <w:rPr>
                <w:rFonts w:ascii="Arial" w:hAnsi="Arial"/>
                <w:sz w:val="16"/>
              </w:rPr>
              <w:t>15–16</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M02</w:t>
            </w:r>
          </w:p>
        </w:tc>
        <w:tc>
          <w:tcPr>
            <w:tcW w:type="dxa" w:w="3628"/>
            <w:shd w:val="clear" w:color="auto" w:fill="F4F6FA"/>
          </w:tcPr>
          <w:p>
            <w:pPr>
              <w:pStyle w:val="TableText"/>
            </w:pPr>
            <w:r>
              <w:rPr>
                <w:rFonts w:ascii="Arial" w:hAnsi="Arial"/>
                <w:sz w:val="16"/>
              </w:rPr>
              <w:t>Definition of a model and of model risk</w:t>
            </w:r>
          </w:p>
        </w:tc>
        <w:tc>
          <w:tcPr>
            <w:tcW w:type="dxa" w:w="1928"/>
            <w:shd w:val="clear" w:color="auto" w:fill="F4F6FA"/>
          </w:tcPr>
          <w:p>
            <w:pPr>
              <w:pStyle w:val="TableText"/>
            </w:pPr>
            <w:r>
              <w:rPr>
                <w:rFonts w:ascii="Arial" w:hAnsi="Arial"/>
                <w:sz w:val="16"/>
              </w:rPr>
              <w:t>8–12</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M03</w:t>
            </w:r>
          </w:p>
        </w:tc>
        <w:tc>
          <w:tcPr>
            <w:tcW w:type="dxa" w:w="3628"/>
          </w:tcPr>
          <w:p>
            <w:pPr>
              <w:pStyle w:val="TableText"/>
            </w:pPr>
            <w:r>
              <w:rPr>
                <w:rFonts w:ascii="Arial" w:hAnsi="Arial"/>
                <w:sz w:val="16"/>
              </w:rPr>
              <w:t>Quantitative tools that are not models</w:t>
            </w:r>
          </w:p>
        </w:tc>
        <w:tc>
          <w:tcPr>
            <w:tcW w:type="dxa" w:w="1928"/>
          </w:tcPr>
          <w:p>
            <w:pPr>
              <w:pStyle w:val="TableText"/>
            </w:pPr>
            <w:r>
              <w:rPr>
                <w:rFonts w:ascii="Arial" w:hAnsi="Arial"/>
                <w:sz w:val="16"/>
              </w:rPr>
              <w:t>12–14</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M04</w:t>
            </w:r>
          </w:p>
        </w:tc>
        <w:tc>
          <w:tcPr>
            <w:tcW w:type="dxa" w:w="3628"/>
            <w:shd w:val="clear" w:color="auto" w:fill="F4F6FA"/>
          </w:tcPr>
          <w:p>
            <w:pPr>
              <w:pStyle w:val="TableText"/>
            </w:pPr>
            <w:r>
              <w:rPr>
                <w:rFonts w:ascii="Arial" w:hAnsi="Arial"/>
                <w:sz w:val="16"/>
              </w:rPr>
              <w:t>Proportionality and controlled exceptions</w:t>
            </w:r>
          </w:p>
        </w:tc>
        <w:tc>
          <w:tcPr>
            <w:tcW w:type="dxa" w:w="1928"/>
            <w:shd w:val="clear" w:color="auto" w:fill="F4F6FA"/>
          </w:tcPr>
          <w:p>
            <w:pPr>
              <w:pStyle w:val="TableText"/>
            </w:pPr>
            <w:r>
              <w:rPr>
                <w:rFonts w:ascii="Arial" w:hAnsi="Arial"/>
                <w:sz w:val="16"/>
              </w:rPr>
              <w:t>17, 22–23</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M05</w:t>
            </w:r>
          </w:p>
        </w:tc>
        <w:tc>
          <w:tcPr>
            <w:tcW w:type="dxa" w:w="3628"/>
          </w:tcPr>
          <w:p>
            <w:pPr>
              <w:pStyle w:val="TableText"/>
            </w:pPr>
            <w:r>
              <w:rPr>
                <w:rFonts w:ascii="Arial" w:hAnsi="Arial"/>
                <w:sz w:val="16"/>
              </w:rPr>
              <w:t>Board oversight of model risk</w:t>
            </w:r>
          </w:p>
        </w:tc>
        <w:tc>
          <w:tcPr>
            <w:tcW w:type="dxa" w:w="1928"/>
          </w:tcPr>
          <w:p>
            <w:pPr>
              <w:pStyle w:val="TableText"/>
            </w:pPr>
            <w:r>
              <w:rPr>
                <w:rFonts w:ascii="Arial" w:hAnsi="Arial"/>
                <w:sz w:val="16"/>
              </w:rPr>
              <w:t>26–27, 29</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M06</w:t>
            </w:r>
          </w:p>
        </w:tc>
        <w:tc>
          <w:tcPr>
            <w:tcW w:type="dxa" w:w="3628"/>
            <w:shd w:val="clear" w:color="auto" w:fill="F4F6FA"/>
          </w:tcPr>
          <w:p>
            <w:pPr>
              <w:pStyle w:val="TableText"/>
            </w:pPr>
            <w:r>
              <w:rPr>
                <w:rFonts w:ascii="Arial" w:hAnsi="Arial"/>
                <w:sz w:val="16"/>
              </w:rPr>
              <w:t>Senior accountability for the framework</w:t>
            </w:r>
          </w:p>
        </w:tc>
        <w:tc>
          <w:tcPr>
            <w:tcW w:type="dxa" w:w="1928"/>
            <w:shd w:val="clear" w:color="auto" w:fill="F4F6FA"/>
          </w:tcPr>
          <w:p>
            <w:pPr>
              <w:pStyle w:val="TableText"/>
            </w:pPr>
            <w:r>
              <w:rPr>
                <w:rFonts w:ascii="Arial" w:hAnsi="Arial"/>
                <w:sz w:val="16"/>
              </w:rPr>
              <w:t>30–31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M07</w:t>
            </w:r>
          </w:p>
        </w:tc>
        <w:tc>
          <w:tcPr>
            <w:tcW w:type="dxa" w:w="3628"/>
          </w:tcPr>
          <w:p>
            <w:pPr>
              <w:pStyle w:val="TableText"/>
            </w:pPr>
            <w:r>
              <w:rPr>
                <w:rFonts w:ascii="Arial" w:hAnsi="Arial"/>
                <w:sz w:val="16"/>
              </w:rPr>
              <w:t>Model ownership and defined lifecycle roles</w:t>
            </w:r>
          </w:p>
        </w:tc>
        <w:tc>
          <w:tcPr>
            <w:tcW w:type="dxa" w:w="1928"/>
          </w:tcPr>
          <w:p>
            <w:pPr>
              <w:pStyle w:val="TableText"/>
            </w:pPr>
            <w:r>
              <w:rPr>
                <w:rFonts w:ascii="Arial" w:hAnsi="Arial"/>
                <w:sz w:val="16"/>
              </w:rPr>
              <w:t>32–33</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M08</w:t>
            </w:r>
          </w:p>
        </w:tc>
        <w:tc>
          <w:tcPr>
            <w:tcW w:type="dxa" w:w="3628"/>
            <w:shd w:val="clear" w:color="auto" w:fill="F4F6FA"/>
          </w:tcPr>
          <w:p>
            <w:pPr>
              <w:pStyle w:val="TableText"/>
            </w:pPr>
            <w:r>
              <w:rPr>
                <w:rFonts w:ascii="Arial" w:hAnsi="Arial"/>
                <w:sz w:val="16"/>
              </w:rPr>
              <w:t>Capability, resourcing and independence</w:t>
            </w:r>
          </w:p>
        </w:tc>
        <w:tc>
          <w:tcPr>
            <w:tcW w:type="dxa" w:w="1928"/>
            <w:shd w:val="clear" w:color="auto" w:fill="F4F6FA"/>
          </w:tcPr>
          <w:p>
            <w:pPr>
              <w:pStyle w:val="TableText"/>
            </w:pPr>
            <w:r>
              <w:rPr>
                <w:rFonts w:ascii="Arial" w:hAnsi="Arial"/>
                <w:sz w:val="16"/>
              </w:rPr>
              <w:t>34–36</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M09</w:t>
            </w:r>
          </w:p>
        </w:tc>
        <w:tc>
          <w:tcPr>
            <w:tcW w:type="dxa" w:w="3628"/>
          </w:tcPr>
          <w:p>
            <w:pPr>
              <w:pStyle w:val="TableText"/>
            </w:pPr>
            <w:r>
              <w:rPr>
                <w:rFonts w:ascii="Arial" w:hAnsi="Arial"/>
                <w:sz w:val="16"/>
              </w:rPr>
              <w:t>Integrated model risk management framework</w:t>
            </w:r>
          </w:p>
        </w:tc>
        <w:tc>
          <w:tcPr>
            <w:tcW w:type="dxa" w:w="1928"/>
          </w:tcPr>
          <w:p>
            <w:pPr>
              <w:pStyle w:val="TableText"/>
            </w:pPr>
            <w:r>
              <w:rPr>
                <w:rFonts w:ascii="Arial" w:hAnsi="Arial"/>
                <w:sz w:val="16"/>
              </w:rPr>
              <w:t>37–38</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M10</w:t>
            </w:r>
          </w:p>
        </w:tc>
        <w:tc>
          <w:tcPr>
            <w:tcW w:type="dxa" w:w="3628"/>
            <w:shd w:val="clear" w:color="auto" w:fill="F4F6FA"/>
          </w:tcPr>
          <w:p>
            <w:pPr>
              <w:pStyle w:val="TableText"/>
            </w:pPr>
            <w:r>
              <w:rPr>
                <w:rFonts w:ascii="Arial" w:hAnsi="Arial"/>
                <w:sz w:val="16"/>
              </w:rPr>
              <w:t>Model risk appetite and limits</w:t>
            </w:r>
          </w:p>
        </w:tc>
        <w:tc>
          <w:tcPr>
            <w:tcW w:type="dxa" w:w="1928"/>
            <w:shd w:val="clear" w:color="auto" w:fill="F4F6FA"/>
          </w:tcPr>
          <w:p>
            <w:pPr>
              <w:pStyle w:val="TableText"/>
            </w:pPr>
            <w:r>
              <w:rPr>
                <w:rFonts w:ascii="Arial" w:hAnsi="Arial"/>
                <w:sz w:val="16"/>
              </w:rPr>
              <w:t>39–41</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Yes</w:t>
            </w:r>
          </w:p>
        </w:tc>
      </w:tr>
      <w:tr>
        <w:tc>
          <w:tcPr>
            <w:tcW w:type="dxa" w:w="850"/>
          </w:tcPr>
          <w:p>
            <w:pPr>
              <w:pStyle w:val="TableText"/>
            </w:pPr>
            <w:r>
              <w:rPr>
                <w:rFonts w:ascii="Arial" w:hAnsi="Arial"/>
                <w:sz w:val="16"/>
              </w:rPr>
              <w:t>M11</w:t>
            </w:r>
          </w:p>
        </w:tc>
        <w:tc>
          <w:tcPr>
            <w:tcW w:type="dxa" w:w="3628"/>
          </w:tcPr>
          <w:p>
            <w:pPr>
              <w:pStyle w:val="TableText"/>
            </w:pPr>
            <w:r>
              <w:rPr>
                <w:rFonts w:ascii="Arial" w:hAnsi="Arial"/>
                <w:sz w:val="16"/>
              </w:rPr>
              <w:t>Policy, standards and consistency of application</w:t>
            </w:r>
          </w:p>
        </w:tc>
        <w:tc>
          <w:tcPr>
            <w:tcW w:type="dxa" w:w="1928"/>
          </w:tcPr>
          <w:p>
            <w:pPr>
              <w:pStyle w:val="TableText"/>
            </w:pPr>
            <w:r>
              <w:rPr>
                <w:rFonts w:ascii="Arial" w:hAnsi="Arial"/>
                <w:sz w:val="16"/>
              </w:rPr>
              <w:t>42–43</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M12</w:t>
            </w:r>
          </w:p>
        </w:tc>
        <w:tc>
          <w:tcPr>
            <w:tcW w:type="dxa" w:w="3628"/>
            <w:shd w:val="clear" w:color="auto" w:fill="F4F6FA"/>
          </w:tcPr>
          <w:p>
            <w:pPr>
              <w:pStyle w:val="TableText"/>
            </w:pPr>
            <w:r>
              <w:rPr>
                <w:rFonts w:ascii="Arial" w:hAnsi="Arial"/>
                <w:sz w:val="16"/>
              </w:rPr>
              <w:t>Management information and escalation</w:t>
            </w:r>
          </w:p>
        </w:tc>
        <w:tc>
          <w:tcPr>
            <w:tcW w:type="dxa" w:w="1928"/>
            <w:shd w:val="clear" w:color="auto" w:fill="F4F6FA"/>
          </w:tcPr>
          <w:p>
            <w:pPr>
              <w:pStyle w:val="TableText"/>
            </w:pPr>
            <w:r>
              <w:rPr>
                <w:rFonts w:ascii="Arial" w:hAnsi="Arial"/>
                <w:sz w:val="16"/>
              </w:rPr>
              <w:t>27–28, 81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M13</w:t>
            </w:r>
          </w:p>
        </w:tc>
        <w:tc>
          <w:tcPr>
            <w:tcW w:type="dxa" w:w="3628"/>
          </w:tcPr>
          <w:p>
            <w:pPr>
              <w:pStyle w:val="TableText"/>
            </w:pPr>
            <w:r>
              <w:rPr>
                <w:rFonts w:ascii="Arial" w:hAnsi="Arial"/>
                <w:sz w:val="16"/>
              </w:rPr>
              <w:t>Model identification and enterprise inventory</w:t>
            </w:r>
          </w:p>
        </w:tc>
        <w:tc>
          <w:tcPr>
            <w:tcW w:type="dxa" w:w="1928"/>
          </w:tcPr>
          <w:p>
            <w:pPr>
              <w:pStyle w:val="TableText"/>
            </w:pPr>
            <w:r>
              <w:rPr>
                <w:rFonts w:ascii="Arial" w:hAnsi="Arial"/>
                <w:sz w:val="16"/>
              </w:rPr>
              <w:t>44–48</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M14</w:t>
            </w:r>
          </w:p>
        </w:tc>
        <w:tc>
          <w:tcPr>
            <w:tcW w:type="dxa" w:w="3628"/>
            <w:shd w:val="clear" w:color="auto" w:fill="F4F6FA"/>
          </w:tcPr>
          <w:p>
            <w:pPr>
              <w:pStyle w:val="TableText"/>
            </w:pPr>
            <w:r>
              <w:rPr>
                <w:rFonts w:ascii="Arial" w:hAnsi="Arial"/>
                <w:sz w:val="16"/>
              </w:rPr>
              <w:t>Model risk tiering</w:t>
            </w:r>
          </w:p>
        </w:tc>
        <w:tc>
          <w:tcPr>
            <w:tcW w:type="dxa" w:w="1928"/>
            <w:shd w:val="clear" w:color="auto" w:fill="F4F6FA"/>
          </w:tcPr>
          <w:p>
            <w:pPr>
              <w:pStyle w:val="TableText"/>
            </w:pPr>
            <w:r>
              <w:rPr>
                <w:rFonts w:ascii="Arial" w:hAnsi="Arial"/>
                <w:sz w:val="16"/>
              </w:rPr>
              <w:t>17–21</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M15</w:t>
            </w:r>
          </w:p>
        </w:tc>
        <w:tc>
          <w:tcPr>
            <w:tcW w:type="dxa" w:w="3628"/>
          </w:tcPr>
          <w:p>
            <w:pPr>
              <w:pStyle w:val="TableText"/>
            </w:pPr>
            <w:r>
              <w:rPr>
                <w:rFonts w:ascii="Arial" w:hAnsi="Arial"/>
                <w:sz w:val="16"/>
              </w:rPr>
              <w:t>Reassessment and trigger events</w:t>
            </w:r>
          </w:p>
        </w:tc>
        <w:tc>
          <w:tcPr>
            <w:tcW w:type="dxa" w:w="1928"/>
          </w:tcPr>
          <w:p>
            <w:pPr>
              <w:pStyle w:val="TableText"/>
            </w:pPr>
            <w:r>
              <w:rPr>
                <w:rFonts w:ascii="Arial" w:hAnsi="Arial"/>
                <w:sz w:val="16"/>
              </w:rPr>
              <w:t>24–25</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M16</w:t>
            </w:r>
          </w:p>
        </w:tc>
        <w:tc>
          <w:tcPr>
            <w:tcW w:type="dxa" w:w="3628"/>
            <w:shd w:val="clear" w:color="auto" w:fill="F4F6FA"/>
          </w:tcPr>
          <w:p>
            <w:pPr>
              <w:pStyle w:val="TableText"/>
            </w:pPr>
            <w:r>
              <w:rPr>
                <w:rFonts w:ascii="Arial" w:hAnsi="Arial"/>
                <w:sz w:val="16"/>
              </w:rPr>
              <w:t>Conceptual soundness and development standards</w:t>
            </w:r>
          </w:p>
        </w:tc>
        <w:tc>
          <w:tcPr>
            <w:tcW w:type="dxa" w:w="1928"/>
            <w:shd w:val="clear" w:color="auto" w:fill="F4F6FA"/>
          </w:tcPr>
          <w:p>
            <w:pPr>
              <w:pStyle w:val="TableText"/>
            </w:pPr>
            <w:r>
              <w:rPr>
                <w:rFonts w:ascii="Arial" w:hAnsi="Arial"/>
                <w:sz w:val="16"/>
              </w:rPr>
              <w:t>49–52</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M17</w:t>
            </w:r>
          </w:p>
        </w:tc>
        <w:tc>
          <w:tcPr>
            <w:tcW w:type="dxa" w:w="3628"/>
          </w:tcPr>
          <w:p>
            <w:pPr>
              <w:pStyle w:val="TableText"/>
            </w:pPr>
            <w:r>
              <w:rPr>
                <w:rFonts w:ascii="Arial" w:hAnsi="Arial"/>
                <w:sz w:val="16"/>
              </w:rPr>
              <w:t>Data quality, provenance and appropriateness</w:t>
            </w:r>
          </w:p>
        </w:tc>
        <w:tc>
          <w:tcPr>
            <w:tcW w:type="dxa" w:w="1928"/>
          </w:tcPr>
          <w:p>
            <w:pPr>
              <w:pStyle w:val="TableText"/>
            </w:pPr>
            <w:r>
              <w:rPr>
                <w:rFonts w:ascii="Arial" w:hAnsi="Arial"/>
                <w:sz w:val="16"/>
              </w:rPr>
              <w:t>53–56</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M18</w:t>
            </w:r>
          </w:p>
        </w:tc>
        <w:tc>
          <w:tcPr>
            <w:tcW w:type="dxa" w:w="3628"/>
            <w:shd w:val="clear" w:color="auto" w:fill="F4F6FA"/>
          </w:tcPr>
          <w:p>
            <w:pPr>
              <w:pStyle w:val="TableText"/>
            </w:pPr>
            <w:r>
              <w:rPr>
                <w:rFonts w:ascii="Arial" w:hAnsi="Arial"/>
                <w:sz w:val="16"/>
              </w:rPr>
              <w:t>Documentation sufficient for independent reconstruction</w:t>
            </w:r>
          </w:p>
        </w:tc>
        <w:tc>
          <w:tcPr>
            <w:tcW w:type="dxa" w:w="1928"/>
            <w:shd w:val="clear" w:color="auto" w:fill="F4F6FA"/>
          </w:tcPr>
          <w:p>
            <w:pPr>
              <w:pStyle w:val="TableText"/>
            </w:pPr>
            <w:r>
              <w:rPr>
                <w:rFonts w:ascii="Arial" w:hAnsi="Arial"/>
                <w:sz w:val="16"/>
              </w:rPr>
              <w:t>57–58</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M19</w:t>
            </w:r>
          </w:p>
        </w:tc>
        <w:tc>
          <w:tcPr>
            <w:tcW w:type="dxa" w:w="3628"/>
          </w:tcPr>
          <w:p>
            <w:pPr>
              <w:pStyle w:val="TableText"/>
            </w:pPr>
            <w:r>
              <w:rPr>
                <w:rFonts w:ascii="Arial" w:hAnsi="Arial"/>
                <w:sz w:val="16"/>
              </w:rPr>
              <w:t>Pre-implementation testing</w:t>
            </w:r>
          </w:p>
        </w:tc>
        <w:tc>
          <w:tcPr>
            <w:tcW w:type="dxa" w:w="1928"/>
          </w:tcPr>
          <w:p>
            <w:pPr>
              <w:pStyle w:val="TableText"/>
            </w:pPr>
            <w:r>
              <w:rPr>
                <w:rFonts w:ascii="Arial" w:hAnsi="Arial"/>
                <w:sz w:val="16"/>
              </w:rPr>
              <w:t>59–61</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Yes</w:t>
            </w:r>
          </w:p>
        </w:tc>
      </w:tr>
      <w:tr>
        <w:tc>
          <w:tcPr>
            <w:tcW w:type="dxa" w:w="850"/>
            <w:shd w:val="clear" w:color="auto" w:fill="F4F6FA"/>
          </w:tcPr>
          <w:p>
            <w:pPr>
              <w:pStyle w:val="TableText"/>
            </w:pPr>
            <w:r>
              <w:rPr>
                <w:rFonts w:ascii="Arial" w:hAnsi="Arial"/>
                <w:sz w:val="16"/>
              </w:rPr>
              <w:t>M20</w:t>
            </w:r>
          </w:p>
        </w:tc>
        <w:tc>
          <w:tcPr>
            <w:tcW w:type="dxa" w:w="3628"/>
            <w:shd w:val="clear" w:color="auto" w:fill="F4F6FA"/>
          </w:tcPr>
          <w:p>
            <w:pPr>
              <w:pStyle w:val="TableText"/>
            </w:pPr>
            <w:r>
              <w:rPr>
                <w:rFonts w:ascii="Arial" w:hAnsi="Arial"/>
                <w:sz w:val="16"/>
              </w:rPr>
              <w:t>Independent validation</w:t>
            </w:r>
          </w:p>
        </w:tc>
        <w:tc>
          <w:tcPr>
            <w:tcW w:type="dxa" w:w="1928"/>
            <w:shd w:val="clear" w:color="auto" w:fill="F4F6FA"/>
          </w:tcPr>
          <w:p>
            <w:pPr>
              <w:pStyle w:val="TableText"/>
            </w:pPr>
            <w:r>
              <w:rPr>
                <w:rFonts w:ascii="Arial" w:hAnsi="Arial"/>
                <w:sz w:val="16"/>
              </w:rPr>
              <w:t>69</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M21</w:t>
            </w:r>
          </w:p>
        </w:tc>
        <w:tc>
          <w:tcPr>
            <w:tcW w:type="dxa" w:w="3628"/>
          </w:tcPr>
          <w:p>
            <w:pPr>
              <w:pStyle w:val="TableText"/>
            </w:pPr>
            <w:r>
              <w:rPr>
                <w:rFonts w:ascii="Arial" w:hAnsi="Arial"/>
                <w:sz w:val="16"/>
              </w:rPr>
              <w:t>Scope of validation</w:t>
            </w:r>
          </w:p>
        </w:tc>
        <w:tc>
          <w:tcPr>
            <w:tcW w:type="dxa" w:w="1928"/>
          </w:tcPr>
          <w:p>
            <w:pPr>
              <w:pStyle w:val="TableText"/>
            </w:pPr>
            <w:r>
              <w:rPr>
                <w:rFonts w:ascii="Arial" w:hAnsi="Arial"/>
                <w:sz w:val="16"/>
              </w:rPr>
              <w:t>62–65</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M22</w:t>
            </w:r>
          </w:p>
        </w:tc>
        <w:tc>
          <w:tcPr>
            <w:tcW w:type="dxa" w:w="3628"/>
            <w:shd w:val="clear" w:color="auto" w:fill="F4F6FA"/>
          </w:tcPr>
          <w:p>
            <w:pPr>
              <w:pStyle w:val="TableText"/>
            </w:pPr>
            <w:r>
              <w:rPr>
                <w:rFonts w:ascii="Arial" w:hAnsi="Arial"/>
                <w:sz w:val="16"/>
              </w:rPr>
              <w:t>Effective challenge</w:t>
            </w:r>
          </w:p>
        </w:tc>
        <w:tc>
          <w:tcPr>
            <w:tcW w:type="dxa" w:w="1928"/>
            <w:shd w:val="clear" w:color="auto" w:fill="F4F6FA"/>
          </w:tcPr>
          <w:p>
            <w:pPr>
              <w:pStyle w:val="TableText"/>
            </w:pPr>
            <w:r>
              <w:rPr>
                <w:rFonts w:ascii="Arial" w:hAnsi="Arial"/>
                <w:sz w:val="16"/>
              </w:rPr>
              <w:t>66–68</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M23</w:t>
            </w:r>
          </w:p>
        </w:tc>
        <w:tc>
          <w:tcPr>
            <w:tcW w:type="dxa" w:w="3628"/>
          </w:tcPr>
          <w:p>
            <w:pPr>
              <w:pStyle w:val="TableText"/>
            </w:pPr>
            <w:r>
              <w:rPr>
                <w:rFonts w:ascii="Arial" w:hAnsi="Arial"/>
                <w:sz w:val="16"/>
              </w:rPr>
              <w:t>Approval and conditions of use</w:t>
            </w:r>
          </w:p>
        </w:tc>
        <w:tc>
          <w:tcPr>
            <w:tcW w:type="dxa" w:w="1928"/>
          </w:tcPr>
          <w:p>
            <w:pPr>
              <w:pStyle w:val="TableText"/>
            </w:pPr>
            <w:r>
              <w:rPr>
                <w:rFonts w:ascii="Arial" w:hAnsi="Arial"/>
                <w:sz w:val="16"/>
              </w:rPr>
              <w:t>70–72</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M24</w:t>
            </w:r>
          </w:p>
        </w:tc>
        <w:tc>
          <w:tcPr>
            <w:tcW w:type="dxa" w:w="3628"/>
            <w:shd w:val="clear" w:color="auto" w:fill="F4F6FA"/>
          </w:tcPr>
          <w:p>
            <w:pPr>
              <w:pStyle w:val="TableText"/>
            </w:pPr>
            <w:r>
              <w:rPr>
                <w:rFonts w:ascii="Arial" w:hAnsi="Arial"/>
                <w:sz w:val="16"/>
              </w:rPr>
              <w:t>Implementation controls</w:t>
            </w:r>
          </w:p>
        </w:tc>
        <w:tc>
          <w:tcPr>
            <w:tcW w:type="dxa" w:w="1928"/>
            <w:shd w:val="clear" w:color="auto" w:fill="F4F6FA"/>
          </w:tcPr>
          <w:p>
            <w:pPr>
              <w:pStyle w:val="TableText"/>
            </w:pPr>
            <w:r>
              <w:rPr>
                <w:rFonts w:ascii="Arial" w:hAnsi="Arial"/>
                <w:sz w:val="16"/>
              </w:rPr>
              <w:t>64, 73–74</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M25</w:t>
            </w:r>
          </w:p>
        </w:tc>
        <w:tc>
          <w:tcPr>
            <w:tcW w:type="dxa" w:w="3628"/>
          </w:tcPr>
          <w:p>
            <w:pPr>
              <w:pStyle w:val="TableText"/>
            </w:pPr>
            <w:r>
              <w:rPr>
                <w:rFonts w:ascii="Arial" w:hAnsi="Arial"/>
                <w:sz w:val="16"/>
              </w:rPr>
              <w:t>Change management and re-approval</w:t>
            </w:r>
          </w:p>
        </w:tc>
        <w:tc>
          <w:tcPr>
            <w:tcW w:type="dxa" w:w="1928"/>
          </w:tcPr>
          <w:p>
            <w:pPr>
              <w:pStyle w:val="TableText"/>
            </w:pPr>
            <w:r>
              <w:rPr>
                <w:rFonts w:ascii="Arial" w:hAnsi="Arial"/>
                <w:sz w:val="16"/>
              </w:rPr>
              <w:t>75–76, 99</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M26</w:t>
            </w:r>
          </w:p>
        </w:tc>
        <w:tc>
          <w:tcPr>
            <w:tcW w:type="dxa" w:w="3628"/>
            <w:shd w:val="clear" w:color="auto" w:fill="F4F6FA"/>
          </w:tcPr>
          <w:p>
            <w:pPr>
              <w:pStyle w:val="TableText"/>
            </w:pPr>
            <w:r>
              <w:rPr>
                <w:rFonts w:ascii="Arial" w:hAnsi="Arial"/>
                <w:sz w:val="16"/>
              </w:rPr>
              <w:t>Use consistent with approved purpose</w:t>
            </w:r>
          </w:p>
        </w:tc>
        <w:tc>
          <w:tcPr>
            <w:tcW w:type="dxa" w:w="1928"/>
            <w:shd w:val="clear" w:color="auto" w:fill="F4F6FA"/>
          </w:tcPr>
          <w:p>
            <w:pPr>
              <w:pStyle w:val="TableText"/>
            </w:pPr>
            <w:r>
              <w:rPr>
                <w:rFonts w:ascii="Arial" w:hAnsi="Arial"/>
                <w:sz w:val="16"/>
              </w:rPr>
              <w:t>77–78</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M27</w:t>
            </w:r>
          </w:p>
        </w:tc>
        <w:tc>
          <w:tcPr>
            <w:tcW w:type="dxa" w:w="3628"/>
          </w:tcPr>
          <w:p>
            <w:pPr>
              <w:pStyle w:val="TableText"/>
            </w:pPr>
            <w:r>
              <w:rPr>
                <w:rFonts w:ascii="Arial" w:hAnsi="Arial"/>
                <w:sz w:val="16"/>
              </w:rPr>
              <w:t>Overlays, adjustments and expert judgement</w:t>
            </w:r>
          </w:p>
        </w:tc>
        <w:tc>
          <w:tcPr>
            <w:tcW w:type="dxa" w:w="1928"/>
          </w:tcPr>
          <w:p>
            <w:pPr>
              <w:pStyle w:val="TableText"/>
            </w:pPr>
            <w:r>
              <w:rPr>
                <w:rFonts w:ascii="Arial" w:hAnsi="Arial"/>
                <w:sz w:val="16"/>
              </w:rPr>
              <w:t>79–81</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M28</w:t>
            </w:r>
          </w:p>
        </w:tc>
        <w:tc>
          <w:tcPr>
            <w:tcW w:type="dxa" w:w="3628"/>
            <w:shd w:val="clear" w:color="auto" w:fill="F4F6FA"/>
          </w:tcPr>
          <w:p>
            <w:pPr>
              <w:pStyle w:val="TableText"/>
            </w:pPr>
            <w:r>
              <w:rPr>
                <w:rFonts w:ascii="Arial" w:hAnsi="Arial"/>
                <w:sz w:val="16"/>
              </w:rPr>
              <w:t>Ongoing performance monitoring</w:t>
            </w:r>
          </w:p>
        </w:tc>
        <w:tc>
          <w:tcPr>
            <w:tcW w:type="dxa" w:w="1928"/>
            <w:shd w:val="clear" w:color="auto" w:fill="F4F6FA"/>
          </w:tcPr>
          <w:p>
            <w:pPr>
              <w:pStyle w:val="TableText"/>
            </w:pPr>
            <w:r>
              <w:rPr>
                <w:rFonts w:ascii="Arial" w:hAnsi="Arial"/>
                <w:sz w:val="16"/>
              </w:rPr>
              <w:t>82–84</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M29</w:t>
            </w:r>
          </w:p>
        </w:tc>
        <w:tc>
          <w:tcPr>
            <w:tcW w:type="dxa" w:w="3628"/>
          </w:tcPr>
          <w:p>
            <w:pPr>
              <w:pStyle w:val="TableText"/>
            </w:pPr>
            <w:r>
              <w:rPr>
                <w:rFonts w:ascii="Arial" w:hAnsi="Arial"/>
                <w:sz w:val="16"/>
              </w:rPr>
              <w:t>Limitations, compensating controls and remediation</w:t>
            </w:r>
          </w:p>
        </w:tc>
        <w:tc>
          <w:tcPr>
            <w:tcW w:type="dxa" w:w="1928"/>
          </w:tcPr>
          <w:p>
            <w:pPr>
              <w:pStyle w:val="TableText"/>
            </w:pPr>
            <w:r>
              <w:rPr>
                <w:rFonts w:ascii="Arial" w:hAnsi="Arial"/>
                <w:sz w:val="16"/>
              </w:rPr>
              <w:t>72, 85–86</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M30</w:t>
            </w:r>
          </w:p>
        </w:tc>
        <w:tc>
          <w:tcPr>
            <w:tcW w:type="dxa" w:w="3628"/>
            <w:shd w:val="clear" w:color="auto" w:fill="F4F6FA"/>
          </w:tcPr>
          <w:p>
            <w:pPr>
              <w:pStyle w:val="TableText"/>
            </w:pPr>
            <w:r>
              <w:rPr>
                <w:rFonts w:ascii="Arial" w:hAnsi="Arial"/>
                <w:sz w:val="16"/>
              </w:rPr>
              <w:t>Restriction, suspension and decommissioning</w:t>
            </w:r>
          </w:p>
        </w:tc>
        <w:tc>
          <w:tcPr>
            <w:tcW w:type="dxa" w:w="1928"/>
            <w:shd w:val="clear" w:color="auto" w:fill="F4F6FA"/>
          </w:tcPr>
          <w:p>
            <w:pPr>
              <w:pStyle w:val="TableText"/>
            </w:pPr>
            <w:r>
              <w:rPr>
                <w:rFonts w:ascii="Arial" w:hAnsi="Arial"/>
                <w:sz w:val="16"/>
              </w:rPr>
              <w:t>87–88</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M31</w:t>
            </w:r>
          </w:p>
        </w:tc>
        <w:tc>
          <w:tcPr>
            <w:tcW w:type="dxa" w:w="3628"/>
          </w:tcPr>
          <w:p>
            <w:pPr>
              <w:pStyle w:val="TableText"/>
            </w:pPr>
            <w:r>
              <w:rPr>
                <w:rFonts w:ascii="Arial" w:hAnsi="Arial"/>
                <w:sz w:val="16"/>
              </w:rPr>
              <w:t>Vendor and externally developed models</w:t>
            </w:r>
          </w:p>
        </w:tc>
        <w:tc>
          <w:tcPr>
            <w:tcW w:type="dxa" w:w="1928"/>
          </w:tcPr>
          <w:p>
            <w:pPr>
              <w:pStyle w:val="TableText"/>
            </w:pPr>
            <w:r>
              <w:rPr>
                <w:rFonts w:ascii="Arial" w:hAnsi="Arial"/>
                <w:sz w:val="16"/>
              </w:rPr>
              <w:t>15, 69, 89–91</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M32</w:t>
            </w:r>
          </w:p>
        </w:tc>
        <w:tc>
          <w:tcPr>
            <w:tcW w:type="dxa" w:w="3628"/>
            <w:shd w:val="clear" w:color="auto" w:fill="F4F6FA"/>
          </w:tcPr>
          <w:p>
            <w:pPr>
              <w:pStyle w:val="TableText"/>
            </w:pPr>
            <w:r>
              <w:rPr>
                <w:rFonts w:ascii="Arial" w:hAnsi="Arial"/>
                <w:sz w:val="16"/>
              </w:rPr>
              <w:t>Information rights, concentration and substitutability</w:t>
            </w:r>
          </w:p>
        </w:tc>
        <w:tc>
          <w:tcPr>
            <w:tcW w:type="dxa" w:w="1928"/>
            <w:shd w:val="clear" w:color="auto" w:fill="F4F6FA"/>
          </w:tcPr>
          <w:p>
            <w:pPr>
              <w:pStyle w:val="TableText"/>
            </w:pPr>
            <w:r>
              <w:rPr>
                <w:rFonts w:ascii="Arial" w:hAnsi="Arial"/>
                <w:sz w:val="16"/>
              </w:rPr>
              <w:t>92–94</w:t>
            </w:r>
          </w:p>
        </w:tc>
        <w:tc>
          <w:tcPr>
            <w:tcW w:type="dxa" w:w="1871"/>
            <w:shd w:val="clear" w:color="auto" w:fill="F4F6FA"/>
          </w:tcPr>
          <w:p>
            <w:pPr>
              <w:pStyle w:val="TableText"/>
            </w:pPr>
            <w:r>
              <w:rPr>
                <w:rFonts w:ascii="Arial" w:hAnsi="Arial"/>
                <w:sz w:val="16"/>
              </w:rPr>
              <w:t>Extracted + inferred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M33</w:t>
            </w:r>
          </w:p>
        </w:tc>
        <w:tc>
          <w:tcPr>
            <w:tcW w:type="dxa" w:w="3628"/>
          </w:tcPr>
          <w:p>
            <w:pPr>
              <w:pStyle w:val="TableText"/>
            </w:pPr>
            <w:r>
              <w:rPr>
                <w:rFonts w:ascii="Arial" w:hAnsi="Arial"/>
                <w:sz w:val="16"/>
              </w:rPr>
              <w:t>Additional controls for AI and machine learning models</w:t>
            </w:r>
          </w:p>
        </w:tc>
        <w:tc>
          <w:tcPr>
            <w:tcW w:type="dxa" w:w="1928"/>
          </w:tcPr>
          <w:p>
            <w:pPr>
              <w:pStyle w:val="TableText"/>
            </w:pPr>
            <w:r>
              <w:rPr>
                <w:rFonts w:ascii="Arial" w:hAnsi="Arial"/>
                <w:sz w:val="16"/>
              </w:rPr>
              <w:t>56, 95–100</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M34</w:t>
            </w:r>
          </w:p>
        </w:tc>
        <w:tc>
          <w:tcPr>
            <w:tcW w:type="dxa" w:w="3628"/>
            <w:shd w:val="clear" w:color="auto" w:fill="F4F6FA"/>
          </w:tcPr>
          <w:p>
            <w:pPr>
              <w:pStyle w:val="TableText"/>
            </w:pPr>
            <w:r>
              <w:rPr>
                <w:rFonts w:ascii="Arial" w:hAnsi="Arial"/>
                <w:sz w:val="16"/>
              </w:rPr>
              <w:t>Boundary with the AI risk management framework</w:t>
            </w:r>
          </w:p>
        </w:tc>
        <w:tc>
          <w:tcPr>
            <w:tcW w:type="dxa" w:w="1928"/>
            <w:shd w:val="clear" w:color="auto" w:fill="F4F6FA"/>
          </w:tcPr>
          <w:p>
            <w:pPr>
              <w:pStyle w:val="TableText"/>
            </w:pPr>
            <w:r>
              <w:rPr>
                <w:rFonts w:ascii="Arial" w:hAnsi="Arial"/>
                <w:sz w:val="16"/>
              </w:rPr>
              <w:t>101–103</w:t>
            </w:r>
          </w:p>
        </w:tc>
        <w:tc>
          <w:tcPr>
            <w:tcW w:type="dxa" w:w="1871"/>
            <w:shd w:val="clear" w:color="auto" w:fill="F4F6FA"/>
          </w:tcPr>
          <w:p>
            <w:pPr>
              <w:pStyle w:val="TableText"/>
            </w:pPr>
            <w:r>
              <w:rPr>
                <w:rFonts w:ascii="Arial" w:hAnsi="Arial"/>
                <w:sz w:val="16"/>
              </w:rPr>
              <w:t>Policy choice</w:t>
            </w:r>
          </w:p>
        </w:tc>
        <w:tc>
          <w:tcPr>
            <w:tcW w:type="dxa" w:w="1134"/>
            <w:shd w:val="clear" w:color="auto" w:fill="F4F6FA"/>
          </w:tcPr>
          <w:p>
            <w:pPr>
              <w:pStyle w:val="TableText"/>
            </w:pPr>
            <w:r>
              <w:rPr>
                <w:rFonts w:ascii="Arial" w:hAnsi="Arial"/>
                <w:sz w:val="16"/>
              </w:rPr>
              <w:t>Yes</w:t>
            </w:r>
          </w:p>
        </w:tc>
      </w:tr>
      <w:tr>
        <w:tc>
          <w:tcPr>
            <w:tcW w:type="dxa" w:w="850"/>
          </w:tcPr>
          <w:p>
            <w:pPr>
              <w:pStyle w:val="TableText"/>
            </w:pPr>
            <w:r>
              <w:rPr>
                <w:rFonts w:ascii="Arial" w:hAnsi="Arial"/>
                <w:sz w:val="16"/>
              </w:rPr>
              <w:t>M35</w:t>
            </w:r>
          </w:p>
        </w:tc>
        <w:tc>
          <w:tcPr>
            <w:tcW w:type="dxa" w:w="3628"/>
          </w:tcPr>
          <w:p>
            <w:pPr>
              <w:pStyle w:val="TableText"/>
            </w:pPr>
            <w:r>
              <w:rPr>
                <w:rFonts w:ascii="Arial" w:hAnsi="Arial"/>
                <w:sz w:val="16"/>
              </w:rPr>
              <w:t>Models used to determine regulatory capital</w:t>
            </w:r>
          </w:p>
        </w:tc>
        <w:tc>
          <w:tcPr>
            <w:tcW w:type="dxa" w:w="1928"/>
          </w:tcPr>
          <w:p>
            <w:pPr>
              <w:pStyle w:val="TableText"/>
            </w:pPr>
            <w:r>
              <w:rPr>
                <w:rFonts w:ascii="Arial" w:hAnsi="Arial"/>
                <w:sz w:val="16"/>
              </w:rPr>
              <w:t>104–105</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M36</w:t>
            </w:r>
          </w:p>
        </w:tc>
        <w:tc>
          <w:tcPr>
            <w:tcW w:type="dxa" w:w="3628"/>
            <w:shd w:val="clear" w:color="auto" w:fill="F4F6FA"/>
          </w:tcPr>
          <w:p>
            <w:pPr>
              <w:pStyle w:val="TableText"/>
            </w:pPr>
            <w:r>
              <w:rPr>
                <w:rFonts w:ascii="Arial" w:hAnsi="Arial"/>
                <w:sz w:val="16"/>
              </w:rPr>
              <w:t>Valuation and financial reporting models</w:t>
            </w:r>
          </w:p>
        </w:tc>
        <w:tc>
          <w:tcPr>
            <w:tcW w:type="dxa" w:w="1928"/>
            <w:shd w:val="clear" w:color="auto" w:fill="F4F6FA"/>
          </w:tcPr>
          <w:p>
            <w:pPr>
              <w:pStyle w:val="TableText"/>
            </w:pPr>
            <w:r>
              <w:rPr>
                <w:rFonts w:ascii="Arial" w:hAnsi="Arial"/>
                <w:sz w:val="16"/>
              </w:rPr>
              <w:t>106–107</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M37</w:t>
            </w:r>
          </w:p>
        </w:tc>
        <w:tc>
          <w:tcPr>
            <w:tcW w:type="dxa" w:w="3628"/>
          </w:tcPr>
          <w:p>
            <w:pPr>
              <w:pStyle w:val="TableText"/>
            </w:pPr>
            <w:r>
              <w:rPr>
                <w:rFonts w:ascii="Arial" w:hAnsi="Arial"/>
                <w:sz w:val="16"/>
              </w:rPr>
              <w:t>Actuarial, reserving and insurance liability models</w:t>
            </w:r>
          </w:p>
        </w:tc>
        <w:tc>
          <w:tcPr>
            <w:tcW w:type="dxa" w:w="1928"/>
          </w:tcPr>
          <w:p>
            <w:pPr>
              <w:pStyle w:val="TableText"/>
            </w:pPr>
            <w:r>
              <w:rPr>
                <w:rFonts w:ascii="Arial" w:hAnsi="Arial"/>
                <w:sz w:val="16"/>
              </w:rPr>
              <w:t>108–109</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M38</w:t>
            </w:r>
          </w:p>
        </w:tc>
        <w:tc>
          <w:tcPr>
            <w:tcW w:type="dxa" w:w="3628"/>
            <w:shd w:val="clear" w:color="auto" w:fill="F4F6FA"/>
          </w:tcPr>
          <w:p>
            <w:pPr>
              <w:pStyle w:val="TableText"/>
            </w:pPr>
            <w:r>
              <w:rPr>
                <w:rFonts w:ascii="Arial" w:hAnsi="Arial"/>
                <w:sz w:val="16"/>
              </w:rPr>
              <w:t>Models used by RSE licensees</w:t>
            </w:r>
          </w:p>
        </w:tc>
        <w:tc>
          <w:tcPr>
            <w:tcW w:type="dxa" w:w="1928"/>
            <w:shd w:val="clear" w:color="auto" w:fill="F4F6FA"/>
          </w:tcPr>
          <w:p>
            <w:pPr>
              <w:pStyle w:val="TableText"/>
            </w:pPr>
            <w:r>
              <w:rPr>
                <w:rFonts w:ascii="Arial" w:hAnsi="Arial"/>
                <w:sz w:val="16"/>
              </w:rPr>
              <w:t>110–111</w:t>
            </w:r>
          </w:p>
        </w:tc>
        <w:tc>
          <w:tcPr>
            <w:tcW w:type="dxa" w:w="1871"/>
            <w:shd w:val="clear" w:color="auto" w:fill="F4F6FA"/>
          </w:tcPr>
          <w:p>
            <w:pPr>
              <w:pStyle w:val="TableText"/>
            </w:pPr>
            <w:r>
              <w:rPr>
                <w:rFonts w:ascii="Arial" w:hAnsi="Arial"/>
                <w:sz w:val="16"/>
              </w:rPr>
              <w:t>Inferred</w:t>
            </w:r>
          </w:p>
        </w:tc>
        <w:tc>
          <w:tcPr>
            <w:tcW w:type="dxa" w:w="1134"/>
            <w:shd w:val="clear" w:color="auto" w:fill="F4F6FA"/>
          </w:tcPr>
          <w:p>
            <w:pPr>
              <w:pStyle w:val="TableText"/>
            </w:pPr>
            <w:r>
              <w:rPr>
                <w:rFonts w:ascii="Arial" w:hAnsi="Arial"/>
                <w:sz w:val="16"/>
              </w:rPr>
              <w:t>Yes</w:t>
            </w:r>
          </w:p>
        </w:tc>
      </w:tr>
      <w:tr>
        <w:tc>
          <w:tcPr>
            <w:tcW w:type="dxa" w:w="850"/>
          </w:tcPr>
          <w:p>
            <w:pPr>
              <w:pStyle w:val="TableText"/>
            </w:pPr>
            <w:r>
              <w:rPr>
                <w:rFonts w:ascii="Arial" w:hAnsi="Arial"/>
                <w:sz w:val="16"/>
              </w:rPr>
              <w:t>M39</w:t>
            </w:r>
          </w:p>
        </w:tc>
        <w:tc>
          <w:tcPr>
            <w:tcW w:type="dxa" w:w="3628"/>
          </w:tcPr>
          <w:p>
            <w:pPr>
              <w:pStyle w:val="TableText"/>
            </w:pPr>
            <w:r>
              <w:rPr>
                <w:rFonts w:ascii="Arial" w:hAnsi="Arial"/>
                <w:sz w:val="16"/>
              </w:rPr>
              <w:t>Stress testing, scenario and capital planning models</w:t>
            </w:r>
          </w:p>
        </w:tc>
        <w:tc>
          <w:tcPr>
            <w:tcW w:type="dxa" w:w="1928"/>
          </w:tcPr>
          <w:p>
            <w:pPr>
              <w:pStyle w:val="TableText"/>
            </w:pPr>
            <w:r>
              <w:rPr>
                <w:rFonts w:ascii="Arial" w:hAnsi="Arial"/>
                <w:sz w:val="16"/>
              </w:rPr>
              <w:t>112–113</w:t>
            </w:r>
          </w:p>
        </w:tc>
        <w:tc>
          <w:tcPr>
            <w:tcW w:type="dxa" w:w="1871"/>
          </w:tcPr>
          <w:p>
            <w:pPr>
              <w:pStyle w:val="TableText"/>
            </w:pPr>
            <w:r>
              <w:rPr>
                <w:rFonts w:ascii="Arial" w:hAnsi="Arial"/>
                <w:sz w:val="16"/>
              </w:rPr>
              <w:t>Extracted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M40</w:t>
            </w:r>
          </w:p>
        </w:tc>
        <w:tc>
          <w:tcPr>
            <w:tcW w:type="dxa" w:w="3628"/>
            <w:shd w:val="clear" w:color="auto" w:fill="F4F6FA"/>
          </w:tcPr>
          <w:p>
            <w:pPr>
              <w:pStyle w:val="TableText"/>
            </w:pPr>
            <w:r>
              <w:rPr>
                <w:rFonts w:ascii="Arial" w:hAnsi="Arial"/>
                <w:sz w:val="16"/>
              </w:rPr>
              <w:t>Aggregate assessment of model risk</w:t>
            </w:r>
          </w:p>
        </w:tc>
        <w:tc>
          <w:tcPr>
            <w:tcW w:type="dxa" w:w="1928"/>
            <w:shd w:val="clear" w:color="auto" w:fill="F4F6FA"/>
          </w:tcPr>
          <w:p>
            <w:pPr>
              <w:pStyle w:val="TableText"/>
            </w:pPr>
            <w:r>
              <w:rPr>
                <w:rFonts w:ascii="Arial" w:hAnsi="Arial"/>
                <w:sz w:val="16"/>
              </w:rPr>
              <w:t>41, 114–116</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M41</w:t>
            </w:r>
          </w:p>
        </w:tc>
        <w:tc>
          <w:tcPr>
            <w:tcW w:type="dxa" w:w="3628"/>
          </w:tcPr>
          <w:p>
            <w:pPr>
              <w:pStyle w:val="TableText"/>
            </w:pPr>
            <w:r>
              <w:rPr>
                <w:rFonts w:ascii="Arial" w:hAnsi="Arial"/>
                <w:sz w:val="16"/>
              </w:rPr>
              <w:t>Records and reconstructability</w:t>
            </w:r>
          </w:p>
        </w:tc>
        <w:tc>
          <w:tcPr>
            <w:tcW w:type="dxa" w:w="1928"/>
          </w:tcPr>
          <w:p>
            <w:pPr>
              <w:pStyle w:val="TableText"/>
            </w:pPr>
            <w:r>
              <w:rPr>
                <w:rFonts w:ascii="Arial" w:hAnsi="Arial"/>
                <w:sz w:val="16"/>
              </w:rPr>
              <w:t>117–118</w:t>
            </w:r>
          </w:p>
        </w:tc>
        <w:tc>
          <w:tcPr>
            <w:tcW w:type="dxa" w:w="1871"/>
          </w:tcPr>
          <w:p>
            <w:pPr>
              <w:pStyle w:val="TableText"/>
            </w:pPr>
            <w:r>
              <w:rPr>
                <w:rFonts w:ascii="Arial" w:hAnsi="Arial"/>
                <w:sz w:val="16"/>
              </w:rPr>
              <w:t>Extracted + inferred</w:t>
            </w:r>
          </w:p>
        </w:tc>
        <w:tc>
          <w:tcPr>
            <w:tcW w:type="dxa" w:w="1134"/>
          </w:tcPr>
          <w:p>
            <w:pPr>
              <w:pStyle w:val="TableText"/>
            </w:pPr>
            <w:r>
              <w:rPr>
                <w:rFonts w:ascii="Arial" w:hAnsi="Arial"/>
                <w:sz w:val="16"/>
              </w:rPr>
              <w:t>No</w:t>
            </w:r>
          </w:p>
        </w:tc>
      </w:tr>
      <w:tr>
        <w:tc>
          <w:tcPr>
            <w:tcW w:type="dxa" w:w="850"/>
            <w:shd w:val="clear" w:color="auto" w:fill="F4F6FA"/>
          </w:tcPr>
          <w:p>
            <w:pPr>
              <w:pStyle w:val="TableText"/>
            </w:pPr>
            <w:r>
              <w:rPr>
                <w:rFonts w:ascii="Arial" w:hAnsi="Arial"/>
                <w:sz w:val="16"/>
              </w:rPr>
              <w:t>M42</w:t>
            </w:r>
          </w:p>
        </w:tc>
        <w:tc>
          <w:tcPr>
            <w:tcW w:type="dxa" w:w="3628"/>
            <w:shd w:val="clear" w:color="auto" w:fill="F4F6FA"/>
          </w:tcPr>
          <w:p>
            <w:pPr>
              <w:pStyle w:val="TableText"/>
            </w:pPr>
            <w:r>
              <w:rPr>
                <w:rFonts w:ascii="Arial" w:hAnsi="Arial"/>
                <w:sz w:val="16"/>
              </w:rPr>
              <w:t>Internal audit and independent assurance</w:t>
            </w:r>
          </w:p>
        </w:tc>
        <w:tc>
          <w:tcPr>
            <w:tcW w:type="dxa" w:w="1928"/>
            <w:shd w:val="clear" w:color="auto" w:fill="F4F6FA"/>
          </w:tcPr>
          <w:p>
            <w:pPr>
              <w:pStyle w:val="TableText"/>
            </w:pPr>
            <w:r>
              <w:rPr>
                <w:rFonts w:ascii="Arial" w:hAnsi="Arial"/>
                <w:sz w:val="16"/>
              </w:rPr>
              <w:t>68, 119–120</w:t>
            </w:r>
          </w:p>
        </w:tc>
        <w:tc>
          <w:tcPr>
            <w:tcW w:type="dxa" w:w="1871"/>
            <w:shd w:val="clear" w:color="auto" w:fill="F4F6FA"/>
          </w:tcPr>
          <w:p>
            <w:pPr>
              <w:pStyle w:val="TableText"/>
            </w:pPr>
            <w:r>
              <w:rPr>
                <w:rFonts w:ascii="Arial" w:hAnsi="Arial"/>
                <w:sz w:val="16"/>
              </w:rPr>
              <w:t>Extracted</w:t>
            </w:r>
          </w:p>
        </w:tc>
        <w:tc>
          <w:tcPr>
            <w:tcW w:type="dxa" w:w="1134"/>
            <w:shd w:val="clear" w:color="auto" w:fill="F4F6FA"/>
          </w:tcPr>
          <w:p>
            <w:pPr>
              <w:pStyle w:val="TableText"/>
            </w:pPr>
            <w:r>
              <w:rPr>
                <w:rFonts w:ascii="Arial" w:hAnsi="Arial"/>
                <w:sz w:val="16"/>
              </w:rPr>
              <w:t>No</w:t>
            </w:r>
          </w:p>
        </w:tc>
      </w:tr>
      <w:tr>
        <w:tc>
          <w:tcPr>
            <w:tcW w:type="dxa" w:w="850"/>
          </w:tcPr>
          <w:p>
            <w:pPr>
              <w:pStyle w:val="TableText"/>
            </w:pPr>
            <w:r>
              <w:rPr>
                <w:rFonts w:ascii="Arial" w:hAnsi="Arial"/>
                <w:sz w:val="16"/>
              </w:rPr>
              <w:t>M43</w:t>
            </w:r>
          </w:p>
        </w:tc>
        <w:tc>
          <w:tcPr>
            <w:tcW w:type="dxa" w:w="3628"/>
          </w:tcPr>
          <w:p>
            <w:pPr>
              <w:pStyle w:val="TableText"/>
            </w:pPr>
            <w:r>
              <w:rPr>
                <w:rFonts w:ascii="Arial" w:hAnsi="Arial"/>
                <w:sz w:val="16"/>
              </w:rPr>
              <w:t>Notification and provision of information to APRA</w:t>
            </w:r>
          </w:p>
        </w:tc>
        <w:tc>
          <w:tcPr>
            <w:tcW w:type="dxa" w:w="1928"/>
          </w:tcPr>
          <w:p>
            <w:pPr>
              <w:pStyle w:val="TableText"/>
            </w:pPr>
            <w:r>
              <w:rPr>
                <w:rFonts w:ascii="Arial" w:hAnsi="Arial"/>
                <w:sz w:val="16"/>
              </w:rPr>
              <w:t>121–122</w:t>
            </w:r>
          </w:p>
        </w:tc>
        <w:tc>
          <w:tcPr>
            <w:tcW w:type="dxa" w:w="1871"/>
          </w:tcPr>
          <w:p>
            <w:pPr>
              <w:pStyle w:val="TableText"/>
            </w:pPr>
            <w:r>
              <w:rPr>
                <w:rFonts w:ascii="Arial" w:hAnsi="Arial"/>
                <w:sz w:val="16"/>
              </w:rPr>
              <w:t>Extracted + inferred; legal drafting required</w:t>
            </w:r>
          </w:p>
        </w:tc>
        <w:tc>
          <w:tcPr>
            <w:tcW w:type="dxa" w:w="1134"/>
          </w:tcPr>
          <w:p>
            <w:pPr>
              <w:pStyle w:val="TableText"/>
            </w:pPr>
            <w:r>
              <w:rPr>
                <w:rFonts w:ascii="Arial" w:hAnsi="Arial"/>
                <w:sz w:val="16"/>
              </w:rPr>
              <w:t>No</w:t>
            </w:r>
          </w:p>
        </w:tc>
      </w:tr>
    </w:tbl>
    <w:p>
      <w:pPr>
        <w:sectPr>
          <w:headerReference w:type="default" r:id="rId9"/>
          <w:footerReference w:type="default" r:id="rId10"/>
          <w:pgSz w:w="11906" w:h="16838"/>
          <w:pgMar w:top="1134" w:right="1247" w:bottom="1077" w:left="1247" w:header="624" w:footer="567" w:gutter="0"/>
          <w:cols w:space="720"/>
          <w:docGrid w:linePitch="360"/>
        </w:sectPr>
      </w:pPr>
    </w:p>
    <w:p>
      <w:pPr>
        <w:pStyle w:val="Heading1"/>
      </w:pPr>
      <w:r>
        <w:t>Annex B — Mapping to international principles</w:t>
      </w:r>
    </w:p>
    <w:p>
      <w:pPr>
        <w:pStyle w:val="GuideBody"/>
      </w:pPr>
      <w:r>
        <w:t>Where each CPS 240 requirement sits against the enumerated principles, outcomes and core elements of the comparator frameworks. Principle labels are reproduced as printed by the issuing authority. A blank cell indicates that the framework does not address the requirement through an enumerated principle, not that it is silent on the subject.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5046"/>
        <w:gridCol w:w="5046"/>
        <w:gridCol w:w="5046"/>
      </w:tblGrid>
      <w:tr>
        <w:trPr>
          <w:tblHeader w:val="true"/>
        </w:trPr>
        <w:tc>
          <w:tcPr>
            <w:tcW w:type="dxa" w:w="1020"/>
            <w:shd w:val="clear" w:color="auto" w:fill="1B335F"/>
          </w:tcPr>
          <w:p>
            <w:pPr>
              <w:pStyle w:val="TableHead"/>
            </w:pPr>
            <w:r>
              <w:rPr>
                <w:rFonts w:ascii="Arial" w:hAnsi="Arial"/>
                <w:b/>
                <w:color w:val="FFFFFF"/>
                <w:sz w:val="15"/>
              </w:rPr>
              <w:t>CPS 240</w:t>
            </w:r>
          </w:p>
        </w:tc>
        <w:tc>
          <w:tcPr>
            <w:tcW w:type="dxa" w:w="3402"/>
            <w:shd w:val="clear" w:color="auto" w:fill="1B335F"/>
          </w:tcPr>
          <w:p>
            <w:pPr>
              <w:pStyle w:val="TableHead"/>
            </w:pPr>
            <w:r>
              <w:rPr>
                <w:rFonts w:ascii="Arial" w:hAnsi="Arial"/>
                <w:b/>
                <w:color w:val="FFFFFF"/>
                <w:sz w:val="15"/>
              </w:rPr>
              <w:t>Requirement</w:t>
            </w:r>
          </w:p>
        </w:tc>
        <w:tc>
          <w:tcPr>
            <w:tcW w:type="dxa" w:w="9184"/>
            <w:shd w:val="clear" w:color="auto" w:fill="1B335F"/>
          </w:tcPr>
          <w:p>
            <w:pPr>
              <w:pStyle w:val="TableHead"/>
            </w:pPr>
            <w:r>
              <w:rPr>
                <w:rFonts w:ascii="Arial" w:hAnsi="Arial"/>
                <w:b/>
                <w:color w:val="FFFFFF"/>
                <w:sz w:val="15"/>
              </w:rPr>
              <w:t>Corresponding international principle</w:t>
            </w:r>
          </w:p>
        </w:tc>
      </w:tr>
      <w:tr>
        <w:tc>
          <w:tcPr>
            <w:tcW w:type="dxa" w:w="1020"/>
          </w:tcPr>
          <w:p>
            <w:pPr>
              <w:pStyle w:val="TableText"/>
            </w:pPr>
            <w:r>
              <w:rPr>
                <w:rFonts w:ascii="Arial" w:hAnsi="Arial"/>
                <w:sz w:val="15"/>
              </w:rPr>
              <w:t>M01</w:t>
            </w:r>
          </w:p>
        </w:tc>
        <w:tc>
          <w:tcPr>
            <w:tcW w:type="dxa" w:w="3402"/>
          </w:tcPr>
          <w:p>
            <w:pPr>
              <w:pStyle w:val="TableText"/>
            </w:pPr>
            <w:r>
              <w:rPr>
                <w:rFonts w:ascii="Arial" w:hAnsi="Arial"/>
                <w:sz w:val="15"/>
              </w:rPr>
              <w:t>Enterprise-wide application and retained accountability</w:t>
            </w:r>
          </w:p>
        </w:tc>
        <w:tc>
          <w:tcPr>
            <w:tcW w:type="dxa" w:w="9184"/>
          </w:tcPr>
          <w:p>
            <w:pPr>
              <w:pStyle w:val="TableText"/>
            </w:pPr>
            <w:r>
              <w:rPr>
                <w:rFonts w:ascii="Arial" w:hAnsi="Arial"/>
                <w:sz w:val="15"/>
              </w:rPr>
              <w:t>US interagency guidance 2026 §III; PRA SS1/23 Principle 1; OSFI E-23 enterprise-wide MRM</w:t>
            </w:r>
          </w:p>
        </w:tc>
      </w:tr>
      <w:tr>
        <w:tc>
          <w:tcPr>
            <w:tcW w:type="dxa" w:w="1020"/>
            <w:shd w:val="clear" w:color="auto" w:fill="F4F6FA"/>
          </w:tcPr>
          <w:p>
            <w:pPr>
              <w:pStyle w:val="TableText"/>
            </w:pPr>
            <w:r>
              <w:rPr>
                <w:rFonts w:ascii="Arial" w:hAnsi="Arial"/>
                <w:sz w:val="15"/>
              </w:rPr>
              <w:t>M02</w:t>
            </w:r>
          </w:p>
        </w:tc>
        <w:tc>
          <w:tcPr>
            <w:tcW w:type="dxa" w:w="3402"/>
            <w:shd w:val="clear" w:color="auto" w:fill="F4F6FA"/>
          </w:tcPr>
          <w:p>
            <w:pPr>
              <w:pStyle w:val="TableText"/>
            </w:pPr>
            <w:r>
              <w:rPr>
                <w:rFonts w:ascii="Arial" w:hAnsi="Arial"/>
                <w:sz w:val="15"/>
              </w:rPr>
              <w:t>Definition of a model and of model risk</w:t>
            </w:r>
          </w:p>
        </w:tc>
        <w:tc>
          <w:tcPr>
            <w:tcW w:type="dxa" w:w="9184"/>
            <w:shd w:val="clear" w:color="auto" w:fill="F4F6FA"/>
          </w:tcPr>
          <w:p>
            <w:pPr>
              <w:pStyle w:val="TableText"/>
            </w:pPr>
            <w:r>
              <w:rPr>
                <w:rFonts w:ascii="Arial" w:hAnsi="Arial"/>
                <w:sz w:val="15"/>
              </w:rPr>
              <w:t>PRA SS1/23 Principle 1.1 Model definition; OSFI E-23 (2027) key terms; US interagency guidance 2026 §II (narrower — excludes deterministic and arithmetic methods)</w:t>
            </w:r>
          </w:p>
        </w:tc>
      </w:tr>
      <w:tr>
        <w:tc>
          <w:tcPr>
            <w:tcW w:type="dxa" w:w="1020"/>
          </w:tcPr>
          <w:p>
            <w:pPr>
              <w:pStyle w:val="TableText"/>
            </w:pPr>
            <w:r>
              <w:rPr>
                <w:rFonts w:ascii="Arial" w:hAnsi="Arial"/>
                <w:sz w:val="15"/>
              </w:rPr>
              <w:t>M03</w:t>
            </w:r>
          </w:p>
        </w:tc>
        <w:tc>
          <w:tcPr>
            <w:tcW w:type="dxa" w:w="3402"/>
          </w:tcPr>
          <w:p>
            <w:pPr>
              <w:pStyle w:val="TableText"/>
            </w:pPr>
            <w:r>
              <w:rPr>
                <w:rFonts w:ascii="Arial" w:hAnsi="Arial"/>
                <w:sz w:val="15"/>
              </w:rPr>
              <w:t>Quantitative tools that are not models</w:t>
            </w:r>
          </w:p>
        </w:tc>
        <w:tc>
          <w:tcPr>
            <w:tcW w:type="dxa" w:w="9184"/>
          </w:tcPr>
          <w:p>
            <w:pPr>
              <w:pStyle w:val="TableText"/>
            </w:pPr>
            <w:r>
              <w:rPr>
                <w:rFonts w:ascii="Arial" w:hAnsi="Arial"/>
                <w:sz w:val="15"/>
              </w:rPr>
              <w:t>PRA SS1/23 Principle 1 (identification of non-model quantitative methods)</w:t>
            </w:r>
          </w:p>
        </w:tc>
      </w:tr>
      <w:tr>
        <w:tc>
          <w:tcPr>
            <w:tcW w:type="dxa" w:w="1020"/>
            <w:shd w:val="clear" w:color="auto" w:fill="F4F6FA"/>
          </w:tcPr>
          <w:p>
            <w:pPr>
              <w:pStyle w:val="TableText"/>
            </w:pPr>
            <w:r>
              <w:rPr>
                <w:rFonts w:ascii="Arial" w:hAnsi="Arial"/>
                <w:sz w:val="15"/>
              </w:rPr>
              <w:t>M04</w:t>
            </w:r>
          </w:p>
        </w:tc>
        <w:tc>
          <w:tcPr>
            <w:tcW w:type="dxa" w:w="3402"/>
            <w:shd w:val="clear" w:color="auto" w:fill="F4F6FA"/>
          </w:tcPr>
          <w:p>
            <w:pPr>
              <w:pStyle w:val="TableText"/>
            </w:pPr>
            <w:r>
              <w:rPr>
                <w:rFonts w:ascii="Arial" w:hAnsi="Arial"/>
                <w:sz w:val="15"/>
              </w:rPr>
              <w:t>Proportionality and controlled exceptions</w:t>
            </w:r>
          </w:p>
        </w:tc>
        <w:tc>
          <w:tcPr>
            <w:tcW w:type="dxa" w:w="9184"/>
            <w:shd w:val="clear" w:color="auto" w:fill="F4F6FA"/>
          </w:tcPr>
          <w:p>
            <w:pPr>
              <w:pStyle w:val="TableText"/>
            </w:pPr>
            <w:r>
              <w:rPr>
                <w:rFonts w:ascii="Arial" w:hAnsi="Arial"/>
                <w:sz w:val="15"/>
              </w:rPr>
              <w:t>PRA SS1/23 proportionality; OSFI E-23 risk-based application; US interagency guidance 2026 §II</w:t>
            </w:r>
          </w:p>
        </w:tc>
      </w:tr>
      <w:tr>
        <w:tc>
          <w:tcPr>
            <w:tcW w:type="dxa" w:w="1020"/>
          </w:tcPr>
          <w:p>
            <w:pPr>
              <w:pStyle w:val="TableText"/>
            </w:pPr>
            <w:r>
              <w:rPr>
                <w:rFonts w:ascii="Arial" w:hAnsi="Arial"/>
                <w:sz w:val="15"/>
              </w:rPr>
              <w:t>M05</w:t>
            </w:r>
          </w:p>
        </w:tc>
        <w:tc>
          <w:tcPr>
            <w:tcW w:type="dxa" w:w="3402"/>
          </w:tcPr>
          <w:p>
            <w:pPr>
              <w:pStyle w:val="TableText"/>
            </w:pPr>
            <w:r>
              <w:rPr>
                <w:rFonts w:ascii="Arial" w:hAnsi="Arial"/>
                <w:sz w:val="15"/>
              </w:rPr>
              <w:t>Board oversight of model risk</w:t>
            </w:r>
          </w:p>
        </w:tc>
        <w:tc>
          <w:tcPr>
            <w:tcW w:type="dxa" w:w="9184"/>
          </w:tcPr>
          <w:p>
            <w:pPr>
              <w:pStyle w:val="TableText"/>
            </w:pPr>
            <w:r>
              <w:rPr>
                <w:rFonts w:ascii="Arial" w:hAnsi="Arial"/>
                <w:sz w:val="15"/>
              </w:rPr>
              <w:t>PRA SS1/23 Principle 2 (governance); US interagency guidance 2026 §VI; OSFI E-23 governance</w:t>
            </w:r>
          </w:p>
        </w:tc>
      </w:tr>
      <w:tr>
        <w:tc>
          <w:tcPr>
            <w:tcW w:type="dxa" w:w="1020"/>
            <w:shd w:val="clear" w:color="auto" w:fill="F4F6FA"/>
          </w:tcPr>
          <w:p>
            <w:pPr>
              <w:pStyle w:val="TableText"/>
            </w:pPr>
            <w:r>
              <w:rPr>
                <w:rFonts w:ascii="Arial" w:hAnsi="Arial"/>
                <w:sz w:val="15"/>
              </w:rPr>
              <w:t>M06</w:t>
            </w:r>
          </w:p>
        </w:tc>
        <w:tc>
          <w:tcPr>
            <w:tcW w:type="dxa" w:w="3402"/>
            <w:shd w:val="clear" w:color="auto" w:fill="F4F6FA"/>
          </w:tcPr>
          <w:p>
            <w:pPr>
              <w:pStyle w:val="TableText"/>
            </w:pPr>
            <w:r>
              <w:rPr>
                <w:rFonts w:ascii="Arial" w:hAnsi="Arial"/>
                <w:sz w:val="15"/>
              </w:rPr>
              <w:t>Senior accountability for the framework</w:t>
            </w:r>
          </w:p>
        </w:tc>
        <w:tc>
          <w:tcPr>
            <w:tcW w:type="dxa" w:w="9184"/>
            <w:shd w:val="clear" w:color="auto" w:fill="F4F6FA"/>
          </w:tcPr>
          <w:p>
            <w:pPr>
              <w:pStyle w:val="TableText"/>
            </w:pPr>
            <w:r>
              <w:rPr>
                <w:rFonts w:ascii="Arial" w:hAnsi="Arial"/>
                <w:sz w:val="15"/>
              </w:rPr>
              <w:t>PRA SS1/23 Principle 2 (senior management function accountability); OSFI E-23 accountability</w:t>
            </w:r>
          </w:p>
        </w:tc>
      </w:tr>
      <w:tr>
        <w:tc>
          <w:tcPr>
            <w:tcW w:type="dxa" w:w="1020"/>
          </w:tcPr>
          <w:p>
            <w:pPr>
              <w:pStyle w:val="TableText"/>
            </w:pPr>
            <w:r>
              <w:rPr>
                <w:rFonts w:ascii="Arial" w:hAnsi="Arial"/>
                <w:sz w:val="15"/>
              </w:rPr>
              <w:t>M07</w:t>
            </w:r>
          </w:p>
        </w:tc>
        <w:tc>
          <w:tcPr>
            <w:tcW w:type="dxa" w:w="3402"/>
          </w:tcPr>
          <w:p>
            <w:pPr>
              <w:pStyle w:val="TableText"/>
            </w:pPr>
            <w:r>
              <w:rPr>
                <w:rFonts w:ascii="Arial" w:hAnsi="Arial"/>
                <w:sz w:val="15"/>
              </w:rPr>
              <w:t>Model ownership and defined lifecycle roles</w:t>
            </w:r>
          </w:p>
        </w:tc>
        <w:tc>
          <w:tcPr>
            <w:tcW w:type="dxa" w:w="9184"/>
          </w:tcPr>
          <w:p>
            <w:pPr>
              <w:pStyle w:val="TableText"/>
            </w:pPr>
            <w:r>
              <w:rPr>
                <w:rFonts w:ascii="Arial" w:hAnsi="Arial"/>
                <w:sz w:val="15"/>
              </w:rPr>
              <w:t>US interagency guidance 2026 §VI roles; OSFI E-23 roles and responsibilities; ECB internal governance</w:t>
            </w:r>
          </w:p>
        </w:tc>
      </w:tr>
      <w:tr>
        <w:tc>
          <w:tcPr>
            <w:tcW w:type="dxa" w:w="1020"/>
            <w:shd w:val="clear" w:color="auto" w:fill="F4F6FA"/>
          </w:tcPr>
          <w:p>
            <w:pPr>
              <w:pStyle w:val="TableText"/>
            </w:pPr>
            <w:r>
              <w:rPr>
                <w:rFonts w:ascii="Arial" w:hAnsi="Arial"/>
                <w:sz w:val="15"/>
              </w:rPr>
              <w:t>M08</w:t>
            </w:r>
          </w:p>
        </w:tc>
        <w:tc>
          <w:tcPr>
            <w:tcW w:type="dxa" w:w="3402"/>
            <w:shd w:val="clear" w:color="auto" w:fill="F4F6FA"/>
          </w:tcPr>
          <w:p>
            <w:pPr>
              <w:pStyle w:val="TableText"/>
            </w:pPr>
            <w:r>
              <w:rPr>
                <w:rFonts w:ascii="Arial" w:hAnsi="Arial"/>
                <w:sz w:val="15"/>
              </w:rPr>
              <w:t>Capability, resourcing and independence</w:t>
            </w:r>
          </w:p>
        </w:tc>
        <w:tc>
          <w:tcPr>
            <w:tcW w:type="dxa" w:w="9184"/>
            <w:shd w:val="clear" w:color="auto" w:fill="F4F6FA"/>
          </w:tcPr>
          <w:p>
            <w:pPr>
              <w:pStyle w:val="TableText"/>
            </w:pPr>
            <w:r>
              <w:rPr>
                <w:rFonts w:ascii="Arial" w:hAnsi="Arial"/>
                <w:sz w:val="15"/>
              </w:rPr>
              <w:t>US interagency guidance 2026 §V; PRA SS1/23 Principle 4.1; PRA SS1/23 Principle 4; ECB internal validation</w:t>
            </w:r>
          </w:p>
        </w:tc>
      </w:tr>
      <w:tr>
        <w:tc>
          <w:tcPr>
            <w:tcW w:type="dxa" w:w="1020"/>
          </w:tcPr>
          <w:p>
            <w:pPr>
              <w:pStyle w:val="TableText"/>
            </w:pPr>
            <w:r>
              <w:rPr>
                <w:rFonts w:ascii="Arial" w:hAnsi="Arial"/>
                <w:sz w:val="15"/>
              </w:rPr>
              <w:t>M09</w:t>
            </w:r>
          </w:p>
        </w:tc>
        <w:tc>
          <w:tcPr>
            <w:tcW w:type="dxa" w:w="3402"/>
          </w:tcPr>
          <w:p>
            <w:pPr>
              <w:pStyle w:val="TableText"/>
            </w:pPr>
            <w:r>
              <w:rPr>
                <w:rFonts w:ascii="Arial" w:hAnsi="Arial"/>
                <w:sz w:val="15"/>
              </w:rPr>
              <w:t>Integrated model risk management framework</w:t>
            </w:r>
          </w:p>
        </w:tc>
        <w:tc>
          <w:tcPr>
            <w:tcW w:type="dxa" w:w="9184"/>
          </w:tcPr>
          <w:p>
            <w:pPr>
              <w:pStyle w:val="TableText"/>
            </w:pPr>
            <w:r>
              <w:rPr>
                <w:rFonts w:ascii="Arial" w:hAnsi="Arial"/>
                <w:sz w:val="15"/>
              </w:rPr>
              <w:t>PRA SS1/23 Principle 2; OSFI E-23 enterprise framework; US interagency guidance 2026 §VI</w:t>
            </w:r>
          </w:p>
        </w:tc>
      </w:tr>
      <w:tr>
        <w:tc>
          <w:tcPr>
            <w:tcW w:type="dxa" w:w="1020"/>
            <w:shd w:val="clear" w:color="auto" w:fill="F4F6FA"/>
          </w:tcPr>
          <w:p>
            <w:pPr>
              <w:pStyle w:val="TableText"/>
            </w:pPr>
            <w:r>
              <w:rPr>
                <w:rFonts w:ascii="Arial" w:hAnsi="Arial"/>
                <w:sz w:val="15"/>
              </w:rPr>
              <w:t>M10</w:t>
            </w:r>
          </w:p>
        </w:tc>
        <w:tc>
          <w:tcPr>
            <w:tcW w:type="dxa" w:w="3402"/>
            <w:shd w:val="clear" w:color="auto" w:fill="F4F6FA"/>
          </w:tcPr>
          <w:p>
            <w:pPr>
              <w:pStyle w:val="TableText"/>
            </w:pPr>
            <w:r>
              <w:rPr>
                <w:rFonts w:ascii="Arial" w:hAnsi="Arial"/>
                <w:sz w:val="15"/>
              </w:rPr>
              <w:t>Model risk appetite and limits</w:t>
            </w:r>
          </w:p>
        </w:tc>
        <w:tc>
          <w:tcPr>
            <w:tcW w:type="dxa" w:w="9184"/>
            <w:shd w:val="clear" w:color="auto" w:fill="F4F6FA"/>
          </w:tcPr>
          <w:p>
            <w:pPr>
              <w:pStyle w:val="TableText"/>
            </w:pPr>
            <w:r>
              <w:rPr>
                <w:rFonts w:ascii="Arial" w:hAnsi="Arial"/>
                <w:sz w:val="15"/>
              </w:rPr>
              <w:t>PRA SS1/23 Principle 2 (risk appetite); OSFI E-23 framework aligned to risk appetite</w:t>
            </w:r>
          </w:p>
        </w:tc>
      </w:tr>
      <w:tr>
        <w:tc>
          <w:tcPr>
            <w:tcW w:type="dxa" w:w="1020"/>
          </w:tcPr>
          <w:p>
            <w:pPr>
              <w:pStyle w:val="TableText"/>
            </w:pPr>
            <w:r>
              <w:rPr>
                <w:rFonts w:ascii="Arial" w:hAnsi="Arial"/>
                <w:sz w:val="15"/>
              </w:rPr>
              <w:t>M11</w:t>
            </w:r>
          </w:p>
        </w:tc>
        <w:tc>
          <w:tcPr>
            <w:tcW w:type="dxa" w:w="3402"/>
          </w:tcPr>
          <w:p>
            <w:pPr>
              <w:pStyle w:val="TableText"/>
            </w:pPr>
            <w:r>
              <w:rPr>
                <w:rFonts w:ascii="Arial" w:hAnsi="Arial"/>
                <w:sz w:val="15"/>
              </w:rPr>
              <w:t>Policy, standards and consistency of application</w:t>
            </w:r>
          </w:p>
        </w:tc>
        <w:tc>
          <w:tcPr>
            <w:tcW w:type="dxa" w:w="9184"/>
          </w:tcPr>
          <w:p>
            <w:pPr>
              <w:pStyle w:val="TableText"/>
            </w:pPr>
            <w:r>
              <w:rPr>
                <w:rFonts w:ascii="Arial" w:hAnsi="Arial"/>
                <w:sz w:val="15"/>
              </w:rPr>
              <w:t>US interagency guidance 2026 §VI policies; OSFI E-23 policies and procedures</w:t>
            </w:r>
          </w:p>
        </w:tc>
      </w:tr>
      <w:tr>
        <w:tc>
          <w:tcPr>
            <w:tcW w:type="dxa" w:w="1020"/>
            <w:shd w:val="clear" w:color="auto" w:fill="F4F6FA"/>
          </w:tcPr>
          <w:p>
            <w:pPr>
              <w:pStyle w:val="TableText"/>
            </w:pPr>
            <w:r>
              <w:rPr>
                <w:rFonts w:ascii="Arial" w:hAnsi="Arial"/>
                <w:sz w:val="15"/>
              </w:rPr>
              <w:t>M12</w:t>
            </w:r>
          </w:p>
        </w:tc>
        <w:tc>
          <w:tcPr>
            <w:tcW w:type="dxa" w:w="3402"/>
            <w:shd w:val="clear" w:color="auto" w:fill="F4F6FA"/>
          </w:tcPr>
          <w:p>
            <w:pPr>
              <w:pStyle w:val="TableText"/>
            </w:pPr>
            <w:r>
              <w:rPr>
                <w:rFonts w:ascii="Arial" w:hAnsi="Arial"/>
                <w:sz w:val="15"/>
              </w:rPr>
              <w:t>Management information and escalation</w:t>
            </w:r>
          </w:p>
        </w:tc>
        <w:tc>
          <w:tcPr>
            <w:tcW w:type="dxa" w:w="9184"/>
            <w:shd w:val="clear" w:color="auto" w:fill="F4F6FA"/>
          </w:tcPr>
          <w:p>
            <w:pPr>
              <w:pStyle w:val="TableText"/>
            </w:pPr>
            <w:r>
              <w:rPr>
                <w:rFonts w:ascii="Arial" w:hAnsi="Arial"/>
                <w:sz w:val="15"/>
              </w:rPr>
              <w:t>PRA SS1/23 Principle 5; OSFI E-23 reporting; BCBS 239 risk reporting practices</w:t>
            </w:r>
          </w:p>
        </w:tc>
      </w:tr>
      <w:tr>
        <w:tc>
          <w:tcPr>
            <w:tcW w:type="dxa" w:w="1020"/>
          </w:tcPr>
          <w:p>
            <w:pPr>
              <w:pStyle w:val="TableText"/>
            </w:pPr>
            <w:r>
              <w:rPr>
                <w:rFonts w:ascii="Arial" w:hAnsi="Arial"/>
                <w:sz w:val="15"/>
              </w:rPr>
              <w:t>M13</w:t>
            </w:r>
          </w:p>
        </w:tc>
        <w:tc>
          <w:tcPr>
            <w:tcW w:type="dxa" w:w="3402"/>
          </w:tcPr>
          <w:p>
            <w:pPr>
              <w:pStyle w:val="TableText"/>
            </w:pPr>
            <w:r>
              <w:rPr>
                <w:rFonts w:ascii="Arial" w:hAnsi="Arial"/>
                <w:sz w:val="15"/>
              </w:rPr>
              <w:t>Model identification and enterprise inventory</w:t>
            </w:r>
          </w:p>
        </w:tc>
        <w:tc>
          <w:tcPr>
            <w:tcW w:type="dxa" w:w="9184"/>
          </w:tcPr>
          <w:p>
            <w:pPr>
              <w:pStyle w:val="TableText"/>
            </w:pPr>
            <w:r>
              <w:rPr>
                <w:rFonts w:ascii="Arial" w:hAnsi="Arial"/>
                <w:sz w:val="15"/>
              </w:rPr>
              <w:t>PRA SS1/23 Principle 1; US interagency guidance 2026 §VI inventory; OSFI E-23 model inventory</w:t>
            </w:r>
          </w:p>
        </w:tc>
      </w:tr>
      <w:tr>
        <w:tc>
          <w:tcPr>
            <w:tcW w:type="dxa" w:w="1020"/>
            <w:shd w:val="clear" w:color="auto" w:fill="F4F6FA"/>
          </w:tcPr>
          <w:p>
            <w:pPr>
              <w:pStyle w:val="TableText"/>
            </w:pPr>
            <w:r>
              <w:rPr>
                <w:rFonts w:ascii="Arial" w:hAnsi="Arial"/>
                <w:sz w:val="15"/>
              </w:rPr>
              <w:t>M14</w:t>
            </w:r>
          </w:p>
        </w:tc>
        <w:tc>
          <w:tcPr>
            <w:tcW w:type="dxa" w:w="3402"/>
            <w:shd w:val="clear" w:color="auto" w:fill="F4F6FA"/>
          </w:tcPr>
          <w:p>
            <w:pPr>
              <w:pStyle w:val="TableText"/>
            </w:pPr>
            <w:r>
              <w:rPr>
                <w:rFonts w:ascii="Arial" w:hAnsi="Arial"/>
                <w:sz w:val="15"/>
              </w:rPr>
              <w:t>Model risk tiering</w:t>
            </w:r>
          </w:p>
        </w:tc>
        <w:tc>
          <w:tcPr>
            <w:tcW w:type="dxa" w:w="9184"/>
            <w:shd w:val="clear" w:color="auto" w:fill="F4F6FA"/>
          </w:tcPr>
          <w:p>
            <w:pPr>
              <w:pStyle w:val="TableText"/>
            </w:pPr>
            <w:r>
              <w:rPr>
                <w:rFonts w:ascii="Arial" w:hAnsi="Arial"/>
                <w:sz w:val="15"/>
              </w:rPr>
              <w:t>PRA SS1/23 Principle 1 (model risk classification); OSFI E-23 model risk rating</w:t>
            </w:r>
          </w:p>
        </w:tc>
      </w:tr>
      <w:tr>
        <w:tc>
          <w:tcPr>
            <w:tcW w:type="dxa" w:w="1020"/>
          </w:tcPr>
          <w:p>
            <w:pPr>
              <w:pStyle w:val="TableText"/>
            </w:pPr>
            <w:r>
              <w:rPr>
                <w:rFonts w:ascii="Arial" w:hAnsi="Arial"/>
                <w:sz w:val="15"/>
              </w:rPr>
              <w:t>M15</w:t>
            </w:r>
          </w:p>
        </w:tc>
        <w:tc>
          <w:tcPr>
            <w:tcW w:type="dxa" w:w="3402"/>
          </w:tcPr>
          <w:p>
            <w:pPr>
              <w:pStyle w:val="TableText"/>
            </w:pPr>
            <w:r>
              <w:rPr>
                <w:rFonts w:ascii="Arial" w:hAnsi="Arial"/>
                <w:sz w:val="15"/>
              </w:rPr>
              <w:t>Reassessment and trigger events</w:t>
            </w:r>
          </w:p>
        </w:tc>
        <w:tc>
          <w:tcPr>
            <w:tcW w:type="dxa" w:w="9184"/>
          </w:tcPr>
          <w:p>
            <w:pPr>
              <w:pStyle w:val="TableText"/>
            </w:pPr>
            <w:r>
              <w:rPr>
                <w:rFonts w:ascii="Arial" w:hAnsi="Arial"/>
                <w:sz w:val="15"/>
              </w:rPr>
              <w:t>OSFI E-23 review triggers; ECB model change management</w:t>
            </w:r>
          </w:p>
        </w:tc>
      </w:tr>
      <w:tr>
        <w:tc>
          <w:tcPr>
            <w:tcW w:type="dxa" w:w="1020"/>
            <w:shd w:val="clear" w:color="auto" w:fill="F4F6FA"/>
          </w:tcPr>
          <w:p>
            <w:pPr>
              <w:pStyle w:val="TableText"/>
            </w:pPr>
            <w:r>
              <w:rPr>
                <w:rFonts w:ascii="Arial" w:hAnsi="Arial"/>
                <w:sz w:val="15"/>
              </w:rPr>
              <w:t>M16</w:t>
            </w:r>
          </w:p>
        </w:tc>
        <w:tc>
          <w:tcPr>
            <w:tcW w:type="dxa" w:w="3402"/>
            <w:shd w:val="clear" w:color="auto" w:fill="F4F6FA"/>
          </w:tcPr>
          <w:p>
            <w:pPr>
              <w:pStyle w:val="TableText"/>
            </w:pPr>
            <w:r>
              <w:rPr>
                <w:rFonts w:ascii="Arial" w:hAnsi="Arial"/>
                <w:sz w:val="15"/>
              </w:rPr>
              <w:t>Conceptual soundness and development standards</w:t>
            </w:r>
          </w:p>
        </w:tc>
        <w:tc>
          <w:tcPr>
            <w:tcW w:type="dxa" w:w="9184"/>
            <w:shd w:val="clear" w:color="auto" w:fill="F4F6FA"/>
          </w:tcPr>
          <w:p>
            <w:pPr>
              <w:pStyle w:val="TableText"/>
            </w:pPr>
            <w:r>
              <w:rPr>
                <w:rFonts w:ascii="Arial" w:hAnsi="Arial"/>
                <w:sz w:val="15"/>
              </w:rPr>
              <w:t>US interagency guidance 2026 §IV; PRA SS1/23 Principle 3; ECB internal models general topics</w:t>
            </w:r>
          </w:p>
        </w:tc>
      </w:tr>
      <w:tr>
        <w:tc>
          <w:tcPr>
            <w:tcW w:type="dxa" w:w="1020"/>
          </w:tcPr>
          <w:p>
            <w:pPr>
              <w:pStyle w:val="TableText"/>
            </w:pPr>
            <w:r>
              <w:rPr>
                <w:rFonts w:ascii="Arial" w:hAnsi="Arial"/>
                <w:sz w:val="15"/>
              </w:rPr>
              <w:t>M17</w:t>
            </w:r>
          </w:p>
        </w:tc>
        <w:tc>
          <w:tcPr>
            <w:tcW w:type="dxa" w:w="3402"/>
          </w:tcPr>
          <w:p>
            <w:pPr>
              <w:pStyle w:val="TableText"/>
            </w:pPr>
            <w:r>
              <w:rPr>
                <w:rFonts w:ascii="Arial" w:hAnsi="Arial"/>
                <w:sz w:val="15"/>
              </w:rPr>
              <w:t>Data quality, provenance and appropriateness</w:t>
            </w:r>
          </w:p>
        </w:tc>
        <w:tc>
          <w:tcPr>
            <w:tcW w:type="dxa" w:w="9184"/>
          </w:tcPr>
          <w:p>
            <w:pPr>
              <w:pStyle w:val="TableText"/>
            </w:pPr>
            <w:r>
              <w:rPr>
                <w:rFonts w:ascii="Arial" w:hAnsi="Arial"/>
                <w:sz w:val="15"/>
              </w:rPr>
              <w:t>BCBS 239 risk data aggregation capabilities; US interagency guidance 2026 §IV data; ECB data quality</w:t>
            </w:r>
          </w:p>
        </w:tc>
      </w:tr>
      <w:tr>
        <w:tc>
          <w:tcPr>
            <w:tcW w:type="dxa" w:w="1020"/>
            <w:shd w:val="clear" w:color="auto" w:fill="F4F6FA"/>
          </w:tcPr>
          <w:p>
            <w:pPr>
              <w:pStyle w:val="TableText"/>
            </w:pPr>
            <w:r>
              <w:rPr>
                <w:rFonts w:ascii="Arial" w:hAnsi="Arial"/>
                <w:sz w:val="15"/>
              </w:rPr>
              <w:t>M18</w:t>
            </w:r>
          </w:p>
        </w:tc>
        <w:tc>
          <w:tcPr>
            <w:tcW w:type="dxa" w:w="3402"/>
            <w:shd w:val="clear" w:color="auto" w:fill="F4F6FA"/>
          </w:tcPr>
          <w:p>
            <w:pPr>
              <w:pStyle w:val="TableText"/>
            </w:pPr>
            <w:r>
              <w:rPr>
                <w:rFonts w:ascii="Arial" w:hAnsi="Arial"/>
                <w:sz w:val="15"/>
              </w:rPr>
              <w:t>Documentation sufficient for independent reconstruction</w:t>
            </w:r>
          </w:p>
        </w:tc>
        <w:tc>
          <w:tcPr>
            <w:tcW w:type="dxa" w:w="9184"/>
            <w:shd w:val="clear" w:color="auto" w:fill="F4F6FA"/>
          </w:tcPr>
          <w:p>
            <w:pPr>
              <w:pStyle w:val="TableText"/>
            </w:pPr>
            <w:r>
              <w:rPr>
                <w:rFonts w:ascii="Arial" w:hAnsi="Arial"/>
                <w:sz w:val="15"/>
              </w:rPr>
              <w:t>US interagency guidance 2026 §VI documentation; PRA SS1/23 Principle 3; ECB documentation requirements</w:t>
            </w:r>
          </w:p>
        </w:tc>
      </w:tr>
      <w:tr>
        <w:tc>
          <w:tcPr>
            <w:tcW w:type="dxa" w:w="1020"/>
          </w:tcPr>
          <w:p>
            <w:pPr>
              <w:pStyle w:val="TableText"/>
            </w:pPr>
            <w:r>
              <w:rPr>
                <w:rFonts w:ascii="Arial" w:hAnsi="Arial"/>
                <w:sz w:val="15"/>
              </w:rPr>
              <w:t>M19</w:t>
            </w:r>
          </w:p>
        </w:tc>
        <w:tc>
          <w:tcPr>
            <w:tcW w:type="dxa" w:w="3402"/>
          </w:tcPr>
          <w:p>
            <w:pPr>
              <w:pStyle w:val="TableText"/>
            </w:pPr>
            <w:r>
              <w:rPr>
                <w:rFonts w:ascii="Arial" w:hAnsi="Arial"/>
                <w:sz w:val="15"/>
              </w:rPr>
              <w:t>Pre-implementation testing</w:t>
            </w:r>
          </w:p>
        </w:tc>
        <w:tc>
          <w:tcPr>
            <w:tcW w:type="dxa" w:w="9184"/>
          </w:tcPr>
          <w:p>
            <w:pPr>
              <w:pStyle w:val="TableText"/>
            </w:pPr>
            <w:r>
              <w:rPr>
                <w:rFonts w:ascii="Arial" w:hAnsi="Arial"/>
                <w:sz w:val="15"/>
              </w:rPr>
              <w:t>US interagency guidance 2026 §IV (model testing); PRA SS1/23 Principle 3; ECB pre-approval testing</w:t>
            </w:r>
          </w:p>
        </w:tc>
      </w:tr>
      <w:tr>
        <w:tc>
          <w:tcPr>
            <w:tcW w:type="dxa" w:w="1020"/>
            <w:shd w:val="clear" w:color="auto" w:fill="F4F6FA"/>
          </w:tcPr>
          <w:p>
            <w:pPr>
              <w:pStyle w:val="TableText"/>
            </w:pPr>
            <w:r>
              <w:rPr>
                <w:rFonts w:ascii="Arial" w:hAnsi="Arial"/>
                <w:sz w:val="15"/>
              </w:rPr>
              <w:t>M20</w:t>
            </w:r>
          </w:p>
        </w:tc>
        <w:tc>
          <w:tcPr>
            <w:tcW w:type="dxa" w:w="3402"/>
            <w:shd w:val="clear" w:color="auto" w:fill="F4F6FA"/>
          </w:tcPr>
          <w:p>
            <w:pPr>
              <w:pStyle w:val="TableText"/>
            </w:pPr>
            <w:r>
              <w:rPr>
                <w:rFonts w:ascii="Arial" w:hAnsi="Arial"/>
                <w:sz w:val="15"/>
              </w:rPr>
              <w:t>Independent validation</w:t>
            </w:r>
          </w:p>
        </w:tc>
        <w:tc>
          <w:tcPr>
            <w:tcW w:type="dxa" w:w="9184"/>
            <w:shd w:val="clear" w:color="auto" w:fill="F4F6FA"/>
          </w:tcPr>
          <w:p>
            <w:pPr>
              <w:pStyle w:val="TableText"/>
            </w:pPr>
            <w:r>
              <w:rPr>
                <w:rFonts w:ascii="Arial" w:hAnsi="Arial"/>
                <w:sz w:val="15"/>
              </w:rPr>
              <w:t>US interagency guidance 2026 §V; PRA SS1/23 Principle 4; OSFI E-23 independent review; ECB internal validation</w:t>
            </w:r>
          </w:p>
        </w:tc>
      </w:tr>
      <w:tr>
        <w:tc>
          <w:tcPr>
            <w:tcW w:type="dxa" w:w="1020"/>
          </w:tcPr>
          <w:p>
            <w:pPr>
              <w:pStyle w:val="TableText"/>
            </w:pPr>
            <w:r>
              <w:rPr>
                <w:rFonts w:ascii="Arial" w:hAnsi="Arial"/>
                <w:sz w:val="15"/>
              </w:rPr>
              <w:t>M21</w:t>
            </w:r>
          </w:p>
        </w:tc>
        <w:tc>
          <w:tcPr>
            <w:tcW w:type="dxa" w:w="3402"/>
          </w:tcPr>
          <w:p>
            <w:pPr>
              <w:pStyle w:val="TableText"/>
            </w:pPr>
            <w:r>
              <w:rPr>
                <w:rFonts w:ascii="Arial" w:hAnsi="Arial"/>
                <w:sz w:val="15"/>
              </w:rPr>
              <w:t>Scope of validation</w:t>
            </w:r>
          </w:p>
        </w:tc>
        <w:tc>
          <w:tcPr>
            <w:tcW w:type="dxa" w:w="9184"/>
          </w:tcPr>
          <w:p>
            <w:pPr>
              <w:pStyle w:val="TableText"/>
            </w:pPr>
            <w:r>
              <w:rPr>
                <w:rFonts w:ascii="Arial" w:hAnsi="Arial"/>
                <w:sz w:val="15"/>
              </w:rPr>
              <w:t>US interagency guidance 2026 §V (components of model validation); PRA SS1/23 Principle 4</w:t>
            </w:r>
          </w:p>
        </w:tc>
      </w:tr>
      <w:tr>
        <w:tc>
          <w:tcPr>
            <w:tcW w:type="dxa" w:w="1020"/>
            <w:shd w:val="clear" w:color="auto" w:fill="F4F6FA"/>
          </w:tcPr>
          <w:p>
            <w:pPr>
              <w:pStyle w:val="TableText"/>
            </w:pPr>
            <w:r>
              <w:rPr>
                <w:rFonts w:ascii="Arial" w:hAnsi="Arial"/>
                <w:sz w:val="15"/>
              </w:rPr>
              <w:t>M22</w:t>
            </w:r>
          </w:p>
        </w:tc>
        <w:tc>
          <w:tcPr>
            <w:tcW w:type="dxa" w:w="3402"/>
            <w:shd w:val="clear" w:color="auto" w:fill="F4F6FA"/>
          </w:tcPr>
          <w:p>
            <w:pPr>
              <w:pStyle w:val="TableText"/>
            </w:pPr>
            <w:r>
              <w:rPr>
                <w:rFonts w:ascii="Arial" w:hAnsi="Arial"/>
                <w:sz w:val="15"/>
              </w:rPr>
              <w:t>Effective challenge</w:t>
            </w:r>
          </w:p>
        </w:tc>
        <w:tc>
          <w:tcPr>
            <w:tcW w:type="dxa" w:w="9184"/>
            <w:shd w:val="clear" w:color="auto" w:fill="F4F6FA"/>
          </w:tcPr>
          <w:p>
            <w:pPr>
              <w:pStyle w:val="TableText"/>
            </w:pPr>
            <w:r>
              <w:rPr>
                <w:rFonts w:ascii="Arial" w:hAnsi="Arial"/>
                <w:sz w:val="15"/>
              </w:rPr>
              <w:t>US interagency guidance 2026 §III (effective challenge); PRA SS1/23 Principle 4</w:t>
            </w:r>
          </w:p>
        </w:tc>
      </w:tr>
      <w:tr>
        <w:tc>
          <w:tcPr>
            <w:tcW w:type="dxa" w:w="1020"/>
          </w:tcPr>
          <w:p>
            <w:pPr>
              <w:pStyle w:val="TableText"/>
            </w:pPr>
            <w:r>
              <w:rPr>
                <w:rFonts w:ascii="Arial" w:hAnsi="Arial"/>
                <w:sz w:val="15"/>
              </w:rPr>
              <w:t>M23</w:t>
            </w:r>
          </w:p>
        </w:tc>
        <w:tc>
          <w:tcPr>
            <w:tcW w:type="dxa" w:w="3402"/>
          </w:tcPr>
          <w:p>
            <w:pPr>
              <w:pStyle w:val="TableText"/>
            </w:pPr>
            <w:r>
              <w:rPr>
                <w:rFonts w:ascii="Arial" w:hAnsi="Arial"/>
                <w:sz w:val="15"/>
              </w:rPr>
              <w:t>Approval and conditions of use</w:t>
            </w:r>
          </w:p>
        </w:tc>
        <w:tc>
          <w:tcPr>
            <w:tcW w:type="dxa" w:w="9184"/>
          </w:tcPr>
          <w:p>
            <w:pPr>
              <w:pStyle w:val="TableText"/>
            </w:pPr>
            <w:r>
              <w:rPr>
                <w:rFonts w:ascii="Arial" w:hAnsi="Arial"/>
                <w:sz w:val="15"/>
              </w:rPr>
              <w:t>OSFI E-23 approval; ECB model approval and use; US interagency guidance 2026 §VI</w:t>
            </w:r>
          </w:p>
        </w:tc>
      </w:tr>
      <w:tr>
        <w:tc>
          <w:tcPr>
            <w:tcW w:type="dxa" w:w="1020"/>
            <w:shd w:val="clear" w:color="auto" w:fill="F4F6FA"/>
          </w:tcPr>
          <w:p>
            <w:pPr>
              <w:pStyle w:val="TableText"/>
            </w:pPr>
            <w:r>
              <w:rPr>
                <w:rFonts w:ascii="Arial" w:hAnsi="Arial"/>
                <w:sz w:val="15"/>
              </w:rPr>
              <w:t>M24</w:t>
            </w:r>
          </w:p>
        </w:tc>
        <w:tc>
          <w:tcPr>
            <w:tcW w:type="dxa" w:w="3402"/>
            <w:shd w:val="clear" w:color="auto" w:fill="F4F6FA"/>
          </w:tcPr>
          <w:p>
            <w:pPr>
              <w:pStyle w:val="TableText"/>
            </w:pPr>
            <w:r>
              <w:rPr>
                <w:rFonts w:ascii="Arial" w:hAnsi="Arial"/>
                <w:sz w:val="15"/>
              </w:rPr>
              <w:t>Implementation controls</w:t>
            </w:r>
          </w:p>
        </w:tc>
        <w:tc>
          <w:tcPr>
            <w:tcW w:type="dxa" w:w="9184"/>
            <w:shd w:val="clear" w:color="auto" w:fill="F4F6FA"/>
          </w:tcPr>
          <w:p>
            <w:pPr>
              <w:pStyle w:val="TableText"/>
            </w:pPr>
            <w:r>
              <w:rPr>
                <w:rFonts w:ascii="Arial" w:hAnsi="Arial"/>
                <w:sz w:val="15"/>
              </w:rPr>
              <w:t>Former SR 11-7 §IV (implementation); not carried forward in 2026; ECB internal models implementation</w:t>
            </w:r>
          </w:p>
        </w:tc>
      </w:tr>
      <w:tr>
        <w:tc>
          <w:tcPr>
            <w:tcW w:type="dxa" w:w="1020"/>
          </w:tcPr>
          <w:p>
            <w:pPr>
              <w:pStyle w:val="TableText"/>
            </w:pPr>
            <w:r>
              <w:rPr>
                <w:rFonts w:ascii="Arial" w:hAnsi="Arial"/>
                <w:sz w:val="15"/>
              </w:rPr>
              <w:t>M25</w:t>
            </w:r>
          </w:p>
        </w:tc>
        <w:tc>
          <w:tcPr>
            <w:tcW w:type="dxa" w:w="3402"/>
          </w:tcPr>
          <w:p>
            <w:pPr>
              <w:pStyle w:val="TableText"/>
            </w:pPr>
            <w:r>
              <w:rPr>
                <w:rFonts w:ascii="Arial" w:hAnsi="Arial"/>
                <w:sz w:val="15"/>
              </w:rPr>
              <w:t>Change management and re-approval</w:t>
            </w:r>
          </w:p>
        </w:tc>
        <w:tc>
          <w:tcPr>
            <w:tcW w:type="dxa" w:w="9184"/>
          </w:tcPr>
          <w:p>
            <w:pPr>
              <w:pStyle w:val="TableText"/>
            </w:pPr>
            <w:r>
              <w:rPr>
                <w:rFonts w:ascii="Arial" w:hAnsi="Arial"/>
                <w:sz w:val="15"/>
              </w:rPr>
              <w:t>ECB management of model changes; OSFI E-23 model changes; PRA SS1/23 Principle 3</w:t>
            </w:r>
          </w:p>
        </w:tc>
      </w:tr>
      <w:tr>
        <w:tc>
          <w:tcPr>
            <w:tcW w:type="dxa" w:w="1020"/>
            <w:shd w:val="clear" w:color="auto" w:fill="F4F6FA"/>
          </w:tcPr>
          <w:p>
            <w:pPr>
              <w:pStyle w:val="TableText"/>
            </w:pPr>
            <w:r>
              <w:rPr>
                <w:rFonts w:ascii="Arial" w:hAnsi="Arial"/>
                <w:sz w:val="15"/>
              </w:rPr>
              <w:t>M26</w:t>
            </w:r>
          </w:p>
        </w:tc>
        <w:tc>
          <w:tcPr>
            <w:tcW w:type="dxa" w:w="3402"/>
            <w:shd w:val="clear" w:color="auto" w:fill="F4F6FA"/>
          </w:tcPr>
          <w:p>
            <w:pPr>
              <w:pStyle w:val="TableText"/>
            </w:pPr>
            <w:r>
              <w:rPr>
                <w:rFonts w:ascii="Arial" w:hAnsi="Arial"/>
                <w:sz w:val="15"/>
              </w:rPr>
              <w:t>Use consistent with approved purpose</w:t>
            </w:r>
          </w:p>
        </w:tc>
        <w:tc>
          <w:tcPr>
            <w:tcW w:type="dxa" w:w="9184"/>
            <w:shd w:val="clear" w:color="auto" w:fill="F4F6FA"/>
          </w:tcPr>
          <w:p>
            <w:pPr>
              <w:pStyle w:val="TableText"/>
            </w:pPr>
            <w:r>
              <w:rPr>
                <w:rFonts w:ascii="Arial" w:hAnsi="Arial"/>
                <w:sz w:val="15"/>
              </w:rPr>
              <w:t>US interagency guidance 2026 §IV (model use); PRA SS1/23 Principle 3; ECB use test</w:t>
            </w:r>
          </w:p>
        </w:tc>
      </w:tr>
      <w:tr>
        <w:tc>
          <w:tcPr>
            <w:tcW w:type="dxa" w:w="1020"/>
          </w:tcPr>
          <w:p>
            <w:pPr>
              <w:pStyle w:val="TableText"/>
            </w:pPr>
            <w:r>
              <w:rPr>
                <w:rFonts w:ascii="Arial" w:hAnsi="Arial"/>
                <w:sz w:val="15"/>
              </w:rPr>
              <w:t>M27</w:t>
            </w:r>
          </w:p>
        </w:tc>
        <w:tc>
          <w:tcPr>
            <w:tcW w:type="dxa" w:w="3402"/>
          </w:tcPr>
          <w:p>
            <w:pPr>
              <w:pStyle w:val="TableText"/>
            </w:pPr>
            <w:r>
              <w:rPr>
                <w:rFonts w:ascii="Arial" w:hAnsi="Arial"/>
                <w:sz w:val="15"/>
              </w:rPr>
              <w:t>Overlays, adjustments and expert judgement</w:t>
            </w:r>
          </w:p>
        </w:tc>
        <w:tc>
          <w:tcPr>
            <w:tcW w:type="dxa" w:w="9184"/>
          </w:tcPr>
          <w:p>
            <w:pPr>
              <w:pStyle w:val="TableText"/>
            </w:pPr>
            <w:r>
              <w:rPr>
                <w:rFonts w:ascii="Arial" w:hAnsi="Arial"/>
                <w:sz w:val="15"/>
              </w:rPr>
              <w:t>PRA SS1/23 Principle 5 (post-model adjustments); ECB margin of conservatism</w:t>
            </w:r>
          </w:p>
        </w:tc>
      </w:tr>
      <w:tr>
        <w:tc>
          <w:tcPr>
            <w:tcW w:type="dxa" w:w="1020"/>
            <w:shd w:val="clear" w:color="auto" w:fill="F4F6FA"/>
          </w:tcPr>
          <w:p>
            <w:pPr>
              <w:pStyle w:val="TableText"/>
            </w:pPr>
            <w:r>
              <w:rPr>
                <w:rFonts w:ascii="Arial" w:hAnsi="Arial"/>
                <w:sz w:val="15"/>
              </w:rPr>
              <w:t>M28</w:t>
            </w:r>
          </w:p>
        </w:tc>
        <w:tc>
          <w:tcPr>
            <w:tcW w:type="dxa" w:w="3402"/>
            <w:shd w:val="clear" w:color="auto" w:fill="F4F6FA"/>
          </w:tcPr>
          <w:p>
            <w:pPr>
              <w:pStyle w:val="TableText"/>
            </w:pPr>
            <w:r>
              <w:rPr>
                <w:rFonts w:ascii="Arial" w:hAnsi="Arial"/>
                <w:sz w:val="15"/>
              </w:rPr>
              <w:t>Ongoing performance monitoring</w:t>
            </w:r>
          </w:p>
        </w:tc>
        <w:tc>
          <w:tcPr>
            <w:tcW w:type="dxa" w:w="9184"/>
            <w:shd w:val="clear" w:color="auto" w:fill="F4F6FA"/>
          </w:tcPr>
          <w:p>
            <w:pPr>
              <w:pStyle w:val="TableText"/>
            </w:pPr>
            <w:r>
              <w:rPr>
                <w:rFonts w:ascii="Arial" w:hAnsi="Arial"/>
                <w:sz w:val="15"/>
              </w:rPr>
              <w:t>US interagency guidance 2026 §V (ongoing model monitoring); PRA SS1/23 Principle 3; OSFI E-23 monitoring</w:t>
            </w:r>
          </w:p>
        </w:tc>
      </w:tr>
      <w:tr>
        <w:tc>
          <w:tcPr>
            <w:tcW w:type="dxa" w:w="1020"/>
          </w:tcPr>
          <w:p>
            <w:pPr>
              <w:pStyle w:val="TableText"/>
            </w:pPr>
            <w:r>
              <w:rPr>
                <w:rFonts w:ascii="Arial" w:hAnsi="Arial"/>
                <w:sz w:val="15"/>
              </w:rPr>
              <w:t>M29</w:t>
            </w:r>
          </w:p>
        </w:tc>
        <w:tc>
          <w:tcPr>
            <w:tcW w:type="dxa" w:w="3402"/>
          </w:tcPr>
          <w:p>
            <w:pPr>
              <w:pStyle w:val="TableText"/>
            </w:pPr>
            <w:r>
              <w:rPr>
                <w:rFonts w:ascii="Arial" w:hAnsi="Arial"/>
                <w:sz w:val="15"/>
              </w:rPr>
              <w:t>Limitations, compensating controls and remediation</w:t>
            </w:r>
          </w:p>
        </w:tc>
        <w:tc>
          <w:tcPr>
            <w:tcW w:type="dxa" w:w="9184"/>
          </w:tcPr>
          <w:p>
            <w:pPr>
              <w:pStyle w:val="TableText"/>
            </w:pPr>
            <w:r>
              <w:rPr>
                <w:rFonts w:ascii="Arial" w:hAnsi="Arial"/>
                <w:sz w:val="15"/>
              </w:rPr>
              <w:t>PRA SS1/23 Principle 5 (model risk mitigants); OSFI E-23 issue management</w:t>
            </w:r>
          </w:p>
        </w:tc>
      </w:tr>
      <w:tr>
        <w:tc>
          <w:tcPr>
            <w:tcW w:type="dxa" w:w="1020"/>
            <w:shd w:val="clear" w:color="auto" w:fill="F4F6FA"/>
          </w:tcPr>
          <w:p>
            <w:pPr>
              <w:pStyle w:val="TableText"/>
            </w:pPr>
            <w:r>
              <w:rPr>
                <w:rFonts w:ascii="Arial" w:hAnsi="Arial"/>
                <w:sz w:val="15"/>
              </w:rPr>
              <w:t>M30</w:t>
            </w:r>
          </w:p>
        </w:tc>
        <w:tc>
          <w:tcPr>
            <w:tcW w:type="dxa" w:w="3402"/>
            <w:shd w:val="clear" w:color="auto" w:fill="F4F6FA"/>
          </w:tcPr>
          <w:p>
            <w:pPr>
              <w:pStyle w:val="TableText"/>
            </w:pPr>
            <w:r>
              <w:rPr>
                <w:rFonts w:ascii="Arial" w:hAnsi="Arial"/>
                <w:sz w:val="15"/>
              </w:rPr>
              <w:t>Restriction, suspension and decommissioning</w:t>
            </w:r>
          </w:p>
        </w:tc>
        <w:tc>
          <w:tcPr>
            <w:tcW w:type="dxa" w:w="9184"/>
            <w:shd w:val="clear" w:color="auto" w:fill="F4F6FA"/>
          </w:tcPr>
          <w:p>
            <w:pPr>
              <w:pStyle w:val="TableText"/>
            </w:pPr>
            <w:r>
              <w:rPr>
                <w:rFonts w:ascii="Arial" w:hAnsi="Arial"/>
                <w:sz w:val="15"/>
              </w:rPr>
              <w:t>OSFI E-23 decommissioning; CPS 230 critical operations and tolerance levels</w:t>
            </w:r>
          </w:p>
        </w:tc>
      </w:tr>
      <w:tr>
        <w:tc>
          <w:tcPr>
            <w:tcW w:type="dxa" w:w="1020"/>
          </w:tcPr>
          <w:p>
            <w:pPr>
              <w:pStyle w:val="TableText"/>
            </w:pPr>
            <w:r>
              <w:rPr>
                <w:rFonts w:ascii="Arial" w:hAnsi="Arial"/>
                <w:sz w:val="15"/>
              </w:rPr>
              <w:t>M31</w:t>
            </w:r>
          </w:p>
        </w:tc>
        <w:tc>
          <w:tcPr>
            <w:tcW w:type="dxa" w:w="3402"/>
          </w:tcPr>
          <w:p>
            <w:pPr>
              <w:pStyle w:val="TableText"/>
            </w:pPr>
            <w:r>
              <w:rPr>
                <w:rFonts w:ascii="Arial" w:hAnsi="Arial"/>
                <w:sz w:val="15"/>
              </w:rPr>
              <w:t>Vendor and externally developed models</w:t>
            </w:r>
          </w:p>
        </w:tc>
        <w:tc>
          <w:tcPr>
            <w:tcW w:type="dxa" w:w="9184"/>
          </w:tcPr>
          <w:p>
            <w:pPr>
              <w:pStyle w:val="TableText"/>
            </w:pPr>
            <w:r>
              <w:rPr>
                <w:rFonts w:ascii="Arial" w:hAnsi="Arial"/>
                <w:sz w:val="15"/>
              </w:rPr>
              <w:t>US interagency guidance 2026 §VII (vendor and other third-party products); OSFI E-23 third-party models; BCBS third-party principles</w:t>
            </w:r>
          </w:p>
        </w:tc>
      </w:tr>
      <w:tr>
        <w:tc>
          <w:tcPr>
            <w:tcW w:type="dxa" w:w="1020"/>
            <w:shd w:val="clear" w:color="auto" w:fill="F4F6FA"/>
          </w:tcPr>
          <w:p>
            <w:pPr>
              <w:pStyle w:val="TableText"/>
            </w:pPr>
            <w:r>
              <w:rPr>
                <w:rFonts w:ascii="Arial" w:hAnsi="Arial"/>
                <w:sz w:val="15"/>
              </w:rPr>
              <w:t>M32</w:t>
            </w:r>
          </w:p>
        </w:tc>
        <w:tc>
          <w:tcPr>
            <w:tcW w:type="dxa" w:w="3402"/>
            <w:shd w:val="clear" w:color="auto" w:fill="F4F6FA"/>
          </w:tcPr>
          <w:p>
            <w:pPr>
              <w:pStyle w:val="TableText"/>
            </w:pPr>
            <w:r>
              <w:rPr>
                <w:rFonts w:ascii="Arial" w:hAnsi="Arial"/>
                <w:sz w:val="15"/>
              </w:rPr>
              <w:t>Information rights, concentration and substitutability</w:t>
            </w:r>
          </w:p>
        </w:tc>
        <w:tc>
          <w:tcPr>
            <w:tcW w:type="dxa" w:w="9184"/>
            <w:shd w:val="clear" w:color="auto" w:fill="F4F6FA"/>
          </w:tcPr>
          <w:p>
            <w:pPr>
              <w:pStyle w:val="TableText"/>
            </w:pPr>
            <w:r>
              <w:rPr>
                <w:rFonts w:ascii="Arial" w:hAnsi="Arial"/>
                <w:sz w:val="15"/>
              </w:rPr>
              <w:t>CPS 230 service provider management; BCBS third-party principles; FSB concentration analysis</w:t>
            </w:r>
          </w:p>
        </w:tc>
      </w:tr>
      <w:tr>
        <w:tc>
          <w:tcPr>
            <w:tcW w:type="dxa" w:w="1020"/>
          </w:tcPr>
          <w:p>
            <w:pPr>
              <w:pStyle w:val="TableText"/>
            </w:pPr>
            <w:r>
              <w:rPr>
                <w:rFonts w:ascii="Arial" w:hAnsi="Arial"/>
                <w:sz w:val="15"/>
              </w:rPr>
              <w:t>M33</w:t>
            </w:r>
          </w:p>
        </w:tc>
        <w:tc>
          <w:tcPr>
            <w:tcW w:type="dxa" w:w="3402"/>
          </w:tcPr>
          <w:p>
            <w:pPr>
              <w:pStyle w:val="TableText"/>
            </w:pPr>
            <w:r>
              <w:rPr>
                <w:rFonts w:ascii="Arial" w:hAnsi="Arial"/>
                <w:sz w:val="15"/>
              </w:rPr>
              <w:t>Additional controls for AI and machine learning models</w:t>
            </w:r>
          </w:p>
        </w:tc>
        <w:tc>
          <w:tcPr>
            <w:tcW w:type="dxa" w:w="9184"/>
          </w:tcPr>
          <w:p>
            <w:pPr>
              <w:pStyle w:val="TableText"/>
            </w:pPr>
            <w:r>
              <w:rPr>
                <w:rFonts w:ascii="Arial" w:hAnsi="Arial"/>
                <w:sz w:val="15"/>
              </w:rPr>
              <w:t>OSFI E-23 AI/ML considerations; MAS AI model risk management observations; BCBS digitalisation report</w:t>
            </w:r>
          </w:p>
        </w:tc>
      </w:tr>
      <w:tr>
        <w:tc>
          <w:tcPr>
            <w:tcW w:type="dxa" w:w="1020"/>
            <w:shd w:val="clear" w:color="auto" w:fill="F4F6FA"/>
          </w:tcPr>
          <w:p>
            <w:pPr>
              <w:pStyle w:val="TableText"/>
            </w:pPr>
            <w:r>
              <w:rPr>
                <w:rFonts w:ascii="Arial" w:hAnsi="Arial"/>
                <w:sz w:val="15"/>
              </w:rPr>
              <w:t>M34</w:t>
            </w:r>
          </w:p>
        </w:tc>
        <w:tc>
          <w:tcPr>
            <w:tcW w:type="dxa" w:w="3402"/>
            <w:shd w:val="clear" w:color="auto" w:fill="F4F6FA"/>
          </w:tcPr>
          <w:p>
            <w:pPr>
              <w:pStyle w:val="TableText"/>
            </w:pPr>
            <w:r>
              <w:rPr>
                <w:rFonts w:ascii="Arial" w:hAnsi="Arial"/>
                <w:sz w:val="15"/>
              </w:rPr>
              <w:t>Boundary with the AI risk management framework</w:t>
            </w:r>
          </w:p>
        </w:tc>
        <w:tc>
          <w:tcPr>
            <w:tcW w:type="dxa" w:w="9184"/>
            <w:shd w:val="clear" w:color="auto" w:fill="F4F6FA"/>
          </w:tcPr>
          <w:p>
            <w:pPr>
              <w:pStyle w:val="TableText"/>
            </w:pPr>
            <w:r>
              <w:rPr>
                <w:rFonts w:ascii="Arial" w:hAnsi="Arial"/>
                <w:sz w:val="15"/>
              </w:rPr>
              <w:t>OSFI E-23 single framework for models including AI</w:t>
            </w:r>
          </w:p>
        </w:tc>
      </w:tr>
      <w:tr>
        <w:tc>
          <w:tcPr>
            <w:tcW w:type="dxa" w:w="1020"/>
          </w:tcPr>
          <w:p>
            <w:pPr>
              <w:pStyle w:val="TableText"/>
            </w:pPr>
            <w:r>
              <w:rPr>
                <w:rFonts w:ascii="Arial" w:hAnsi="Arial"/>
                <w:sz w:val="15"/>
              </w:rPr>
              <w:t>M35</w:t>
            </w:r>
          </w:p>
        </w:tc>
        <w:tc>
          <w:tcPr>
            <w:tcW w:type="dxa" w:w="3402"/>
          </w:tcPr>
          <w:p>
            <w:pPr>
              <w:pStyle w:val="TableText"/>
            </w:pPr>
            <w:r>
              <w:rPr>
                <w:rFonts w:ascii="Arial" w:hAnsi="Arial"/>
                <w:sz w:val="15"/>
              </w:rPr>
              <w:t>Models used to determine regulatory capital</w:t>
            </w:r>
          </w:p>
        </w:tc>
        <w:tc>
          <w:tcPr>
            <w:tcW w:type="dxa" w:w="9184"/>
          </w:tcPr>
          <w:p>
            <w:pPr>
              <w:pStyle w:val="TableText"/>
            </w:pPr>
            <w:r>
              <w:rPr>
                <w:rFonts w:ascii="Arial" w:hAnsi="Arial"/>
                <w:sz w:val="15"/>
              </w:rPr>
              <w:t>ECB Guide to internal models; CRR internal model requirements; APS 113 model requirements</w:t>
            </w:r>
          </w:p>
        </w:tc>
      </w:tr>
      <w:tr>
        <w:tc>
          <w:tcPr>
            <w:tcW w:type="dxa" w:w="1020"/>
            <w:shd w:val="clear" w:color="auto" w:fill="F4F6FA"/>
          </w:tcPr>
          <w:p>
            <w:pPr>
              <w:pStyle w:val="TableText"/>
            </w:pPr>
            <w:r>
              <w:rPr>
                <w:rFonts w:ascii="Arial" w:hAnsi="Arial"/>
                <w:sz w:val="15"/>
              </w:rPr>
              <w:t>M36</w:t>
            </w:r>
          </w:p>
        </w:tc>
        <w:tc>
          <w:tcPr>
            <w:tcW w:type="dxa" w:w="3402"/>
            <w:shd w:val="clear" w:color="auto" w:fill="F4F6FA"/>
          </w:tcPr>
          <w:p>
            <w:pPr>
              <w:pStyle w:val="TableText"/>
            </w:pPr>
            <w:r>
              <w:rPr>
                <w:rFonts w:ascii="Arial" w:hAnsi="Arial"/>
                <w:sz w:val="15"/>
              </w:rPr>
              <w:t>Valuation and financial reporting models</w:t>
            </w:r>
          </w:p>
        </w:tc>
        <w:tc>
          <w:tcPr>
            <w:tcW w:type="dxa" w:w="9184"/>
            <w:shd w:val="clear" w:color="auto" w:fill="F4F6FA"/>
          </w:tcPr>
          <w:p>
            <w:pPr>
              <w:pStyle w:val="TableText"/>
            </w:pPr>
            <w:r>
              <w:rPr>
                <w:rFonts w:ascii="Arial" w:hAnsi="Arial"/>
                <w:sz w:val="15"/>
              </w:rPr>
              <w:t>BCBS supervisory guidance on fair value practices; ECB internal models market risk</w:t>
            </w:r>
          </w:p>
        </w:tc>
      </w:tr>
      <w:tr>
        <w:tc>
          <w:tcPr>
            <w:tcW w:type="dxa" w:w="1020"/>
          </w:tcPr>
          <w:p>
            <w:pPr>
              <w:pStyle w:val="TableText"/>
            </w:pPr>
            <w:r>
              <w:rPr>
                <w:rFonts w:ascii="Arial" w:hAnsi="Arial"/>
                <w:sz w:val="15"/>
              </w:rPr>
              <w:t>M37</w:t>
            </w:r>
          </w:p>
        </w:tc>
        <w:tc>
          <w:tcPr>
            <w:tcW w:type="dxa" w:w="3402"/>
          </w:tcPr>
          <w:p>
            <w:pPr>
              <w:pStyle w:val="TableText"/>
            </w:pPr>
            <w:r>
              <w:rPr>
                <w:rFonts w:ascii="Arial" w:hAnsi="Arial"/>
                <w:sz w:val="15"/>
              </w:rPr>
              <w:t>Actuarial, reserving and insurance liability models</w:t>
            </w:r>
          </w:p>
        </w:tc>
        <w:tc>
          <w:tcPr>
            <w:tcW w:type="dxa" w:w="9184"/>
          </w:tcPr>
          <w:p>
            <w:pPr>
              <w:pStyle w:val="TableText"/>
            </w:pPr>
            <w:r>
              <w:rPr>
                <w:rFonts w:ascii="Arial" w:hAnsi="Arial"/>
                <w:sz w:val="15"/>
              </w:rPr>
              <w:t>APRA Appointed Actuary framework; OSFI E-23 application to insurers</w:t>
            </w:r>
          </w:p>
        </w:tc>
      </w:tr>
      <w:tr>
        <w:tc>
          <w:tcPr>
            <w:tcW w:type="dxa" w:w="1020"/>
            <w:shd w:val="clear" w:color="auto" w:fill="F4F6FA"/>
          </w:tcPr>
          <w:p>
            <w:pPr>
              <w:pStyle w:val="TableText"/>
            </w:pPr>
            <w:r>
              <w:rPr>
                <w:rFonts w:ascii="Arial" w:hAnsi="Arial"/>
                <w:sz w:val="15"/>
              </w:rPr>
              <w:t>M38</w:t>
            </w:r>
          </w:p>
        </w:tc>
        <w:tc>
          <w:tcPr>
            <w:tcW w:type="dxa" w:w="3402"/>
            <w:shd w:val="clear" w:color="auto" w:fill="F4F6FA"/>
          </w:tcPr>
          <w:p>
            <w:pPr>
              <w:pStyle w:val="TableText"/>
            </w:pPr>
            <w:r>
              <w:rPr>
                <w:rFonts w:ascii="Arial" w:hAnsi="Arial"/>
                <w:sz w:val="15"/>
              </w:rPr>
              <w:t>Models used by RSE licensees</w:t>
            </w:r>
          </w:p>
        </w:tc>
        <w:tc>
          <w:tcPr>
            <w:tcW w:type="dxa" w:w="9184"/>
            <w:shd w:val="clear" w:color="auto" w:fill="F4F6FA"/>
          </w:tcPr>
          <w:p>
            <w:pPr>
              <w:pStyle w:val="TableText"/>
            </w:pPr>
            <w:r>
              <w:rPr>
                <w:rFonts w:ascii="Arial" w:hAnsi="Arial"/>
                <w:sz w:val="15"/>
              </w:rPr>
              <w:t>SPS 530 investment governance; SPS 515 business performance review</w:t>
            </w:r>
          </w:p>
        </w:tc>
      </w:tr>
      <w:tr>
        <w:tc>
          <w:tcPr>
            <w:tcW w:type="dxa" w:w="1020"/>
          </w:tcPr>
          <w:p>
            <w:pPr>
              <w:pStyle w:val="TableText"/>
            </w:pPr>
            <w:r>
              <w:rPr>
                <w:rFonts w:ascii="Arial" w:hAnsi="Arial"/>
                <w:sz w:val="15"/>
              </w:rPr>
              <w:t>M39</w:t>
            </w:r>
          </w:p>
        </w:tc>
        <w:tc>
          <w:tcPr>
            <w:tcW w:type="dxa" w:w="3402"/>
          </w:tcPr>
          <w:p>
            <w:pPr>
              <w:pStyle w:val="TableText"/>
            </w:pPr>
            <w:r>
              <w:rPr>
                <w:rFonts w:ascii="Arial" w:hAnsi="Arial"/>
                <w:sz w:val="15"/>
              </w:rPr>
              <w:t>Stress testing, scenario and capital planning models</w:t>
            </w:r>
          </w:p>
        </w:tc>
        <w:tc>
          <w:tcPr>
            <w:tcW w:type="dxa" w:w="9184"/>
          </w:tcPr>
          <w:p>
            <w:pPr>
              <w:pStyle w:val="TableText"/>
            </w:pPr>
            <w:r>
              <w:rPr>
                <w:rFonts w:ascii="Arial" w:hAnsi="Arial"/>
                <w:sz w:val="15"/>
              </w:rPr>
              <w:t>BCBS stress testing principles; PRA SS1/23 application to stress testing models</w:t>
            </w:r>
          </w:p>
        </w:tc>
      </w:tr>
      <w:tr>
        <w:tc>
          <w:tcPr>
            <w:tcW w:type="dxa" w:w="1020"/>
            <w:shd w:val="clear" w:color="auto" w:fill="F4F6FA"/>
          </w:tcPr>
          <w:p>
            <w:pPr>
              <w:pStyle w:val="TableText"/>
            </w:pPr>
            <w:r>
              <w:rPr>
                <w:rFonts w:ascii="Arial" w:hAnsi="Arial"/>
                <w:sz w:val="15"/>
              </w:rPr>
              <w:t>M40</w:t>
            </w:r>
          </w:p>
        </w:tc>
        <w:tc>
          <w:tcPr>
            <w:tcW w:type="dxa" w:w="3402"/>
            <w:shd w:val="clear" w:color="auto" w:fill="F4F6FA"/>
          </w:tcPr>
          <w:p>
            <w:pPr>
              <w:pStyle w:val="TableText"/>
            </w:pPr>
            <w:r>
              <w:rPr>
                <w:rFonts w:ascii="Arial" w:hAnsi="Arial"/>
                <w:sz w:val="15"/>
              </w:rPr>
              <w:t>Aggregate assessment of model risk</w:t>
            </w:r>
          </w:p>
        </w:tc>
        <w:tc>
          <w:tcPr>
            <w:tcW w:type="dxa" w:w="9184"/>
            <w:shd w:val="clear" w:color="auto" w:fill="F4F6FA"/>
          </w:tcPr>
          <w:p>
            <w:pPr>
              <w:pStyle w:val="TableText"/>
            </w:pPr>
            <w:r>
              <w:rPr>
                <w:rFonts w:ascii="Arial" w:hAnsi="Arial"/>
                <w:sz w:val="15"/>
              </w:rPr>
              <w:t>PRA SS1/23 Principle 5 (aggregate model risk); ECB model risk in the SREP</w:t>
            </w:r>
          </w:p>
        </w:tc>
      </w:tr>
      <w:tr>
        <w:tc>
          <w:tcPr>
            <w:tcW w:type="dxa" w:w="1020"/>
          </w:tcPr>
          <w:p>
            <w:pPr>
              <w:pStyle w:val="TableText"/>
            </w:pPr>
            <w:r>
              <w:rPr>
                <w:rFonts w:ascii="Arial" w:hAnsi="Arial"/>
                <w:sz w:val="15"/>
              </w:rPr>
              <w:t>M41</w:t>
            </w:r>
          </w:p>
        </w:tc>
        <w:tc>
          <w:tcPr>
            <w:tcW w:type="dxa" w:w="3402"/>
          </w:tcPr>
          <w:p>
            <w:pPr>
              <w:pStyle w:val="TableText"/>
            </w:pPr>
            <w:r>
              <w:rPr>
                <w:rFonts w:ascii="Arial" w:hAnsi="Arial"/>
                <w:sz w:val="15"/>
              </w:rPr>
              <w:t>Records and reconstructability</w:t>
            </w:r>
          </w:p>
        </w:tc>
        <w:tc>
          <w:tcPr>
            <w:tcW w:type="dxa" w:w="9184"/>
          </w:tcPr>
          <w:p>
            <w:pPr>
              <w:pStyle w:val="TableText"/>
            </w:pPr>
            <w:r>
              <w:rPr>
                <w:rFonts w:ascii="Arial" w:hAnsi="Arial"/>
                <w:sz w:val="15"/>
              </w:rPr>
              <w:t>US interagency guidance 2026 §VI documentation and records; ECB documentation</w:t>
            </w:r>
          </w:p>
        </w:tc>
      </w:tr>
      <w:tr>
        <w:tc>
          <w:tcPr>
            <w:tcW w:type="dxa" w:w="1020"/>
            <w:shd w:val="clear" w:color="auto" w:fill="F4F6FA"/>
          </w:tcPr>
          <w:p>
            <w:pPr>
              <w:pStyle w:val="TableText"/>
            </w:pPr>
            <w:r>
              <w:rPr>
                <w:rFonts w:ascii="Arial" w:hAnsi="Arial"/>
                <w:sz w:val="15"/>
              </w:rPr>
              <w:t>M42</w:t>
            </w:r>
          </w:p>
        </w:tc>
        <w:tc>
          <w:tcPr>
            <w:tcW w:type="dxa" w:w="3402"/>
            <w:shd w:val="clear" w:color="auto" w:fill="F4F6FA"/>
          </w:tcPr>
          <w:p>
            <w:pPr>
              <w:pStyle w:val="TableText"/>
            </w:pPr>
            <w:r>
              <w:rPr>
                <w:rFonts w:ascii="Arial" w:hAnsi="Arial"/>
                <w:sz w:val="15"/>
              </w:rPr>
              <w:t>Internal audit and independent assurance</w:t>
            </w:r>
          </w:p>
        </w:tc>
        <w:tc>
          <w:tcPr>
            <w:tcW w:type="dxa" w:w="9184"/>
            <w:shd w:val="clear" w:color="auto" w:fill="F4F6FA"/>
          </w:tcPr>
          <w:p>
            <w:pPr>
              <w:pStyle w:val="TableText"/>
            </w:pPr>
            <w:r>
              <w:rPr>
                <w:rFonts w:ascii="Arial" w:hAnsi="Arial"/>
                <w:sz w:val="15"/>
              </w:rPr>
              <w:t>US interagency guidance 2026 §VI internal audit; ECB internal audit of internal models</w:t>
            </w:r>
          </w:p>
        </w:tc>
      </w:tr>
      <w:tr>
        <w:tc>
          <w:tcPr>
            <w:tcW w:type="dxa" w:w="1020"/>
          </w:tcPr>
          <w:p>
            <w:pPr>
              <w:pStyle w:val="TableText"/>
            </w:pPr>
            <w:r>
              <w:rPr>
                <w:rFonts w:ascii="Arial" w:hAnsi="Arial"/>
                <w:sz w:val="15"/>
              </w:rPr>
              <w:t>M43</w:t>
            </w:r>
          </w:p>
        </w:tc>
        <w:tc>
          <w:tcPr>
            <w:tcW w:type="dxa" w:w="3402"/>
          </w:tcPr>
          <w:p>
            <w:pPr>
              <w:pStyle w:val="TableText"/>
            </w:pPr>
            <w:r>
              <w:rPr>
                <w:rFonts w:ascii="Arial" w:hAnsi="Arial"/>
                <w:sz w:val="15"/>
              </w:rPr>
              <w:t>Notification and provision of information to APRA</w:t>
            </w:r>
          </w:p>
        </w:tc>
        <w:tc>
          <w:tcPr>
            <w:tcW w:type="dxa" w:w="9184"/>
          </w:tcPr>
          <w:p>
            <w:pPr>
              <w:pStyle w:val="TableText"/>
            </w:pPr>
            <w:r>
              <w:rPr>
                <w:rFonts w:ascii="Arial" w:hAnsi="Arial"/>
                <w:sz w:val="15"/>
              </w:rPr>
              <w:t>CPS 230 incident notification; OSFI E-23 supervisory engagement</w:t>
            </w:r>
          </w:p>
        </w:tc>
      </w:tr>
    </w:tbl>
    <w:p>
      <w:pPr>
        <w:sectPr>
          <w:pgSz w:w="16838" w:h="11906" w:orient="landscape"/>
          <w:pgMar w:top="907" w:right="850" w:bottom="907" w:left="850" w:header="624" w:footer="567" w:gutter="0"/>
          <w:cols w:space="720"/>
          <w:docGrid w:linePitch="360"/>
        </w:sectPr>
      </w:pPr>
    </w:p>
    <w:p>
      <w:pPr>
        <w:pStyle w:val="Heading1"/>
      </w:pPr>
      <w:r>
        <w:t>Annex C — The comparator frameworks in outline</w:t>
      </w:r>
    </w:p>
    <w:p>
      <w:pPr>
        <w:pStyle w:val="GuideBody"/>
      </w:pPr>
      <w:r>
        <w:t>The enumerated structure of each framework relied upon in this guide, as printed by the issuing authority. This Annex is provided so that the attribution lines throughout the guide can be traced to a specific principle.</w:t>
      </w:r>
    </w:p>
    <w:p>
      <w:pPr>
        <w:pStyle w:val="Heading2"/>
      </w:pPr>
      <w:r>
        <w:t>PRA SS1/23 — Model risk management principles for banks</w:t>
      </w:r>
    </w:p>
    <w:p>
      <w:pPr>
        <w:pStyle w:val="SourceNote"/>
      </w:pPr>
      <w:r>
        <w:t>Five principles, each with numbered sub-principles. Titles are printed with an en dash after the principle number; sub-principles are printed without one.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Model identification and model risk classification</w:t>
            </w:r>
          </w:p>
        </w:tc>
      </w:tr>
      <w:tr>
        <w:tc>
          <w:tcPr>
            <w:tcW w:type="dxa" w:w="1928"/>
            <w:shd w:val="clear" w:color="auto" w:fill="F4F6FA"/>
          </w:tcPr>
          <w:p>
            <w:pPr>
              <w:pStyle w:val="TableText"/>
            </w:pPr>
            <w:r>
              <w:rPr>
                <w:rFonts w:ascii="Arial" w:hAnsi="Arial"/>
                <w:sz w:val="16"/>
              </w:rPr>
              <w:t>Principle 1.1</w:t>
            </w:r>
          </w:p>
        </w:tc>
        <w:tc>
          <w:tcPr>
            <w:tcW w:type="dxa" w:w="7483"/>
            <w:shd w:val="clear" w:color="auto" w:fill="F4F6FA"/>
          </w:tcPr>
          <w:p>
            <w:pPr>
              <w:pStyle w:val="TableText"/>
            </w:pPr>
            <w:r>
              <w:rPr>
                <w:rFonts w:ascii="Arial" w:hAnsi="Arial"/>
                <w:sz w:val="16"/>
              </w:rPr>
              <w:t>Model definition</w:t>
            </w:r>
          </w:p>
        </w:tc>
      </w:tr>
      <w:tr>
        <w:tc>
          <w:tcPr>
            <w:tcW w:type="dxa" w:w="1928"/>
          </w:tcPr>
          <w:p>
            <w:pPr>
              <w:pStyle w:val="TableText"/>
            </w:pPr>
            <w:r>
              <w:rPr>
                <w:rFonts w:ascii="Arial" w:hAnsi="Arial"/>
                <w:sz w:val="16"/>
              </w:rPr>
              <w:t>Principle 1.2</w:t>
            </w:r>
          </w:p>
        </w:tc>
        <w:tc>
          <w:tcPr>
            <w:tcW w:type="dxa" w:w="7483"/>
          </w:tcPr>
          <w:p>
            <w:pPr>
              <w:pStyle w:val="TableText"/>
            </w:pPr>
            <w:r>
              <w:rPr>
                <w:rFonts w:ascii="Arial" w:hAnsi="Arial"/>
                <w:sz w:val="16"/>
              </w:rPr>
              <w:t>Model inventory</w:t>
            </w:r>
          </w:p>
        </w:tc>
      </w:tr>
      <w:tr>
        <w:tc>
          <w:tcPr>
            <w:tcW w:type="dxa" w:w="1928"/>
            <w:shd w:val="clear" w:color="auto" w:fill="F4F6FA"/>
          </w:tcPr>
          <w:p>
            <w:pPr>
              <w:pStyle w:val="TableText"/>
            </w:pPr>
            <w:r>
              <w:rPr>
                <w:rFonts w:ascii="Arial" w:hAnsi="Arial"/>
                <w:sz w:val="16"/>
              </w:rPr>
              <w:t>Principle 1.3</w:t>
            </w:r>
          </w:p>
        </w:tc>
        <w:tc>
          <w:tcPr>
            <w:tcW w:type="dxa" w:w="7483"/>
            <w:shd w:val="clear" w:color="auto" w:fill="F4F6FA"/>
          </w:tcPr>
          <w:p>
            <w:pPr>
              <w:pStyle w:val="TableText"/>
            </w:pPr>
            <w:r>
              <w:rPr>
                <w:rFonts w:ascii="Arial" w:hAnsi="Arial"/>
                <w:sz w:val="16"/>
              </w:rPr>
              <w:t>Model tiering</w:t>
            </w:r>
          </w:p>
        </w:tc>
      </w:tr>
      <w:tr>
        <w:tc>
          <w:tcPr>
            <w:tcW w:type="dxa" w:w="1928"/>
          </w:tcPr>
          <w:p>
            <w:pPr>
              <w:pStyle w:val="TableText"/>
            </w:pPr>
            <w:r>
              <w:rPr>
                <w:rFonts w:ascii="Arial" w:hAnsi="Arial"/>
                <w:sz w:val="16"/>
              </w:rPr>
              <w:t>Principle 2</w:t>
            </w:r>
          </w:p>
        </w:tc>
        <w:tc>
          <w:tcPr>
            <w:tcW w:type="dxa" w:w="7483"/>
          </w:tcPr>
          <w:p>
            <w:pPr>
              <w:pStyle w:val="TableText"/>
            </w:pPr>
            <w:r>
              <w:rPr>
                <w:rFonts w:ascii="Arial" w:hAnsi="Arial"/>
                <w:sz w:val="16"/>
              </w:rPr>
              <w:t>Governance</w:t>
            </w:r>
          </w:p>
        </w:tc>
      </w:tr>
      <w:tr>
        <w:tc>
          <w:tcPr>
            <w:tcW w:type="dxa" w:w="1928"/>
            <w:shd w:val="clear" w:color="auto" w:fill="F4F6FA"/>
          </w:tcPr>
          <w:p>
            <w:pPr>
              <w:pStyle w:val="TableText"/>
            </w:pPr>
            <w:r>
              <w:rPr>
                <w:rFonts w:ascii="Arial" w:hAnsi="Arial"/>
                <w:sz w:val="16"/>
              </w:rPr>
              <w:t>Principle 2.1</w:t>
            </w:r>
          </w:p>
        </w:tc>
        <w:tc>
          <w:tcPr>
            <w:tcW w:type="dxa" w:w="7483"/>
            <w:shd w:val="clear" w:color="auto" w:fill="F4F6FA"/>
          </w:tcPr>
          <w:p>
            <w:pPr>
              <w:pStyle w:val="TableText"/>
            </w:pPr>
            <w:r>
              <w:rPr>
                <w:rFonts w:ascii="Arial" w:hAnsi="Arial"/>
                <w:sz w:val="16"/>
              </w:rPr>
              <w:t>Board of directors’ responsibilities</w:t>
            </w:r>
          </w:p>
        </w:tc>
      </w:tr>
      <w:tr>
        <w:tc>
          <w:tcPr>
            <w:tcW w:type="dxa" w:w="1928"/>
          </w:tcPr>
          <w:p>
            <w:pPr>
              <w:pStyle w:val="TableText"/>
            </w:pPr>
            <w:r>
              <w:rPr>
                <w:rFonts w:ascii="Arial" w:hAnsi="Arial"/>
                <w:sz w:val="16"/>
              </w:rPr>
              <w:t>Principle 2.2</w:t>
            </w:r>
          </w:p>
        </w:tc>
        <w:tc>
          <w:tcPr>
            <w:tcW w:type="dxa" w:w="7483"/>
          </w:tcPr>
          <w:p>
            <w:pPr>
              <w:pStyle w:val="TableText"/>
            </w:pPr>
            <w:r>
              <w:rPr>
                <w:rFonts w:ascii="Arial" w:hAnsi="Arial"/>
                <w:sz w:val="16"/>
              </w:rPr>
              <w:t>SMF accountability for model risk management framework</w:t>
            </w:r>
          </w:p>
        </w:tc>
      </w:tr>
      <w:tr>
        <w:tc>
          <w:tcPr>
            <w:tcW w:type="dxa" w:w="1928"/>
            <w:shd w:val="clear" w:color="auto" w:fill="F4F6FA"/>
          </w:tcPr>
          <w:p>
            <w:pPr>
              <w:pStyle w:val="TableText"/>
            </w:pPr>
            <w:r>
              <w:rPr>
                <w:rFonts w:ascii="Arial" w:hAnsi="Arial"/>
                <w:sz w:val="16"/>
              </w:rPr>
              <w:t>Principle 2.3</w:t>
            </w:r>
          </w:p>
        </w:tc>
        <w:tc>
          <w:tcPr>
            <w:tcW w:type="dxa" w:w="7483"/>
            <w:shd w:val="clear" w:color="auto" w:fill="F4F6FA"/>
          </w:tcPr>
          <w:p>
            <w:pPr>
              <w:pStyle w:val="TableText"/>
            </w:pPr>
            <w:r>
              <w:rPr>
                <w:rFonts w:ascii="Arial" w:hAnsi="Arial"/>
                <w:sz w:val="16"/>
              </w:rPr>
              <w:t>Policies and procedures</w:t>
            </w:r>
          </w:p>
        </w:tc>
      </w:tr>
      <w:tr>
        <w:tc>
          <w:tcPr>
            <w:tcW w:type="dxa" w:w="1928"/>
          </w:tcPr>
          <w:p>
            <w:pPr>
              <w:pStyle w:val="TableText"/>
            </w:pPr>
            <w:r>
              <w:rPr>
                <w:rFonts w:ascii="Arial" w:hAnsi="Arial"/>
                <w:sz w:val="16"/>
              </w:rPr>
              <w:t>Principle 2.4</w:t>
            </w:r>
          </w:p>
        </w:tc>
        <w:tc>
          <w:tcPr>
            <w:tcW w:type="dxa" w:w="7483"/>
          </w:tcPr>
          <w:p>
            <w:pPr>
              <w:pStyle w:val="TableText"/>
            </w:pPr>
            <w:r>
              <w:rPr>
                <w:rFonts w:ascii="Arial" w:hAnsi="Arial"/>
                <w:sz w:val="16"/>
              </w:rPr>
              <w:t>Roles and responsibilities</w:t>
            </w:r>
          </w:p>
        </w:tc>
      </w:tr>
      <w:tr>
        <w:tc>
          <w:tcPr>
            <w:tcW w:type="dxa" w:w="1928"/>
            <w:shd w:val="clear" w:color="auto" w:fill="F4F6FA"/>
          </w:tcPr>
          <w:p>
            <w:pPr>
              <w:pStyle w:val="TableText"/>
            </w:pPr>
            <w:r>
              <w:rPr>
                <w:rFonts w:ascii="Arial" w:hAnsi="Arial"/>
                <w:sz w:val="16"/>
              </w:rPr>
              <w:t>Principle 2.5</w:t>
            </w:r>
          </w:p>
        </w:tc>
        <w:tc>
          <w:tcPr>
            <w:tcW w:type="dxa" w:w="7483"/>
            <w:shd w:val="clear" w:color="auto" w:fill="F4F6FA"/>
          </w:tcPr>
          <w:p>
            <w:pPr>
              <w:pStyle w:val="TableText"/>
            </w:pPr>
            <w:r>
              <w:rPr>
                <w:rFonts w:ascii="Arial" w:hAnsi="Arial"/>
                <w:sz w:val="16"/>
              </w:rPr>
              <w:t>Internal Audit</w:t>
            </w:r>
          </w:p>
        </w:tc>
      </w:tr>
      <w:tr>
        <w:tc>
          <w:tcPr>
            <w:tcW w:type="dxa" w:w="1928"/>
          </w:tcPr>
          <w:p>
            <w:pPr>
              <w:pStyle w:val="TableText"/>
            </w:pPr>
            <w:r>
              <w:rPr>
                <w:rFonts w:ascii="Arial" w:hAnsi="Arial"/>
                <w:sz w:val="16"/>
              </w:rPr>
              <w:t>Principle 2.6</w:t>
            </w:r>
          </w:p>
        </w:tc>
        <w:tc>
          <w:tcPr>
            <w:tcW w:type="dxa" w:w="7483"/>
          </w:tcPr>
          <w:p>
            <w:pPr>
              <w:pStyle w:val="TableText"/>
            </w:pPr>
            <w:r>
              <w:rPr>
                <w:rFonts w:ascii="Arial" w:hAnsi="Arial"/>
                <w:sz w:val="16"/>
              </w:rPr>
              <w:t>Use of externally developed models, third-party vendor products</w:t>
            </w:r>
          </w:p>
        </w:tc>
      </w:tr>
      <w:tr>
        <w:tc>
          <w:tcPr>
            <w:tcW w:type="dxa" w:w="1928"/>
            <w:shd w:val="clear" w:color="auto" w:fill="F4F6FA"/>
          </w:tcPr>
          <w:p>
            <w:pPr>
              <w:pStyle w:val="TableText"/>
            </w:pPr>
            <w:r>
              <w:rPr>
                <w:rFonts w:ascii="Arial" w:hAnsi="Arial"/>
                <w:sz w:val="16"/>
              </w:rPr>
              <w:t>Principle 3</w:t>
            </w:r>
          </w:p>
        </w:tc>
        <w:tc>
          <w:tcPr>
            <w:tcW w:type="dxa" w:w="7483"/>
            <w:shd w:val="clear" w:color="auto" w:fill="F4F6FA"/>
          </w:tcPr>
          <w:p>
            <w:pPr>
              <w:pStyle w:val="TableText"/>
            </w:pPr>
            <w:r>
              <w:rPr>
                <w:rFonts w:ascii="Arial" w:hAnsi="Arial"/>
                <w:sz w:val="16"/>
              </w:rPr>
              <w:t>Model development, implementation, and use</w:t>
            </w:r>
          </w:p>
        </w:tc>
      </w:tr>
      <w:tr>
        <w:tc>
          <w:tcPr>
            <w:tcW w:type="dxa" w:w="1928"/>
          </w:tcPr>
          <w:p>
            <w:pPr>
              <w:pStyle w:val="TableText"/>
            </w:pPr>
            <w:r>
              <w:rPr>
                <w:rFonts w:ascii="Arial" w:hAnsi="Arial"/>
                <w:sz w:val="16"/>
              </w:rPr>
              <w:t>Principle 3.1</w:t>
            </w:r>
          </w:p>
        </w:tc>
        <w:tc>
          <w:tcPr>
            <w:tcW w:type="dxa" w:w="7483"/>
          </w:tcPr>
          <w:p>
            <w:pPr>
              <w:pStyle w:val="TableText"/>
            </w:pPr>
            <w:r>
              <w:rPr>
                <w:rFonts w:ascii="Arial" w:hAnsi="Arial"/>
                <w:sz w:val="16"/>
              </w:rPr>
              <w:t>Model purpose and design</w:t>
            </w:r>
          </w:p>
        </w:tc>
      </w:tr>
      <w:tr>
        <w:tc>
          <w:tcPr>
            <w:tcW w:type="dxa" w:w="1928"/>
            <w:shd w:val="clear" w:color="auto" w:fill="F4F6FA"/>
          </w:tcPr>
          <w:p>
            <w:pPr>
              <w:pStyle w:val="TableText"/>
            </w:pPr>
            <w:r>
              <w:rPr>
                <w:rFonts w:ascii="Arial" w:hAnsi="Arial"/>
                <w:sz w:val="16"/>
              </w:rPr>
              <w:t>Principle 3.2</w:t>
            </w:r>
          </w:p>
        </w:tc>
        <w:tc>
          <w:tcPr>
            <w:tcW w:type="dxa" w:w="7483"/>
            <w:shd w:val="clear" w:color="auto" w:fill="F4F6FA"/>
          </w:tcPr>
          <w:p>
            <w:pPr>
              <w:pStyle w:val="TableText"/>
            </w:pPr>
            <w:r>
              <w:rPr>
                <w:rFonts w:ascii="Arial" w:hAnsi="Arial"/>
                <w:sz w:val="16"/>
              </w:rPr>
              <w:t>The use of data</w:t>
            </w:r>
          </w:p>
        </w:tc>
      </w:tr>
      <w:tr>
        <w:tc>
          <w:tcPr>
            <w:tcW w:type="dxa" w:w="1928"/>
          </w:tcPr>
          <w:p>
            <w:pPr>
              <w:pStyle w:val="TableText"/>
            </w:pPr>
            <w:r>
              <w:rPr>
                <w:rFonts w:ascii="Arial" w:hAnsi="Arial"/>
                <w:sz w:val="16"/>
              </w:rPr>
              <w:t>Principle 3.3</w:t>
            </w:r>
          </w:p>
        </w:tc>
        <w:tc>
          <w:tcPr>
            <w:tcW w:type="dxa" w:w="7483"/>
          </w:tcPr>
          <w:p>
            <w:pPr>
              <w:pStyle w:val="TableText"/>
            </w:pPr>
            <w:r>
              <w:rPr>
                <w:rFonts w:ascii="Arial" w:hAnsi="Arial"/>
                <w:sz w:val="16"/>
              </w:rPr>
              <w:t>Model development testing</w:t>
            </w:r>
          </w:p>
        </w:tc>
      </w:tr>
      <w:tr>
        <w:tc>
          <w:tcPr>
            <w:tcW w:type="dxa" w:w="1928"/>
            <w:shd w:val="clear" w:color="auto" w:fill="F4F6FA"/>
          </w:tcPr>
          <w:p>
            <w:pPr>
              <w:pStyle w:val="TableText"/>
            </w:pPr>
            <w:r>
              <w:rPr>
                <w:rFonts w:ascii="Arial" w:hAnsi="Arial"/>
                <w:sz w:val="16"/>
              </w:rPr>
              <w:t>Principle 3.4</w:t>
            </w:r>
          </w:p>
        </w:tc>
        <w:tc>
          <w:tcPr>
            <w:tcW w:type="dxa" w:w="7483"/>
            <w:shd w:val="clear" w:color="auto" w:fill="F4F6FA"/>
          </w:tcPr>
          <w:p>
            <w:pPr>
              <w:pStyle w:val="TableText"/>
            </w:pPr>
            <w:r>
              <w:rPr>
                <w:rFonts w:ascii="Arial" w:hAnsi="Arial"/>
                <w:sz w:val="16"/>
              </w:rPr>
              <w:t>Model adjustments and expert judgement</w:t>
            </w:r>
          </w:p>
        </w:tc>
      </w:tr>
      <w:tr>
        <w:tc>
          <w:tcPr>
            <w:tcW w:type="dxa" w:w="1928"/>
          </w:tcPr>
          <w:p>
            <w:pPr>
              <w:pStyle w:val="TableText"/>
            </w:pPr>
            <w:r>
              <w:rPr>
                <w:rFonts w:ascii="Arial" w:hAnsi="Arial"/>
                <w:sz w:val="16"/>
              </w:rPr>
              <w:t>Principle 3.5</w:t>
            </w:r>
          </w:p>
        </w:tc>
        <w:tc>
          <w:tcPr>
            <w:tcW w:type="dxa" w:w="7483"/>
          </w:tcPr>
          <w:p>
            <w:pPr>
              <w:pStyle w:val="TableText"/>
            </w:pPr>
            <w:r>
              <w:rPr>
                <w:rFonts w:ascii="Arial" w:hAnsi="Arial"/>
                <w:sz w:val="16"/>
              </w:rPr>
              <w:t>Model development documentation</w:t>
            </w:r>
          </w:p>
        </w:tc>
      </w:tr>
      <w:tr>
        <w:tc>
          <w:tcPr>
            <w:tcW w:type="dxa" w:w="1928"/>
            <w:shd w:val="clear" w:color="auto" w:fill="F4F6FA"/>
          </w:tcPr>
          <w:p>
            <w:pPr>
              <w:pStyle w:val="TableText"/>
            </w:pPr>
            <w:r>
              <w:rPr>
                <w:rFonts w:ascii="Arial" w:hAnsi="Arial"/>
                <w:sz w:val="16"/>
              </w:rPr>
              <w:t>Principle 3.6</w:t>
            </w:r>
          </w:p>
        </w:tc>
        <w:tc>
          <w:tcPr>
            <w:tcW w:type="dxa" w:w="7483"/>
            <w:shd w:val="clear" w:color="auto" w:fill="F4F6FA"/>
          </w:tcPr>
          <w:p>
            <w:pPr>
              <w:pStyle w:val="TableText"/>
            </w:pPr>
            <w:r>
              <w:rPr>
                <w:rFonts w:ascii="Arial" w:hAnsi="Arial"/>
                <w:sz w:val="16"/>
              </w:rPr>
              <w:t>Supporting systems</w:t>
            </w:r>
          </w:p>
        </w:tc>
      </w:tr>
      <w:tr>
        <w:tc>
          <w:tcPr>
            <w:tcW w:type="dxa" w:w="1928"/>
          </w:tcPr>
          <w:p>
            <w:pPr>
              <w:pStyle w:val="TableText"/>
            </w:pPr>
            <w:r>
              <w:rPr>
                <w:rFonts w:ascii="Arial" w:hAnsi="Arial"/>
                <w:sz w:val="16"/>
              </w:rPr>
              <w:t>Principle 4</w:t>
            </w:r>
          </w:p>
        </w:tc>
        <w:tc>
          <w:tcPr>
            <w:tcW w:type="dxa" w:w="7483"/>
          </w:tcPr>
          <w:p>
            <w:pPr>
              <w:pStyle w:val="TableText"/>
            </w:pPr>
            <w:r>
              <w:rPr>
                <w:rFonts w:ascii="Arial" w:hAnsi="Arial"/>
                <w:sz w:val="16"/>
              </w:rPr>
              <w:t>Independent model validation</w:t>
            </w:r>
          </w:p>
        </w:tc>
      </w:tr>
      <w:tr>
        <w:tc>
          <w:tcPr>
            <w:tcW w:type="dxa" w:w="1928"/>
            <w:shd w:val="clear" w:color="auto" w:fill="F4F6FA"/>
          </w:tcPr>
          <w:p>
            <w:pPr>
              <w:pStyle w:val="TableText"/>
            </w:pPr>
            <w:r>
              <w:rPr>
                <w:rFonts w:ascii="Arial" w:hAnsi="Arial"/>
                <w:sz w:val="16"/>
              </w:rPr>
              <w:t>Principle 4.1</w:t>
            </w:r>
          </w:p>
        </w:tc>
        <w:tc>
          <w:tcPr>
            <w:tcW w:type="dxa" w:w="7483"/>
            <w:shd w:val="clear" w:color="auto" w:fill="F4F6FA"/>
          </w:tcPr>
          <w:p>
            <w:pPr>
              <w:pStyle w:val="TableText"/>
            </w:pPr>
            <w:r>
              <w:rPr>
                <w:rFonts w:ascii="Arial" w:hAnsi="Arial"/>
                <w:sz w:val="16"/>
              </w:rPr>
              <w:t>The independent validation function</w:t>
            </w:r>
          </w:p>
        </w:tc>
      </w:tr>
      <w:tr>
        <w:tc>
          <w:tcPr>
            <w:tcW w:type="dxa" w:w="1928"/>
          </w:tcPr>
          <w:p>
            <w:pPr>
              <w:pStyle w:val="TableText"/>
            </w:pPr>
            <w:r>
              <w:rPr>
                <w:rFonts w:ascii="Arial" w:hAnsi="Arial"/>
                <w:sz w:val="16"/>
              </w:rPr>
              <w:t>Principle 4.2</w:t>
            </w:r>
          </w:p>
        </w:tc>
        <w:tc>
          <w:tcPr>
            <w:tcW w:type="dxa" w:w="7483"/>
          </w:tcPr>
          <w:p>
            <w:pPr>
              <w:pStyle w:val="TableText"/>
            </w:pPr>
            <w:r>
              <w:rPr>
                <w:rFonts w:ascii="Arial" w:hAnsi="Arial"/>
                <w:sz w:val="16"/>
              </w:rPr>
              <w:t>Independent review</w:t>
            </w:r>
          </w:p>
        </w:tc>
      </w:tr>
      <w:tr>
        <w:tc>
          <w:tcPr>
            <w:tcW w:type="dxa" w:w="1928"/>
            <w:shd w:val="clear" w:color="auto" w:fill="F4F6FA"/>
          </w:tcPr>
          <w:p>
            <w:pPr>
              <w:pStyle w:val="TableText"/>
            </w:pPr>
            <w:r>
              <w:rPr>
                <w:rFonts w:ascii="Arial" w:hAnsi="Arial"/>
                <w:sz w:val="16"/>
              </w:rPr>
              <w:t>Principle 4.3</w:t>
            </w:r>
          </w:p>
        </w:tc>
        <w:tc>
          <w:tcPr>
            <w:tcW w:type="dxa" w:w="7483"/>
            <w:shd w:val="clear" w:color="auto" w:fill="F4F6FA"/>
          </w:tcPr>
          <w:p>
            <w:pPr>
              <w:pStyle w:val="TableText"/>
            </w:pPr>
            <w:r>
              <w:rPr>
                <w:rFonts w:ascii="Arial" w:hAnsi="Arial"/>
                <w:sz w:val="16"/>
              </w:rPr>
              <w:t>Process verification</w:t>
            </w:r>
          </w:p>
        </w:tc>
      </w:tr>
      <w:tr>
        <w:tc>
          <w:tcPr>
            <w:tcW w:type="dxa" w:w="1928"/>
          </w:tcPr>
          <w:p>
            <w:pPr>
              <w:pStyle w:val="TableText"/>
            </w:pPr>
            <w:r>
              <w:rPr>
                <w:rFonts w:ascii="Arial" w:hAnsi="Arial"/>
                <w:sz w:val="16"/>
              </w:rPr>
              <w:t>Principle 4.4</w:t>
            </w:r>
          </w:p>
        </w:tc>
        <w:tc>
          <w:tcPr>
            <w:tcW w:type="dxa" w:w="7483"/>
          </w:tcPr>
          <w:p>
            <w:pPr>
              <w:pStyle w:val="TableText"/>
            </w:pPr>
            <w:r>
              <w:rPr>
                <w:rFonts w:ascii="Arial" w:hAnsi="Arial"/>
                <w:sz w:val="16"/>
              </w:rPr>
              <w:t>Model performance monitoring</w:t>
            </w:r>
          </w:p>
        </w:tc>
      </w:tr>
      <w:tr>
        <w:tc>
          <w:tcPr>
            <w:tcW w:type="dxa" w:w="1928"/>
            <w:shd w:val="clear" w:color="auto" w:fill="F4F6FA"/>
          </w:tcPr>
          <w:p>
            <w:pPr>
              <w:pStyle w:val="TableText"/>
            </w:pPr>
            <w:r>
              <w:rPr>
                <w:rFonts w:ascii="Arial" w:hAnsi="Arial"/>
                <w:sz w:val="16"/>
              </w:rPr>
              <w:t>Principle 4.5</w:t>
            </w:r>
          </w:p>
        </w:tc>
        <w:tc>
          <w:tcPr>
            <w:tcW w:type="dxa" w:w="7483"/>
            <w:shd w:val="clear" w:color="auto" w:fill="F4F6FA"/>
          </w:tcPr>
          <w:p>
            <w:pPr>
              <w:pStyle w:val="TableText"/>
            </w:pPr>
            <w:r>
              <w:rPr>
                <w:rFonts w:ascii="Arial" w:hAnsi="Arial"/>
                <w:sz w:val="16"/>
              </w:rPr>
              <w:t>Periodic revalidation</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Model risk mitigants</w:t>
            </w:r>
          </w:p>
        </w:tc>
      </w:tr>
      <w:tr>
        <w:tc>
          <w:tcPr>
            <w:tcW w:type="dxa" w:w="1928"/>
            <w:shd w:val="clear" w:color="auto" w:fill="F4F6FA"/>
          </w:tcPr>
          <w:p>
            <w:pPr>
              <w:pStyle w:val="TableText"/>
            </w:pPr>
            <w:r>
              <w:rPr>
                <w:rFonts w:ascii="Arial" w:hAnsi="Arial"/>
                <w:sz w:val="16"/>
              </w:rPr>
              <w:t>Principle 5.1</w:t>
            </w:r>
          </w:p>
        </w:tc>
        <w:tc>
          <w:tcPr>
            <w:tcW w:type="dxa" w:w="7483"/>
            <w:shd w:val="clear" w:color="auto" w:fill="F4F6FA"/>
          </w:tcPr>
          <w:p>
            <w:pPr>
              <w:pStyle w:val="TableText"/>
            </w:pPr>
            <w:r>
              <w:rPr>
                <w:rFonts w:ascii="Arial" w:hAnsi="Arial"/>
                <w:sz w:val="16"/>
              </w:rPr>
              <w:t>Process for applying post-model adjustments</w:t>
            </w:r>
          </w:p>
        </w:tc>
      </w:tr>
      <w:tr>
        <w:tc>
          <w:tcPr>
            <w:tcW w:type="dxa" w:w="1928"/>
          </w:tcPr>
          <w:p>
            <w:pPr>
              <w:pStyle w:val="TableText"/>
            </w:pPr>
            <w:r>
              <w:rPr>
                <w:rFonts w:ascii="Arial" w:hAnsi="Arial"/>
                <w:sz w:val="16"/>
              </w:rPr>
              <w:t>Principle 5.2</w:t>
            </w:r>
          </w:p>
        </w:tc>
        <w:tc>
          <w:tcPr>
            <w:tcW w:type="dxa" w:w="7483"/>
          </w:tcPr>
          <w:p>
            <w:pPr>
              <w:pStyle w:val="TableText"/>
            </w:pPr>
            <w:r>
              <w:rPr>
                <w:rFonts w:ascii="Arial" w:hAnsi="Arial"/>
                <w:sz w:val="16"/>
              </w:rPr>
              <w:t>Restrictions on model use</w:t>
            </w:r>
          </w:p>
        </w:tc>
      </w:tr>
      <w:tr>
        <w:tc>
          <w:tcPr>
            <w:tcW w:type="dxa" w:w="1928"/>
            <w:shd w:val="clear" w:color="auto" w:fill="F4F6FA"/>
          </w:tcPr>
          <w:p>
            <w:pPr>
              <w:pStyle w:val="TableText"/>
            </w:pPr>
            <w:r>
              <w:rPr>
                <w:rFonts w:ascii="Arial" w:hAnsi="Arial"/>
                <w:sz w:val="16"/>
              </w:rPr>
              <w:t>Principle 5.3</w:t>
            </w:r>
          </w:p>
        </w:tc>
        <w:tc>
          <w:tcPr>
            <w:tcW w:type="dxa" w:w="7483"/>
            <w:shd w:val="clear" w:color="auto" w:fill="F4F6FA"/>
          </w:tcPr>
          <w:p>
            <w:pPr>
              <w:pStyle w:val="TableText"/>
            </w:pPr>
            <w:r>
              <w:rPr>
                <w:rFonts w:ascii="Arial" w:hAnsi="Arial"/>
                <w:sz w:val="16"/>
              </w:rPr>
              <w:t>Exceptions and escalations</w:t>
            </w:r>
          </w:p>
        </w:tc>
      </w:tr>
    </w:tbl>
    <w:p>
      <w:pPr>
        <w:pStyle w:val="Heading2"/>
      </w:pPr>
      <w:r>
        <w:t>OSFI Guideline E-23 — Model Risk Management (2027)</w:t>
      </w:r>
    </w:p>
    <w:p>
      <w:pPr>
        <w:pStyle w:val="SourceNote"/>
      </w:pPr>
      <w:r>
        <w:t>Structured as three outcomes, each heading a group of principles numbered X.Y where X is the parent outcome. Twelve principles in total. A mapping that treats E-23 as having only three citable units under-represents it by twelve.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Outcome 1</w:t>
            </w:r>
          </w:p>
        </w:tc>
        <w:tc>
          <w:tcPr>
            <w:tcW w:type="dxa" w:w="7483"/>
          </w:tcPr>
          <w:p>
            <w:pPr>
              <w:pStyle w:val="TableText"/>
            </w:pPr>
            <w:r>
              <w:rPr>
                <w:rFonts w:ascii="Arial" w:hAnsi="Arial"/>
                <w:sz w:val="16"/>
              </w:rPr>
              <w:t>Model risk is well understood and managed across the enterprise.</w:t>
            </w:r>
          </w:p>
        </w:tc>
      </w:tr>
      <w:tr>
        <w:tc>
          <w:tcPr>
            <w:tcW w:type="dxa" w:w="1928"/>
            <w:shd w:val="clear" w:color="auto" w:fill="F4F6FA"/>
          </w:tcPr>
          <w:p>
            <w:pPr>
              <w:pStyle w:val="TableText"/>
            </w:pPr>
            <w:r>
              <w:rPr>
                <w:rFonts w:ascii="Arial" w:hAnsi="Arial"/>
                <w:sz w:val="16"/>
              </w:rPr>
              <w:t>Principle 1.1</w:t>
            </w:r>
          </w:p>
        </w:tc>
        <w:tc>
          <w:tcPr>
            <w:tcW w:type="dxa" w:w="7483"/>
            <w:shd w:val="clear" w:color="auto" w:fill="F4F6FA"/>
          </w:tcPr>
          <w:p>
            <w:pPr>
              <w:pStyle w:val="TableText"/>
            </w:pPr>
            <w:r>
              <w:rPr>
                <w:rFonts w:ascii="Arial" w:hAnsi="Arial"/>
                <w:sz w:val="16"/>
              </w:rPr>
              <w:t>Effective reporting structures and proper resourcing should enable sound model governance.</w:t>
            </w:r>
          </w:p>
        </w:tc>
      </w:tr>
      <w:tr>
        <w:tc>
          <w:tcPr>
            <w:tcW w:type="dxa" w:w="1928"/>
          </w:tcPr>
          <w:p>
            <w:pPr>
              <w:pStyle w:val="TableText"/>
            </w:pPr>
            <w:r>
              <w:rPr>
                <w:rFonts w:ascii="Arial" w:hAnsi="Arial"/>
                <w:sz w:val="16"/>
              </w:rPr>
              <w:t>Principle 1.2</w:t>
            </w:r>
          </w:p>
        </w:tc>
        <w:tc>
          <w:tcPr>
            <w:tcW w:type="dxa" w:w="7483"/>
          </w:tcPr>
          <w:p>
            <w:pPr>
              <w:pStyle w:val="TableText"/>
            </w:pPr>
            <w:r>
              <w:rPr>
                <w:rFonts w:ascii="Arial" w:hAnsi="Arial"/>
                <w:sz w:val="16"/>
              </w:rPr>
              <w:t>The MRM framework should align risk-taking activities to strategic objectives and risk appetite.</w:t>
            </w:r>
          </w:p>
        </w:tc>
      </w:tr>
      <w:tr>
        <w:tc>
          <w:tcPr>
            <w:tcW w:type="dxa" w:w="1928"/>
            <w:shd w:val="clear" w:color="auto" w:fill="F4F6FA"/>
          </w:tcPr>
          <w:p>
            <w:pPr>
              <w:pStyle w:val="TableText"/>
            </w:pPr>
            <w:r>
              <w:rPr>
                <w:rFonts w:ascii="Arial" w:hAnsi="Arial"/>
                <w:sz w:val="16"/>
              </w:rPr>
              <w:t>Principle 1.3</w:t>
            </w:r>
          </w:p>
        </w:tc>
        <w:tc>
          <w:tcPr>
            <w:tcW w:type="dxa" w:w="7483"/>
            <w:shd w:val="clear" w:color="auto" w:fill="F4F6FA"/>
          </w:tcPr>
          <w:p>
            <w:pPr>
              <w:pStyle w:val="TableText"/>
            </w:pPr>
            <w:r>
              <w:rPr>
                <w:rFonts w:ascii="Arial" w:hAnsi="Arial"/>
                <w:sz w:val="16"/>
              </w:rPr>
              <w:t>Models should be appropriate for their business purposes.</w:t>
            </w:r>
          </w:p>
        </w:tc>
      </w:tr>
      <w:tr>
        <w:tc>
          <w:tcPr>
            <w:tcW w:type="dxa" w:w="1928"/>
          </w:tcPr>
          <w:p>
            <w:pPr>
              <w:pStyle w:val="TableText"/>
            </w:pPr>
            <w:r>
              <w:rPr>
                <w:rFonts w:ascii="Arial" w:hAnsi="Arial"/>
                <w:sz w:val="16"/>
              </w:rPr>
              <w:t>Outcome 2</w:t>
            </w:r>
          </w:p>
        </w:tc>
        <w:tc>
          <w:tcPr>
            <w:tcW w:type="dxa" w:w="7483"/>
          </w:tcPr>
          <w:p>
            <w:pPr>
              <w:pStyle w:val="TableText"/>
            </w:pPr>
            <w:r>
              <w:rPr>
                <w:rFonts w:ascii="Arial" w:hAnsi="Arial"/>
                <w:sz w:val="16"/>
              </w:rPr>
              <w:t>Model risk is managed using a risk-based approach.</w:t>
            </w:r>
          </w:p>
        </w:tc>
      </w:tr>
      <w:tr>
        <w:tc>
          <w:tcPr>
            <w:tcW w:type="dxa" w:w="1928"/>
            <w:shd w:val="clear" w:color="auto" w:fill="F4F6FA"/>
          </w:tcPr>
          <w:p>
            <w:pPr>
              <w:pStyle w:val="TableText"/>
            </w:pPr>
            <w:r>
              <w:rPr>
                <w:rFonts w:ascii="Arial" w:hAnsi="Arial"/>
                <w:sz w:val="16"/>
              </w:rPr>
              <w:t>Principle 2.1</w:t>
            </w:r>
          </w:p>
        </w:tc>
        <w:tc>
          <w:tcPr>
            <w:tcW w:type="dxa" w:w="7483"/>
            <w:shd w:val="clear" w:color="auto" w:fill="F4F6FA"/>
          </w:tcPr>
          <w:p>
            <w:pPr>
              <w:pStyle w:val="TableText"/>
            </w:pPr>
            <w:r>
              <w:rPr>
                <w:rFonts w:ascii="Arial" w:hAnsi="Arial"/>
                <w:sz w:val="16"/>
              </w:rPr>
              <w:t>Institutions should identify and track all models in use or recently decommissioned.</w:t>
            </w:r>
          </w:p>
        </w:tc>
      </w:tr>
      <w:tr>
        <w:tc>
          <w:tcPr>
            <w:tcW w:type="dxa" w:w="1928"/>
          </w:tcPr>
          <w:p>
            <w:pPr>
              <w:pStyle w:val="TableText"/>
            </w:pPr>
            <w:r>
              <w:rPr>
                <w:rFonts w:ascii="Arial" w:hAnsi="Arial"/>
                <w:sz w:val="16"/>
              </w:rPr>
              <w:t>Principle 2.2</w:t>
            </w:r>
          </w:p>
        </w:tc>
        <w:tc>
          <w:tcPr>
            <w:tcW w:type="dxa" w:w="7483"/>
          </w:tcPr>
          <w:p>
            <w:pPr>
              <w:pStyle w:val="TableText"/>
            </w:pPr>
            <w:r>
              <w:rPr>
                <w:rFonts w:ascii="Arial" w:hAnsi="Arial"/>
                <w:sz w:val="16"/>
              </w:rPr>
              <w:t>Institutions should establish a model risk rating approach that assesses key dimensions of model risk.</w:t>
            </w:r>
          </w:p>
        </w:tc>
      </w:tr>
      <w:tr>
        <w:tc>
          <w:tcPr>
            <w:tcW w:type="dxa" w:w="1928"/>
            <w:shd w:val="clear" w:color="auto" w:fill="F4F6FA"/>
          </w:tcPr>
          <w:p>
            <w:pPr>
              <w:pStyle w:val="TableText"/>
            </w:pPr>
            <w:r>
              <w:rPr>
                <w:rFonts w:ascii="Arial" w:hAnsi="Arial"/>
                <w:sz w:val="16"/>
              </w:rPr>
              <w:t>Principle 2.3</w:t>
            </w:r>
          </w:p>
        </w:tc>
        <w:tc>
          <w:tcPr>
            <w:tcW w:type="dxa" w:w="7483"/>
            <w:shd w:val="clear" w:color="auto" w:fill="F4F6FA"/>
          </w:tcPr>
          <w:p>
            <w:pPr>
              <w:pStyle w:val="TableText"/>
            </w:pPr>
            <w:r>
              <w:rPr>
                <w:rFonts w:ascii="Arial" w:hAnsi="Arial"/>
                <w:sz w:val="16"/>
              </w:rPr>
              <w:t>The scope, scale, and intensity of MRM should be commensurate with the risk introduced by the model.</w:t>
            </w:r>
          </w:p>
        </w:tc>
      </w:tr>
      <w:tr>
        <w:tc>
          <w:tcPr>
            <w:tcW w:type="dxa" w:w="1928"/>
          </w:tcPr>
          <w:p>
            <w:pPr>
              <w:pStyle w:val="TableText"/>
            </w:pPr>
            <w:r>
              <w:rPr>
                <w:rFonts w:ascii="Arial" w:hAnsi="Arial"/>
                <w:sz w:val="16"/>
              </w:rPr>
              <w:t>Outcome 3</w:t>
            </w:r>
          </w:p>
        </w:tc>
        <w:tc>
          <w:tcPr>
            <w:tcW w:type="dxa" w:w="7483"/>
          </w:tcPr>
          <w:p>
            <w:pPr>
              <w:pStyle w:val="TableText"/>
            </w:pPr>
            <w:r>
              <w:rPr>
                <w:rFonts w:ascii="Arial" w:hAnsi="Arial"/>
                <w:sz w:val="16"/>
              </w:rPr>
              <w:t>Model governance covers the entire model lifecycle.</w:t>
            </w:r>
          </w:p>
        </w:tc>
      </w:tr>
      <w:tr>
        <w:tc>
          <w:tcPr>
            <w:tcW w:type="dxa" w:w="1928"/>
            <w:shd w:val="clear" w:color="auto" w:fill="F4F6FA"/>
          </w:tcPr>
          <w:p>
            <w:pPr>
              <w:pStyle w:val="TableText"/>
            </w:pPr>
            <w:r>
              <w:rPr>
                <w:rFonts w:ascii="Arial" w:hAnsi="Arial"/>
                <w:sz w:val="16"/>
              </w:rPr>
              <w:t>Principle 3.1</w:t>
            </w:r>
          </w:p>
        </w:tc>
        <w:tc>
          <w:tcPr>
            <w:tcW w:type="dxa" w:w="7483"/>
            <w:shd w:val="clear" w:color="auto" w:fill="F4F6FA"/>
          </w:tcPr>
          <w:p>
            <w:pPr>
              <w:pStyle w:val="TableText"/>
            </w:pPr>
            <w:r>
              <w:rPr>
                <w:rFonts w:ascii="Arial" w:hAnsi="Arial"/>
                <w:sz w:val="16"/>
              </w:rPr>
              <w:t>MRM policies, procedures, and controls should be robust, flexible, and lead to effective requirements applied across the model lifecycle.</w:t>
            </w:r>
          </w:p>
        </w:tc>
      </w:tr>
      <w:tr>
        <w:tc>
          <w:tcPr>
            <w:tcW w:type="dxa" w:w="1928"/>
          </w:tcPr>
          <w:p>
            <w:pPr>
              <w:pStyle w:val="TableText"/>
            </w:pPr>
            <w:r>
              <w:rPr>
                <w:rFonts w:ascii="Arial" w:hAnsi="Arial"/>
                <w:sz w:val="16"/>
              </w:rPr>
              <w:t>Principle 3.2</w:t>
            </w:r>
          </w:p>
        </w:tc>
        <w:tc>
          <w:tcPr>
            <w:tcW w:type="dxa" w:w="7483"/>
          </w:tcPr>
          <w:p>
            <w:pPr>
              <w:pStyle w:val="TableText"/>
            </w:pPr>
            <w:r>
              <w:rPr>
                <w:rFonts w:ascii="Arial" w:hAnsi="Arial"/>
                <w:sz w:val="16"/>
              </w:rPr>
              <w:t>Data used to develop the model should be suitable for the intended use.</w:t>
            </w:r>
          </w:p>
        </w:tc>
      </w:tr>
      <w:tr>
        <w:tc>
          <w:tcPr>
            <w:tcW w:type="dxa" w:w="1928"/>
            <w:shd w:val="clear" w:color="auto" w:fill="F4F6FA"/>
          </w:tcPr>
          <w:p>
            <w:pPr>
              <w:pStyle w:val="TableText"/>
            </w:pPr>
            <w:r>
              <w:rPr>
                <w:rFonts w:ascii="Arial" w:hAnsi="Arial"/>
                <w:sz w:val="16"/>
              </w:rPr>
              <w:t>Principle 3.3</w:t>
            </w:r>
          </w:p>
        </w:tc>
        <w:tc>
          <w:tcPr>
            <w:tcW w:type="dxa" w:w="7483"/>
            <w:shd w:val="clear" w:color="auto" w:fill="F4F6FA"/>
          </w:tcPr>
          <w:p>
            <w:pPr>
              <w:pStyle w:val="TableText"/>
            </w:pPr>
            <w:r>
              <w:rPr>
                <w:rFonts w:ascii="Arial" w:hAnsi="Arial"/>
                <w:sz w:val="16"/>
              </w:rPr>
              <w:t>Institutions should have model development processes that set clear standards for performance and documentation.</w:t>
            </w:r>
          </w:p>
        </w:tc>
      </w:tr>
      <w:tr>
        <w:tc>
          <w:tcPr>
            <w:tcW w:type="dxa" w:w="1928"/>
          </w:tcPr>
          <w:p>
            <w:pPr>
              <w:pStyle w:val="TableText"/>
            </w:pPr>
            <w:r>
              <w:rPr>
                <w:rFonts w:ascii="Arial" w:hAnsi="Arial"/>
                <w:sz w:val="16"/>
              </w:rPr>
              <w:t>Principle 3.4</w:t>
            </w:r>
          </w:p>
        </w:tc>
        <w:tc>
          <w:tcPr>
            <w:tcW w:type="dxa" w:w="7483"/>
          </w:tcPr>
          <w:p>
            <w:pPr>
              <w:pStyle w:val="TableText"/>
            </w:pPr>
            <w:r>
              <w:rPr>
                <w:rFonts w:ascii="Arial" w:hAnsi="Arial"/>
                <w:sz w:val="16"/>
              </w:rPr>
              <w:t>Institutions should have a process to independently assess conceptual soundness and performance of models.</w:t>
            </w:r>
          </w:p>
        </w:tc>
      </w:tr>
      <w:tr>
        <w:tc>
          <w:tcPr>
            <w:tcW w:type="dxa" w:w="1928"/>
            <w:shd w:val="clear" w:color="auto" w:fill="F4F6FA"/>
          </w:tcPr>
          <w:p>
            <w:pPr>
              <w:pStyle w:val="TableText"/>
            </w:pPr>
            <w:r>
              <w:rPr>
                <w:rFonts w:ascii="Arial" w:hAnsi="Arial"/>
                <w:sz w:val="16"/>
              </w:rPr>
              <w:t>Principle 3.5</w:t>
            </w:r>
          </w:p>
        </w:tc>
        <w:tc>
          <w:tcPr>
            <w:tcW w:type="dxa" w:w="7483"/>
            <w:shd w:val="clear" w:color="auto" w:fill="F4F6FA"/>
          </w:tcPr>
          <w:p>
            <w:pPr>
              <w:pStyle w:val="TableText"/>
            </w:pPr>
            <w:r>
              <w:rPr>
                <w:rFonts w:ascii="Arial" w:hAnsi="Arial"/>
                <w:sz w:val="16"/>
              </w:rPr>
              <w:t>Models should be deployed in an environment with quality and change control processes.</w:t>
            </w:r>
          </w:p>
        </w:tc>
      </w:tr>
      <w:tr>
        <w:tc>
          <w:tcPr>
            <w:tcW w:type="dxa" w:w="1928"/>
          </w:tcPr>
          <w:p>
            <w:pPr>
              <w:pStyle w:val="TableText"/>
            </w:pPr>
            <w:r>
              <w:rPr>
                <w:rFonts w:ascii="Arial" w:hAnsi="Arial"/>
                <w:sz w:val="16"/>
              </w:rPr>
              <w:t>Principle 3.6</w:t>
            </w:r>
          </w:p>
        </w:tc>
        <w:tc>
          <w:tcPr>
            <w:tcW w:type="dxa" w:w="7483"/>
          </w:tcPr>
          <w:p>
            <w:pPr>
              <w:pStyle w:val="TableText"/>
            </w:pPr>
            <w:r>
              <w:rPr>
                <w:rFonts w:ascii="Arial" w:hAnsi="Arial"/>
                <w:sz w:val="16"/>
              </w:rPr>
              <w:t>Institutions should have defined standards for model monitoring, and model decommission.</w:t>
            </w:r>
          </w:p>
        </w:tc>
      </w:tr>
    </w:tbl>
    <w:p>
      <w:pPr>
        <w:pStyle w:val="Heading2"/>
      </w:pPr>
      <w:r>
        <w:t>US interagency Supervisory Guidance on Model Risk Management (SR 26-2 / OCC 2026-13 / FDIC FIL-15-2026, 17 April 2026)</w:t>
      </w:r>
    </w:p>
    <w:p>
      <w:pPr>
        <w:pStyle w:val="SourceNote"/>
      </w:pPr>
      <w:r>
        <w:t>Seven sections. Expressly non-enforceable and most relevant to banking organisations above $30 billion in total assets. Generative and agentic AI are outside scope. Replaced the 2011 guidance, which was rescinded.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I</w:t>
            </w:r>
          </w:p>
        </w:tc>
        <w:tc>
          <w:tcPr>
            <w:tcW w:type="dxa" w:w="7483"/>
          </w:tcPr>
          <w:p>
            <w:pPr>
              <w:pStyle w:val="TableText"/>
            </w:pPr>
            <w:r>
              <w:rPr>
                <w:rFonts w:ascii="Arial" w:hAnsi="Arial"/>
                <w:sz w:val="16"/>
              </w:rPr>
              <w:t>INTRODUCTION</w:t>
            </w:r>
          </w:p>
        </w:tc>
      </w:tr>
      <w:tr>
        <w:tc>
          <w:tcPr>
            <w:tcW w:type="dxa" w:w="1928"/>
            <w:shd w:val="clear" w:color="auto" w:fill="F4F6FA"/>
          </w:tcPr>
          <w:p>
            <w:pPr>
              <w:pStyle w:val="TableText"/>
            </w:pPr>
            <w:r>
              <w:rPr>
                <w:rFonts w:ascii="Arial" w:hAnsi="Arial"/>
                <w:sz w:val="16"/>
              </w:rPr>
              <w:t>II</w:t>
            </w:r>
          </w:p>
        </w:tc>
        <w:tc>
          <w:tcPr>
            <w:tcW w:type="dxa" w:w="7483"/>
            <w:shd w:val="clear" w:color="auto" w:fill="F4F6FA"/>
          </w:tcPr>
          <w:p>
            <w:pPr>
              <w:pStyle w:val="TableText"/>
            </w:pPr>
            <w:r>
              <w:rPr>
                <w:rFonts w:ascii="Arial" w:hAnsi="Arial"/>
                <w:sz w:val="16"/>
              </w:rPr>
              <w:t>PURPOSE AND SCOPE</w:t>
            </w:r>
          </w:p>
        </w:tc>
      </w:tr>
      <w:tr>
        <w:tc>
          <w:tcPr>
            <w:tcW w:type="dxa" w:w="1928"/>
          </w:tcPr>
          <w:p>
            <w:pPr>
              <w:pStyle w:val="TableText"/>
            </w:pPr>
            <w:r>
              <w:rPr>
                <w:rFonts w:ascii="Arial" w:hAnsi="Arial"/>
                <w:sz w:val="16"/>
              </w:rPr>
              <w:t>III</w:t>
            </w:r>
          </w:p>
        </w:tc>
        <w:tc>
          <w:tcPr>
            <w:tcW w:type="dxa" w:w="7483"/>
          </w:tcPr>
          <w:p>
            <w:pPr>
              <w:pStyle w:val="TableText"/>
            </w:pPr>
            <w:r>
              <w:rPr>
                <w:rFonts w:ascii="Arial" w:hAnsi="Arial"/>
                <w:sz w:val="16"/>
              </w:rPr>
              <w:t>OVERVIEW OF MODEL RISK AND MODEL RISK MANAGEMENT</w:t>
            </w:r>
          </w:p>
        </w:tc>
      </w:tr>
      <w:tr>
        <w:tc>
          <w:tcPr>
            <w:tcW w:type="dxa" w:w="1928"/>
            <w:shd w:val="clear" w:color="auto" w:fill="F4F6FA"/>
          </w:tcPr>
          <w:p>
            <w:pPr>
              <w:pStyle w:val="TableText"/>
            </w:pPr>
            <w:r>
              <w:rPr>
                <w:rFonts w:ascii="Arial" w:hAnsi="Arial"/>
                <w:sz w:val="16"/>
              </w:rPr>
              <w:t>IV</w:t>
            </w:r>
          </w:p>
        </w:tc>
        <w:tc>
          <w:tcPr>
            <w:tcW w:type="dxa" w:w="7483"/>
            <w:shd w:val="clear" w:color="auto" w:fill="F4F6FA"/>
          </w:tcPr>
          <w:p>
            <w:pPr>
              <w:pStyle w:val="TableText"/>
            </w:pPr>
            <w:r>
              <w:rPr>
                <w:rFonts w:ascii="Arial" w:hAnsi="Arial"/>
                <w:sz w:val="16"/>
              </w:rPr>
              <w:t>MODEL DEVELOPMENT AND MODEL USE</w:t>
            </w:r>
          </w:p>
        </w:tc>
      </w:tr>
      <w:tr>
        <w:tc>
          <w:tcPr>
            <w:tcW w:type="dxa" w:w="1928"/>
          </w:tcPr>
          <w:p>
            <w:pPr>
              <w:pStyle w:val="TableText"/>
            </w:pPr>
            <w:r>
              <w:rPr>
                <w:rFonts w:ascii="Arial" w:hAnsi="Arial"/>
                <w:sz w:val="16"/>
              </w:rPr>
              <w:t>IV — sub</w:t>
            </w:r>
          </w:p>
        </w:tc>
        <w:tc>
          <w:tcPr>
            <w:tcW w:type="dxa" w:w="7483"/>
          </w:tcPr>
          <w:p>
            <w:pPr>
              <w:pStyle w:val="TableText"/>
            </w:pPr>
            <w:r>
              <w:rPr>
                <w:rFonts w:ascii="Arial" w:hAnsi="Arial"/>
                <w:sz w:val="16"/>
              </w:rPr>
              <w:t>Model Development; Model Use</w:t>
            </w:r>
          </w:p>
        </w:tc>
      </w:tr>
      <w:tr>
        <w:tc>
          <w:tcPr>
            <w:tcW w:type="dxa" w:w="1928"/>
            <w:shd w:val="clear" w:color="auto" w:fill="F4F6FA"/>
          </w:tcPr>
          <w:p>
            <w:pPr>
              <w:pStyle w:val="TableText"/>
            </w:pPr>
            <w:r>
              <w:rPr>
                <w:rFonts w:ascii="Arial" w:hAnsi="Arial"/>
                <w:sz w:val="16"/>
              </w:rPr>
              <w:t>V</w:t>
            </w:r>
          </w:p>
        </w:tc>
        <w:tc>
          <w:tcPr>
            <w:tcW w:type="dxa" w:w="7483"/>
            <w:shd w:val="clear" w:color="auto" w:fill="F4F6FA"/>
          </w:tcPr>
          <w:p>
            <w:pPr>
              <w:pStyle w:val="TableText"/>
            </w:pPr>
            <w:r>
              <w:rPr>
                <w:rFonts w:ascii="Arial" w:hAnsi="Arial"/>
                <w:sz w:val="16"/>
              </w:rPr>
              <w:t>MODEL VALIDATION AND MONITORING</w:t>
            </w:r>
          </w:p>
        </w:tc>
      </w:tr>
      <w:tr>
        <w:tc>
          <w:tcPr>
            <w:tcW w:type="dxa" w:w="1928"/>
          </w:tcPr>
          <w:p>
            <w:pPr>
              <w:pStyle w:val="TableText"/>
            </w:pPr>
            <w:r>
              <w:rPr>
                <w:rFonts w:ascii="Arial" w:hAnsi="Arial"/>
                <w:sz w:val="16"/>
              </w:rPr>
              <w:t>V — sub</w:t>
            </w:r>
          </w:p>
        </w:tc>
        <w:tc>
          <w:tcPr>
            <w:tcW w:type="dxa" w:w="7483"/>
          </w:tcPr>
          <w:p>
            <w:pPr>
              <w:pStyle w:val="TableText"/>
            </w:pPr>
            <w:r>
              <w:rPr>
                <w:rFonts w:ascii="Arial" w:hAnsi="Arial"/>
                <w:sz w:val="16"/>
              </w:rPr>
              <w:t>Components of Model Validation; Conceptual Soundness; Outcomes Analysis; Ongoing Model Monitoring</w:t>
            </w:r>
          </w:p>
        </w:tc>
      </w:tr>
      <w:tr>
        <w:tc>
          <w:tcPr>
            <w:tcW w:type="dxa" w:w="1928"/>
            <w:shd w:val="clear" w:color="auto" w:fill="F4F6FA"/>
          </w:tcPr>
          <w:p>
            <w:pPr>
              <w:pStyle w:val="TableText"/>
            </w:pPr>
            <w:r>
              <w:rPr>
                <w:rFonts w:ascii="Arial" w:hAnsi="Arial"/>
                <w:sz w:val="16"/>
              </w:rPr>
              <w:t>VI</w:t>
            </w:r>
          </w:p>
        </w:tc>
        <w:tc>
          <w:tcPr>
            <w:tcW w:type="dxa" w:w="7483"/>
            <w:shd w:val="clear" w:color="auto" w:fill="F4F6FA"/>
          </w:tcPr>
          <w:p>
            <w:pPr>
              <w:pStyle w:val="TableText"/>
            </w:pPr>
            <w:r>
              <w:rPr>
                <w:rFonts w:ascii="Arial" w:hAnsi="Arial"/>
                <w:sz w:val="16"/>
              </w:rPr>
              <w:t>GOVERNANCE AND CONTROLS</w:t>
            </w:r>
          </w:p>
        </w:tc>
      </w:tr>
      <w:tr>
        <w:tc>
          <w:tcPr>
            <w:tcW w:type="dxa" w:w="1928"/>
          </w:tcPr>
          <w:p>
            <w:pPr>
              <w:pStyle w:val="TableText"/>
            </w:pPr>
            <w:r>
              <w:rPr>
                <w:rFonts w:ascii="Arial" w:hAnsi="Arial"/>
                <w:sz w:val="16"/>
              </w:rPr>
              <w:t>VI — sub</w:t>
            </w:r>
          </w:p>
        </w:tc>
        <w:tc>
          <w:tcPr>
            <w:tcW w:type="dxa" w:w="7483"/>
          </w:tcPr>
          <w:p>
            <w:pPr>
              <w:pStyle w:val="TableText"/>
            </w:pPr>
            <w:r>
              <w:rPr>
                <w:rFonts w:ascii="Arial" w:hAnsi="Arial"/>
                <w:sz w:val="16"/>
              </w:rPr>
              <w:t>Roles and Responsibilities; Model Inventory; Documentation</w:t>
            </w:r>
          </w:p>
        </w:tc>
      </w:tr>
      <w:tr>
        <w:tc>
          <w:tcPr>
            <w:tcW w:type="dxa" w:w="1928"/>
            <w:shd w:val="clear" w:color="auto" w:fill="F4F6FA"/>
          </w:tcPr>
          <w:p>
            <w:pPr>
              <w:pStyle w:val="TableText"/>
            </w:pPr>
            <w:r>
              <w:rPr>
                <w:rFonts w:ascii="Arial" w:hAnsi="Arial"/>
                <w:sz w:val="16"/>
              </w:rPr>
              <w:t>VII</w:t>
            </w:r>
          </w:p>
        </w:tc>
        <w:tc>
          <w:tcPr>
            <w:tcW w:type="dxa" w:w="7483"/>
            <w:shd w:val="clear" w:color="auto" w:fill="F4F6FA"/>
          </w:tcPr>
          <w:p>
            <w:pPr>
              <w:pStyle w:val="TableText"/>
            </w:pPr>
            <w:r>
              <w:rPr>
                <w:rFonts w:ascii="Arial" w:hAnsi="Arial"/>
                <w:sz w:val="16"/>
              </w:rPr>
              <w:t>VENDOR AND OTHER THIRD-PARTY PRODUCTS</w:t>
            </w:r>
          </w:p>
        </w:tc>
      </w:tr>
    </w:tbl>
    <w:p>
      <w:pPr>
        <w:pStyle w:val="Heading2"/>
      </w:pPr>
      <w:r>
        <w:t>ECB guide to internal models (June 2026, release 4.1) — overarching principles chapter</w:t>
      </w:r>
    </w:p>
    <w:p>
      <w:pPr>
        <w:pStyle w:val="SourceNote"/>
      </w:pPr>
      <w:r>
        <w:t>Five chapters overall: overarching principles for internal models; credit risk; market risk under CRR2; market risk under CRR3; counterparty credit risk. The sections below are those of the overarching principles chapter.</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Section 1</w:t>
            </w:r>
          </w:p>
        </w:tc>
        <w:tc>
          <w:tcPr>
            <w:tcW w:type="dxa" w:w="7483"/>
          </w:tcPr>
          <w:p>
            <w:pPr>
              <w:pStyle w:val="TableText"/>
            </w:pPr>
            <w:r>
              <w:rPr>
                <w:rFonts w:ascii="Arial" w:hAnsi="Arial"/>
                <w:sz w:val="16"/>
              </w:rPr>
              <w:t>Guidelines at consolidated and subsidiary levels</w:t>
            </w:r>
          </w:p>
        </w:tc>
      </w:tr>
      <w:tr>
        <w:tc>
          <w:tcPr>
            <w:tcW w:type="dxa" w:w="1928"/>
            <w:shd w:val="clear" w:color="auto" w:fill="F4F6FA"/>
          </w:tcPr>
          <w:p>
            <w:pPr>
              <w:pStyle w:val="TableText"/>
            </w:pPr>
            <w:r>
              <w:rPr>
                <w:rFonts w:ascii="Arial" w:hAnsi="Arial"/>
                <w:sz w:val="16"/>
              </w:rPr>
              <w:t>Section 2</w:t>
            </w:r>
          </w:p>
        </w:tc>
        <w:tc>
          <w:tcPr>
            <w:tcW w:type="dxa" w:w="7483"/>
            <w:shd w:val="clear" w:color="auto" w:fill="F4F6FA"/>
          </w:tcPr>
          <w:p>
            <w:pPr>
              <w:pStyle w:val="TableText"/>
            </w:pPr>
            <w:r>
              <w:rPr>
                <w:rFonts w:ascii="Arial" w:hAnsi="Arial"/>
                <w:sz w:val="16"/>
              </w:rPr>
              <w:t>Documentation of internal models</w:t>
            </w:r>
          </w:p>
        </w:tc>
      </w:tr>
      <w:tr>
        <w:tc>
          <w:tcPr>
            <w:tcW w:type="dxa" w:w="1928"/>
          </w:tcPr>
          <w:p>
            <w:pPr>
              <w:pStyle w:val="TableText"/>
            </w:pPr>
            <w:r>
              <w:rPr>
                <w:rFonts w:ascii="Arial" w:hAnsi="Arial"/>
                <w:sz w:val="16"/>
              </w:rPr>
              <w:t>Section 3</w:t>
            </w:r>
          </w:p>
        </w:tc>
        <w:tc>
          <w:tcPr>
            <w:tcW w:type="dxa" w:w="7483"/>
          </w:tcPr>
          <w:p>
            <w:pPr>
              <w:pStyle w:val="TableText"/>
            </w:pPr>
            <w:r>
              <w:rPr>
                <w:rFonts w:ascii="Arial" w:hAnsi="Arial"/>
                <w:sz w:val="16"/>
              </w:rPr>
              <w:t>Data governance</w:t>
            </w:r>
          </w:p>
        </w:tc>
      </w:tr>
      <w:tr>
        <w:tc>
          <w:tcPr>
            <w:tcW w:type="dxa" w:w="1928"/>
            <w:shd w:val="clear" w:color="auto" w:fill="F4F6FA"/>
          </w:tcPr>
          <w:p>
            <w:pPr>
              <w:pStyle w:val="TableText"/>
            </w:pPr>
            <w:r>
              <w:rPr>
                <w:rFonts w:ascii="Arial" w:hAnsi="Arial"/>
                <w:sz w:val="16"/>
              </w:rPr>
              <w:t>Section 4</w:t>
            </w:r>
          </w:p>
        </w:tc>
        <w:tc>
          <w:tcPr>
            <w:tcW w:type="dxa" w:w="7483"/>
            <w:shd w:val="clear" w:color="auto" w:fill="F4F6FA"/>
          </w:tcPr>
          <w:p>
            <w:pPr>
              <w:pStyle w:val="TableText"/>
            </w:pPr>
            <w:r>
              <w:rPr>
                <w:rFonts w:ascii="Arial" w:hAnsi="Arial"/>
                <w:sz w:val="16"/>
              </w:rPr>
              <w:t>Implementation of a model risk management framework</w:t>
            </w:r>
          </w:p>
        </w:tc>
      </w:tr>
      <w:tr>
        <w:tc>
          <w:tcPr>
            <w:tcW w:type="dxa" w:w="1928"/>
          </w:tcPr>
          <w:p>
            <w:pPr>
              <w:pStyle w:val="TableText"/>
            </w:pPr>
            <w:r>
              <w:rPr>
                <w:rFonts w:ascii="Arial" w:hAnsi="Arial"/>
                <w:sz w:val="16"/>
              </w:rPr>
              <w:t>Section 5</w:t>
            </w:r>
          </w:p>
        </w:tc>
        <w:tc>
          <w:tcPr>
            <w:tcW w:type="dxa" w:w="7483"/>
          </w:tcPr>
          <w:p>
            <w:pPr>
              <w:pStyle w:val="TableText"/>
            </w:pPr>
            <w:r>
              <w:rPr>
                <w:rFonts w:ascii="Arial" w:hAnsi="Arial"/>
                <w:sz w:val="16"/>
              </w:rPr>
              <w:t>Identification of management body and senior management</w:t>
            </w:r>
          </w:p>
        </w:tc>
      </w:tr>
      <w:tr>
        <w:tc>
          <w:tcPr>
            <w:tcW w:type="dxa" w:w="1928"/>
            <w:shd w:val="clear" w:color="auto" w:fill="F4F6FA"/>
          </w:tcPr>
          <w:p>
            <w:pPr>
              <w:pStyle w:val="TableText"/>
            </w:pPr>
            <w:r>
              <w:rPr>
                <w:rFonts w:ascii="Arial" w:hAnsi="Arial"/>
                <w:sz w:val="16"/>
              </w:rPr>
              <w:t>Section 6</w:t>
            </w:r>
          </w:p>
        </w:tc>
        <w:tc>
          <w:tcPr>
            <w:tcW w:type="dxa" w:w="7483"/>
            <w:shd w:val="clear" w:color="auto" w:fill="F4F6FA"/>
          </w:tcPr>
          <w:p>
            <w:pPr>
              <w:pStyle w:val="TableText"/>
            </w:pPr>
            <w:r>
              <w:rPr>
                <w:rFonts w:ascii="Arial" w:hAnsi="Arial"/>
                <w:sz w:val="16"/>
              </w:rPr>
              <w:t>General principles for internal validation</w:t>
            </w:r>
          </w:p>
        </w:tc>
      </w:tr>
      <w:tr>
        <w:tc>
          <w:tcPr>
            <w:tcW w:type="dxa" w:w="1928"/>
          </w:tcPr>
          <w:p>
            <w:pPr>
              <w:pStyle w:val="TableText"/>
            </w:pPr>
            <w:r>
              <w:rPr>
                <w:rFonts w:ascii="Arial" w:hAnsi="Arial"/>
                <w:sz w:val="16"/>
              </w:rPr>
              <w:t>Section 7</w:t>
            </w:r>
          </w:p>
        </w:tc>
        <w:tc>
          <w:tcPr>
            <w:tcW w:type="dxa" w:w="7483"/>
          </w:tcPr>
          <w:p>
            <w:pPr>
              <w:pStyle w:val="TableText"/>
            </w:pPr>
            <w:r>
              <w:rPr>
                <w:rFonts w:ascii="Arial" w:hAnsi="Arial"/>
                <w:sz w:val="16"/>
              </w:rPr>
              <w:t>General principles for internal audit</w:t>
            </w:r>
          </w:p>
        </w:tc>
      </w:tr>
      <w:tr>
        <w:tc>
          <w:tcPr>
            <w:tcW w:type="dxa" w:w="1928"/>
            <w:shd w:val="clear" w:color="auto" w:fill="F4F6FA"/>
          </w:tcPr>
          <w:p>
            <w:pPr>
              <w:pStyle w:val="TableText"/>
            </w:pPr>
            <w:r>
              <w:rPr>
                <w:rFonts w:ascii="Arial" w:hAnsi="Arial"/>
                <w:sz w:val="16"/>
              </w:rPr>
              <w:t>Section 8</w:t>
            </w:r>
          </w:p>
        </w:tc>
        <w:tc>
          <w:tcPr>
            <w:tcW w:type="dxa" w:w="7483"/>
            <w:shd w:val="clear" w:color="auto" w:fill="F4F6FA"/>
          </w:tcPr>
          <w:p>
            <w:pPr>
              <w:pStyle w:val="TableText"/>
            </w:pPr>
            <w:r>
              <w:rPr>
                <w:rFonts w:ascii="Arial" w:hAnsi="Arial"/>
                <w:sz w:val="16"/>
              </w:rPr>
              <w:t>General principles on climate-related and environmental risks</w:t>
            </w:r>
          </w:p>
        </w:tc>
      </w:tr>
      <w:tr>
        <w:tc>
          <w:tcPr>
            <w:tcW w:type="dxa" w:w="1928"/>
          </w:tcPr>
          <w:p>
            <w:pPr>
              <w:pStyle w:val="TableText"/>
            </w:pPr>
            <w:r>
              <w:rPr>
                <w:rFonts w:ascii="Arial" w:hAnsi="Arial"/>
                <w:sz w:val="16"/>
              </w:rPr>
              <w:t>Section 9</w:t>
            </w:r>
          </w:p>
        </w:tc>
        <w:tc>
          <w:tcPr>
            <w:tcW w:type="dxa" w:w="7483"/>
          </w:tcPr>
          <w:p>
            <w:pPr>
              <w:pStyle w:val="TableText"/>
            </w:pPr>
            <w:r>
              <w:rPr>
                <w:rFonts w:ascii="Arial" w:hAnsi="Arial"/>
                <w:sz w:val="16"/>
              </w:rPr>
              <w:t>The use of machine learning techniques in internal models</w:t>
            </w:r>
          </w:p>
        </w:tc>
      </w:tr>
      <w:tr>
        <w:tc>
          <w:tcPr>
            <w:tcW w:type="dxa" w:w="1928"/>
            <w:shd w:val="clear" w:color="auto" w:fill="F4F6FA"/>
          </w:tcPr>
          <w:p>
            <w:pPr>
              <w:pStyle w:val="TableText"/>
            </w:pPr>
            <w:r>
              <w:rPr>
                <w:rFonts w:ascii="Arial" w:hAnsi="Arial"/>
                <w:sz w:val="16"/>
              </w:rPr>
              <w:t>Section 10</w:t>
            </w:r>
          </w:p>
        </w:tc>
        <w:tc>
          <w:tcPr>
            <w:tcW w:type="dxa" w:w="7483"/>
            <w:shd w:val="clear" w:color="auto" w:fill="F4F6FA"/>
          </w:tcPr>
          <w:p>
            <w:pPr>
              <w:pStyle w:val="TableText"/>
            </w:pPr>
            <w:r>
              <w:rPr>
                <w:rFonts w:ascii="Arial" w:hAnsi="Arial"/>
                <w:sz w:val="16"/>
              </w:rPr>
              <w:t>General principles for the implementation of a changed or extended model</w:t>
            </w:r>
          </w:p>
        </w:tc>
      </w:tr>
      <w:tr>
        <w:tc>
          <w:tcPr>
            <w:tcW w:type="dxa" w:w="1928"/>
          </w:tcPr>
          <w:p>
            <w:pPr>
              <w:pStyle w:val="TableText"/>
            </w:pPr>
            <w:r>
              <w:rPr>
                <w:rFonts w:ascii="Arial" w:hAnsi="Arial"/>
                <w:sz w:val="16"/>
              </w:rPr>
              <w:t>Section 11</w:t>
            </w:r>
          </w:p>
        </w:tc>
        <w:tc>
          <w:tcPr>
            <w:tcW w:type="dxa" w:w="7483"/>
          </w:tcPr>
          <w:p>
            <w:pPr>
              <w:pStyle w:val="TableText"/>
            </w:pPr>
            <w:r>
              <w:rPr>
                <w:rFonts w:ascii="Arial" w:hAnsi="Arial"/>
                <w:sz w:val="16"/>
              </w:rPr>
              <w:t>Third-party involvement</w:t>
            </w:r>
          </w:p>
        </w:tc>
      </w:tr>
      <w:tr>
        <w:tc>
          <w:tcPr>
            <w:tcW w:type="dxa" w:w="1928"/>
            <w:shd w:val="clear" w:color="auto" w:fill="F4F6FA"/>
          </w:tcPr>
          <w:p>
            <w:pPr>
              <w:pStyle w:val="TableText"/>
            </w:pPr>
            <w:r>
              <w:rPr>
                <w:rFonts w:ascii="Arial" w:hAnsi="Arial"/>
                <w:sz w:val="16"/>
              </w:rPr>
              <w:t>Section 12</w:t>
            </w:r>
          </w:p>
        </w:tc>
        <w:tc>
          <w:tcPr>
            <w:tcW w:type="dxa" w:w="7483"/>
            <w:shd w:val="clear" w:color="auto" w:fill="F4F6FA"/>
          </w:tcPr>
          <w:p>
            <w:pPr>
              <w:pStyle w:val="TableText"/>
            </w:pPr>
            <w:r>
              <w:rPr>
                <w:rFonts w:ascii="Arial" w:hAnsi="Arial"/>
                <w:sz w:val="16"/>
              </w:rPr>
              <w:t>Internal models in the context of consolidations</w:t>
            </w:r>
          </w:p>
        </w:tc>
      </w:tr>
    </w:tbl>
    <w:p>
      <w:pPr>
        <w:pStyle w:val="Heading2"/>
      </w:pPr>
      <w:r>
        <w:t>Regulation (EU) No 575/2013 (CRR) — binding internal model articles</w:t>
      </w:r>
    </w:p>
    <w:p>
      <w:pPr>
        <w:pStyle w:val="SourceNote"/>
      </w:pPr>
      <w:r>
        <w:t>Directly applicable EU law. These are the binding obligations that the ECB guide interprets; the guide itself is not a legal act.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Article 174</w:t>
            </w:r>
          </w:p>
        </w:tc>
        <w:tc>
          <w:tcPr>
            <w:tcW w:type="dxa" w:w="7483"/>
          </w:tcPr>
          <w:p>
            <w:pPr>
              <w:pStyle w:val="TableText"/>
            </w:pPr>
            <w:r>
              <w:rPr>
                <w:rFonts w:ascii="Arial" w:hAnsi="Arial"/>
                <w:sz w:val="16"/>
              </w:rPr>
              <w:t>Use of models</w:t>
            </w:r>
          </w:p>
        </w:tc>
      </w:tr>
      <w:tr>
        <w:tc>
          <w:tcPr>
            <w:tcW w:type="dxa" w:w="1928"/>
            <w:shd w:val="clear" w:color="auto" w:fill="F4F6FA"/>
          </w:tcPr>
          <w:p>
            <w:pPr>
              <w:pStyle w:val="TableText"/>
            </w:pPr>
            <w:r>
              <w:rPr>
                <w:rFonts w:ascii="Arial" w:hAnsi="Arial"/>
                <w:sz w:val="16"/>
              </w:rPr>
              <w:t>Article 179</w:t>
            </w:r>
          </w:p>
        </w:tc>
        <w:tc>
          <w:tcPr>
            <w:tcW w:type="dxa" w:w="7483"/>
            <w:shd w:val="clear" w:color="auto" w:fill="F4F6FA"/>
          </w:tcPr>
          <w:p>
            <w:pPr>
              <w:pStyle w:val="TableText"/>
            </w:pPr>
            <w:r>
              <w:rPr>
                <w:rFonts w:ascii="Arial" w:hAnsi="Arial"/>
                <w:sz w:val="16"/>
              </w:rPr>
              <w:t>Overall requirements for estimation</w:t>
            </w:r>
          </w:p>
        </w:tc>
      </w:tr>
      <w:tr>
        <w:tc>
          <w:tcPr>
            <w:tcW w:type="dxa" w:w="1928"/>
          </w:tcPr>
          <w:p>
            <w:pPr>
              <w:pStyle w:val="TableText"/>
            </w:pPr>
            <w:r>
              <w:rPr>
                <w:rFonts w:ascii="Arial" w:hAnsi="Arial"/>
                <w:sz w:val="16"/>
              </w:rPr>
              <w:t>Article 185</w:t>
            </w:r>
          </w:p>
        </w:tc>
        <w:tc>
          <w:tcPr>
            <w:tcW w:type="dxa" w:w="7483"/>
          </w:tcPr>
          <w:p>
            <w:pPr>
              <w:pStyle w:val="TableText"/>
            </w:pPr>
            <w:r>
              <w:rPr>
                <w:rFonts w:ascii="Arial" w:hAnsi="Arial"/>
                <w:sz w:val="16"/>
              </w:rPr>
              <w:t>Validation of internal estimates</w:t>
            </w:r>
          </w:p>
        </w:tc>
      </w:tr>
      <w:tr>
        <w:tc>
          <w:tcPr>
            <w:tcW w:type="dxa" w:w="1928"/>
            <w:shd w:val="clear" w:color="auto" w:fill="F4F6FA"/>
          </w:tcPr>
          <w:p>
            <w:pPr>
              <w:pStyle w:val="TableText"/>
            </w:pPr>
            <w:r>
              <w:rPr>
                <w:rFonts w:ascii="Arial" w:hAnsi="Arial"/>
                <w:sz w:val="16"/>
              </w:rPr>
              <w:t>Article 188</w:t>
            </w:r>
          </w:p>
        </w:tc>
        <w:tc>
          <w:tcPr>
            <w:tcW w:type="dxa" w:w="7483"/>
            <w:shd w:val="clear" w:color="auto" w:fill="F4F6FA"/>
          </w:tcPr>
          <w:p>
            <w:pPr>
              <w:pStyle w:val="TableText"/>
            </w:pPr>
            <w:r>
              <w:rPr>
                <w:rFonts w:ascii="Arial" w:hAnsi="Arial"/>
                <w:sz w:val="16"/>
              </w:rPr>
              <w:t>Validation and documentation</w:t>
            </w:r>
          </w:p>
        </w:tc>
      </w:tr>
      <w:tr>
        <w:tc>
          <w:tcPr>
            <w:tcW w:type="dxa" w:w="1928"/>
          </w:tcPr>
          <w:p>
            <w:pPr>
              <w:pStyle w:val="TableText"/>
            </w:pPr>
            <w:r>
              <w:rPr>
                <w:rFonts w:ascii="Arial" w:hAnsi="Arial"/>
                <w:sz w:val="16"/>
              </w:rPr>
              <w:t>Article 189</w:t>
            </w:r>
          </w:p>
        </w:tc>
        <w:tc>
          <w:tcPr>
            <w:tcW w:type="dxa" w:w="7483"/>
          </w:tcPr>
          <w:p>
            <w:pPr>
              <w:pStyle w:val="TableText"/>
            </w:pPr>
            <w:r>
              <w:rPr>
                <w:rFonts w:ascii="Arial" w:hAnsi="Arial"/>
                <w:sz w:val="16"/>
              </w:rPr>
              <w:t>Corporate Governance</w:t>
            </w:r>
          </w:p>
        </w:tc>
      </w:tr>
      <w:tr>
        <w:tc>
          <w:tcPr>
            <w:tcW w:type="dxa" w:w="1928"/>
            <w:shd w:val="clear" w:color="auto" w:fill="F4F6FA"/>
          </w:tcPr>
          <w:p>
            <w:pPr>
              <w:pStyle w:val="TableText"/>
            </w:pPr>
            <w:r>
              <w:rPr>
                <w:rFonts w:ascii="Arial" w:hAnsi="Arial"/>
                <w:sz w:val="16"/>
              </w:rPr>
              <w:t>Article 191</w:t>
            </w:r>
          </w:p>
        </w:tc>
        <w:tc>
          <w:tcPr>
            <w:tcW w:type="dxa" w:w="7483"/>
            <w:shd w:val="clear" w:color="auto" w:fill="F4F6FA"/>
          </w:tcPr>
          <w:p>
            <w:pPr>
              <w:pStyle w:val="TableText"/>
            </w:pPr>
            <w:r>
              <w:rPr>
                <w:rFonts w:ascii="Arial" w:hAnsi="Arial"/>
                <w:sz w:val="16"/>
              </w:rPr>
              <w:t>Internal Audit</w:t>
            </w:r>
          </w:p>
        </w:tc>
      </w:tr>
    </w:tbl>
    <w:p>
      <w:pPr>
        <w:pStyle w:val="Heading2"/>
      </w:pPr>
      <w:r>
        <w:t>BCBS 239 — Principles for effective risk data aggregation and risk reporting</w:t>
      </w:r>
    </w:p>
    <w:p>
      <w:pPr>
        <w:pStyle w:val="SourceNote"/>
      </w:pPr>
      <w:r>
        <w:t>Fourteen principles. Principles 1–2 cover governance and infrastructure, 3–6 risk data aggregation capabilities, 7–11 risk reporting practices, and 12–14 supervisory review. Not directly binding; effect depends on domestic implementation.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Governance</w:t>
            </w:r>
          </w:p>
        </w:tc>
      </w:tr>
      <w:tr>
        <w:tc>
          <w:tcPr>
            <w:tcW w:type="dxa" w:w="1928"/>
            <w:shd w:val="clear" w:color="auto" w:fill="F4F6FA"/>
          </w:tcPr>
          <w:p>
            <w:pPr>
              <w:pStyle w:val="TableText"/>
            </w:pPr>
            <w:r>
              <w:rPr>
                <w:rFonts w:ascii="Arial" w:hAnsi="Arial"/>
                <w:sz w:val="16"/>
              </w:rPr>
              <w:t>Principle 2</w:t>
            </w:r>
          </w:p>
        </w:tc>
        <w:tc>
          <w:tcPr>
            <w:tcW w:type="dxa" w:w="7483"/>
            <w:shd w:val="clear" w:color="auto" w:fill="F4F6FA"/>
          </w:tcPr>
          <w:p>
            <w:pPr>
              <w:pStyle w:val="TableText"/>
            </w:pPr>
            <w:r>
              <w:rPr>
                <w:rFonts w:ascii="Arial" w:hAnsi="Arial"/>
                <w:sz w:val="16"/>
              </w:rPr>
              <w:t>Data architecture and IT infrastructure</w:t>
            </w:r>
          </w:p>
        </w:tc>
      </w:tr>
      <w:tr>
        <w:tc>
          <w:tcPr>
            <w:tcW w:type="dxa" w:w="1928"/>
          </w:tcPr>
          <w:p>
            <w:pPr>
              <w:pStyle w:val="TableText"/>
            </w:pPr>
            <w:r>
              <w:rPr>
                <w:rFonts w:ascii="Arial" w:hAnsi="Arial"/>
                <w:sz w:val="16"/>
              </w:rPr>
              <w:t>Principle 3</w:t>
            </w:r>
          </w:p>
        </w:tc>
        <w:tc>
          <w:tcPr>
            <w:tcW w:type="dxa" w:w="7483"/>
          </w:tcPr>
          <w:p>
            <w:pPr>
              <w:pStyle w:val="TableText"/>
            </w:pPr>
            <w:r>
              <w:rPr>
                <w:rFonts w:ascii="Arial" w:hAnsi="Arial"/>
                <w:sz w:val="16"/>
              </w:rPr>
              <w:t>Accuracy and Integrity</w:t>
            </w:r>
          </w:p>
        </w:tc>
      </w:tr>
      <w:tr>
        <w:tc>
          <w:tcPr>
            <w:tcW w:type="dxa" w:w="1928"/>
            <w:shd w:val="clear" w:color="auto" w:fill="F4F6FA"/>
          </w:tcPr>
          <w:p>
            <w:pPr>
              <w:pStyle w:val="TableText"/>
            </w:pPr>
            <w:r>
              <w:rPr>
                <w:rFonts w:ascii="Arial" w:hAnsi="Arial"/>
                <w:sz w:val="16"/>
              </w:rPr>
              <w:t>Principle 4</w:t>
            </w:r>
          </w:p>
        </w:tc>
        <w:tc>
          <w:tcPr>
            <w:tcW w:type="dxa" w:w="7483"/>
            <w:shd w:val="clear" w:color="auto" w:fill="F4F6FA"/>
          </w:tcPr>
          <w:p>
            <w:pPr>
              <w:pStyle w:val="TableText"/>
            </w:pPr>
            <w:r>
              <w:rPr>
                <w:rFonts w:ascii="Arial" w:hAnsi="Arial"/>
                <w:sz w:val="16"/>
              </w:rPr>
              <w:t>Completeness</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Timeliness</w:t>
            </w:r>
          </w:p>
        </w:tc>
      </w:tr>
      <w:tr>
        <w:tc>
          <w:tcPr>
            <w:tcW w:type="dxa" w:w="1928"/>
            <w:shd w:val="clear" w:color="auto" w:fill="F4F6FA"/>
          </w:tcPr>
          <w:p>
            <w:pPr>
              <w:pStyle w:val="TableText"/>
            </w:pPr>
            <w:r>
              <w:rPr>
                <w:rFonts w:ascii="Arial" w:hAnsi="Arial"/>
                <w:sz w:val="16"/>
              </w:rPr>
              <w:t>Principle 6</w:t>
            </w:r>
          </w:p>
        </w:tc>
        <w:tc>
          <w:tcPr>
            <w:tcW w:type="dxa" w:w="7483"/>
            <w:shd w:val="clear" w:color="auto" w:fill="F4F6FA"/>
          </w:tcPr>
          <w:p>
            <w:pPr>
              <w:pStyle w:val="TableText"/>
            </w:pPr>
            <w:r>
              <w:rPr>
                <w:rFonts w:ascii="Arial" w:hAnsi="Arial"/>
                <w:sz w:val="16"/>
              </w:rPr>
              <w:t>Adaptability</w:t>
            </w:r>
          </w:p>
        </w:tc>
      </w:tr>
      <w:tr>
        <w:tc>
          <w:tcPr>
            <w:tcW w:type="dxa" w:w="1928"/>
          </w:tcPr>
          <w:p>
            <w:pPr>
              <w:pStyle w:val="TableText"/>
            </w:pPr>
            <w:r>
              <w:rPr>
                <w:rFonts w:ascii="Arial" w:hAnsi="Arial"/>
                <w:sz w:val="16"/>
              </w:rPr>
              <w:t>Principle 7</w:t>
            </w:r>
          </w:p>
        </w:tc>
        <w:tc>
          <w:tcPr>
            <w:tcW w:type="dxa" w:w="7483"/>
          </w:tcPr>
          <w:p>
            <w:pPr>
              <w:pStyle w:val="TableText"/>
            </w:pPr>
            <w:r>
              <w:rPr>
                <w:rFonts w:ascii="Arial" w:hAnsi="Arial"/>
                <w:sz w:val="16"/>
              </w:rPr>
              <w:t>Accuracy</w:t>
            </w:r>
          </w:p>
        </w:tc>
      </w:tr>
      <w:tr>
        <w:tc>
          <w:tcPr>
            <w:tcW w:type="dxa" w:w="1928"/>
            <w:shd w:val="clear" w:color="auto" w:fill="F4F6FA"/>
          </w:tcPr>
          <w:p>
            <w:pPr>
              <w:pStyle w:val="TableText"/>
            </w:pPr>
            <w:r>
              <w:rPr>
                <w:rFonts w:ascii="Arial" w:hAnsi="Arial"/>
                <w:sz w:val="16"/>
              </w:rPr>
              <w:t>Principle 8</w:t>
            </w:r>
          </w:p>
        </w:tc>
        <w:tc>
          <w:tcPr>
            <w:tcW w:type="dxa" w:w="7483"/>
            <w:shd w:val="clear" w:color="auto" w:fill="F4F6FA"/>
          </w:tcPr>
          <w:p>
            <w:pPr>
              <w:pStyle w:val="TableText"/>
            </w:pPr>
            <w:r>
              <w:rPr>
                <w:rFonts w:ascii="Arial" w:hAnsi="Arial"/>
                <w:sz w:val="16"/>
              </w:rPr>
              <w:t>Comprehensiveness</w:t>
            </w:r>
          </w:p>
        </w:tc>
      </w:tr>
      <w:tr>
        <w:tc>
          <w:tcPr>
            <w:tcW w:type="dxa" w:w="1928"/>
          </w:tcPr>
          <w:p>
            <w:pPr>
              <w:pStyle w:val="TableText"/>
            </w:pPr>
            <w:r>
              <w:rPr>
                <w:rFonts w:ascii="Arial" w:hAnsi="Arial"/>
                <w:sz w:val="16"/>
              </w:rPr>
              <w:t>Principle 9</w:t>
            </w:r>
          </w:p>
        </w:tc>
        <w:tc>
          <w:tcPr>
            <w:tcW w:type="dxa" w:w="7483"/>
          </w:tcPr>
          <w:p>
            <w:pPr>
              <w:pStyle w:val="TableText"/>
            </w:pPr>
            <w:r>
              <w:rPr>
                <w:rFonts w:ascii="Arial" w:hAnsi="Arial"/>
                <w:sz w:val="16"/>
              </w:rPr>
              <w:t>Clarity and usefulness</w:t>
            </w:r>
          </w:p>
        </w:tc>
      </w:tr>
      <w:tr>
        <w:tc>
          <w:tcPr>
            <w:tcW w:type="dxa" w:w="1928"/>
            <w:shd w:val="clear" w:color="auto" w:fill="F4F6FA"/>
          </w:tcPr>
          <w:p>
            <w:pPr>
              <w:pStyle w:val="TableText"/>
            </w:pPr>
            <w:r>
              <w:rPr>
                <w:rFonts w:ascii="Arial" w:hAnsi="Arial"/>
                <w:sz w:val="16"/>
              </w:rPr>
              <w:t>Principle 10</w:t>
            </w:r>
          </w:p>
        </w:tc>
        <w:tc>
          <w:tcPr>
            <w:tcW w:type="dxa" w:w="7483"/>
            <w:shd w:val="clear" w:color="auto" w:fill="F4F6FA"/>
          </w:tcPr>
          <w:p>
            <w:pPr>
              <w:pStyle w:val="TableText"/>
            </w:pPr>
            <w:r>
              <w:rPr>
                <w:rFonts w:ascii="Arial" w:hAnsi="Arial"/>
                <w:sz w:val="16"/>
              </w:rPr>
              <w:t>Frequency</w:t>
            </w:r>
          </w:p>
        </w:tc>
      </w:tr>
      <w:tr>
        <w:tc>
          <w:tcPr>
            <w:tcW w:type="dxa" w:w="1928"/>
          </w:tcPr>
          <w:p>
            <w:pPr>
              <w:pStyle w:val="TableText"/>
            </w:pPr>
            <w:r>
              <w:rPr>
                <w:rFonts w:ascii="Arial" w:hAnsi="Arial"/>
                <w:sz w:val="16"/>
              </w:rPr>
              <w:t>Principle 11</w:t>
            </w:r>
          </w:p>
        </w:tc>
        <w:tc>
          <w:tcPr>
            <w:tcW w:type="dxa" w:w="7483"/>
          </w:tcPr>
          <w:p>
            <w:pPr>
              <w:pStyle w:val="TableText"/>
            </w:pPr>
            <w:r>
              <w:rPr>
                <w:rFonts w:ascii="Arial" w:hAnsi="Arial"/>
                <w:sz w:val="16"/>
              </w:rPr>
              <w:t>Distribution</w:t>
            </w:r>
          </w:p>
        </w:tc>
      </w:tr>
      <w:tr>
        <w:tc>
          <w:tcPr>
            <w:tcW w:type="dxa" w:w="1928"/>
            <w:shd w:val="clear" w:color="auto" w:fill="F4F6FA"/>
          </w:tcPr>
          <w:p>
            <w:pPr>
              <w:pStyle w:val="TableText"/>
            </w:pPr>
            <w:r>
              <w:rPr>
                <w:rFonts w:ascii="Arial" w:hAnsi="Arial"/>
                <w:sz w:val="16"/>
              </w:rPr>
              <w:t>Principle 12</w:t>
            </w:r>
          </w:p>
        </w:tc>
        <w:tc>
          <w:tcPr>
            <w:tcW w:type="dxa" w:w="7483"/>
            <w:shd w:val="clear" w:color="auto" w:fill="F4F6FA"/>
          </w:tcPr>
          <w:p>
            <w:pPr>
              <w:pStyle w:val="TableText"/>
            </w:pPr>
            <w:r>
              <w:rPr>
                <w:rFonts w:ascii="Arial" w:hAnsi="Arial"/>
                <w:sz w:val="16"/>
              </w:rPr>
              <w:t>Review</w:t>
            </w:r>
          </w:p>
        </w:tc>
      </w:tr>
      <w:tr>
        <w:tc>
          <w:tcPr>
            <w:tcW w:type="dxa" w:w="1928"/>
          </w:tcPr>
          <w:p>
            <w:pPr>
              <w:pStyle w:val="TableText"/>
            </w:pPr>
            <w:r>
              <w:rPr>
                <w:rFonts w:ascii="Arial" w:hAnsi="Arial"/>
                <w:sz w:val="16"/>
              </w:rPr>
              <w:t>Principle 13</w:t>
            </w:r>
          </w:p>
        </w:tc>
        <w:tc>
          <w:tcPr>
            <w:tcW w:type="dxa" w:w="7483"/>
          </w:tcPr>
          <w:p>
            <w:pPr>
              <w:pStyle w:val="TableText"/>
            </w:pPr>
            <w:r>
              <w:rPr>
                <w:rFonts w:ascii="Arial" w:hAnsi="Arial"/>
                <w:sz w:val="16"/>
              </w:rPr>
              <w:t>Remedial actions and supervisory measures</w:t>
            </w:r>
          </w:p>
        </w:tc>
      </w:tr>
      <w:tr>
        <w:tc>
          <w:tcPr>
            <w:tcW w:type="dxa" w:w="1928"/>
            <w:shd w:val="clear" w:color="auto" w:fill="F4F6FA"/>
          </w:tcPr>
          <w:p>
            <w:pPr>
              <w:pStyle w:val="TableText"/>
            </w:pPr>
            <w:r>
              <w:rPr>
                <w:rFonts w:ascii="Arial" w:hAnsi="Arial"/>
                <w:sz w:val="16"/>
              </w:rPr>
              <w:t>Principle 14</w:t>
            </w:r>
          </w:p>
        </w:tc>
        <w:tc>
          <w:tcPr>
            <w:tcW w:type="dxa" w:w="7483"/>
            <w:shd w:val="clear" w:color="auto" w:fill="F4F6FA"/>
          </w:tcPr>
          <w:p>
            <w:pPr>
              <w:pStyle w:val="TableText"/>
            </w:pPr>
            <w:r>
              <w:rPr>
                <w:rFonts w:ascii="Arial" w:hAnsi="Arial"/>
                <w:sz w:val="16"/>
              </w:rPr>
              <w:t>Home/host cooperation</w:t>
            </w:r>
          </w:p>
        </w:tc>
      </w:tr>
    </w:tbl>
    <w:p>
      <w:pPr>
        <w:pStyle w:val="Heading2"/>
      </w:pPr>
      <w:r>
        <w:t>BCBS Stress testing principles (d450, October 2018)</w:t>
      </w:r>
    </w:p>
    <w:p>
      <w:pPr>
        <w:pStyle w:val="SourceNote"/>
      </w:pPr>
      <w:r>
        <w:t>Nine principles. Principles 7 and 8 bear directly on model risk in stress testing.</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 1</w:t>
            </w:r>
          </w:p>
        </w:tc>
        <w:tc>
          <w:tcPr>
            <w:tcW w:type="dxa" w:w="7483"/>
          </w:tcPr>
          <w:p>
            <w:pPr>
              <w:pStyle w:val="TableText"/>
            </w:pPr>
            <w:r>
              <w:rPr>
                <w:rFonts w:ascii="Arial" w:hAnsi="Arial"/>
                <w:sz w:val="16"/>
              </w:rPr>
              <w:t>Stress testing frameworks should have clearly articulated and formally adopted objectives</w:t>
            </w:r>
          </w:p>
        </w:tc>
      </w:tr>
      <w:tr>
        <w:tc>
          <w:tcPr>
            <w:tcW w:type="dxa" w:w="1928"/>
            <w:shd w:val="clear" w:color="auto" w:fill="F4F6FA"/>
          </w:tcPr>
          <w:p>
            <w:pPr>
              <w:pStyle w:val="TableText"/>
            </w:pPr>
            <w:r>
              <w:rPr>
                <w:rFonts w:ascii="Arial" w:hAnsi="Arial"/>
                <w:sz w:val="16"/>
              </w:rPr>
              <w:t>Principle 2</w:t>
            </w:r>
          </w:p>
        </w:tc>
        <w:tc>
          <w:tcPr>
            <w:tcW w:type="dxa" w:w="7483"/>
            <w:shd w:val="clear" w:color="auto" w:fill="F4F6FA"/>
          </w:tcPr>
          <w:p>
            <w:pPr>
              <w:pStyle w:val="TableText"/>
            </w:pPr>
            <w:r>
              <w:rPr>
                <w:rFonts w:ascii="Arial" w:hAnsi="Arial"/>
                <w:sz w:val="16"/>
              </w:rPr>
              <w:t>Stress testing frameworks should include an effective governance structure</w:t>
            </w:r>
          </w:p>
        </w:tc>
      </w:tr>
      <w:tr>
        <w:tc>
          <w:tcPr>
            <w:tcW w:type="dxa" w:w="1928"/>
          </w:tcPr>
          <w:p>
            <w:pPr>
              <w:pStyle w:val="TableText"/>
            </w:pPr>
            <w:r>
              <w:rPr>
                <w:rFonts w:ascii="Arial" w:hAnsi="Arial"/>
                <w:sz w:val="16"/>
              </w:rPr>
              <w:t>Principle 3</w:t>
            </w:r>
          </w:p>
        </w:tc>
        <w:tc>
          <w:tcPr>
            <w:tcW w:type="dxa" w:w="7483"/>
          </w:tcPr>
          <w:p>
            <w:pPr>
              <w:pStyle w:val="TableText"/>
            </w:pPr>
            <w:r>
              <w:rPr>
                <w:rFonts w:ascii="Arial" w:hAnsi="Arial"/>
                <w:sz w:val="16"/>
              </w:rPr>
              <w:t>Stress testing should be used as a risk management tool and to inform business decisions</w:t>
            </w:r>
          </w:p>
        </w:tc>
      </w:tr>
      <w:tr>
        <w:tc>
          <w:tcPr>
            <w:tcW w:type="dxa" w:w="1928"/>
            <w:shd w:val="clear" w:color="auto" w:fill="F4F6FA"/>
          </w:tcPr>
          <w:p>
            <w:pPr>
              <w:pStyle w:val="TableText"/>
            </w:pPr>
            <w:r>
              <w:rPr>
                <w:rFonts w:ascii="Arial" w:hAnsi="Arial"/>
                <w:sz w:val="16"/>
              </w:rPr>
              <w:t>Principle 4</w:t>
            </w:r>
          </w:p>
        </w:tc>
        <w:tc>
          <w:tcPr>
            <w:tcW w:type="dxa" w:w="7483"/>
            <w:shd w:val="clear" w:color="auto" w:fill="F4F6FA"/>
          </w:tcPr>
          <w:p>
            <w:pPr>
              <w:pStyle w:val="TableText"/>
            </w:pPr>
            <w:r>
              <w:rPr>
                <w:rFonts w:ascii="Arial" w:hAnsi="Arial"/>
                <w:sz w:val="16"/>
              </w:rPr>
              <w:t>Stress testing frameworks should capture material and relevant risks and apply stresses that are sufficiently severe</w:t>
            </w:r>
          </w:p>
        </w:tc>
      </w:tr>
      <w:tr>
        <w:tc>
          <w:tcPr>
            <w:tcW w:type="dxa" w:w="1928"/>
          </w:tcPr>
          <w:p>
            <w:pPr>
              <w:pStyle w:val="TableText"/>
            </w:pPr>
            <w:r>
              <w:rPr>
                <w:rFonts w:ascii="Arial" w:hAnsi="Arial"/>
                <w:sz w:val="16"/>
              </w:rPr>
              <w:t>Principle 5</w:t>
            </w:r>
          </w:p>
        </w:tc>
        <w:tc>
          <w:tcPr>
            <w:tcW w:type="dxa" w:w="7483"/>
          </w:tcPr>
          <w:p>
            <w:pPr>
              <w:pStyle w:val="TableText"/>
            </w:pPr>
            <w:r>
              <w:rPr>
                <w:rFonts w:ascii="Arial" w:hAnsi="Arial"/>
                <w:sz w:val="16"/>
              </w:rPr>
              <w:t>Resources and organisational structures should be adequate to meet the objectives of the stress testing framework</w:t>
            </w:r>
          </w:p>
        </w:tc>
      </w:tr>
      <w:tr>
        <w:tc>
          <w:tcPr>
            <w:tcW w:type="dxa" w:w="1928"/>
            <w:shd w:val="clear" w:color="auto" w:fill="F4F6FA"/>
          </w:tcPr>
          <w:p>
            <w:pPr>
              <w:pStyle w:val="TableText"/>
            </w:pPr>
            <w:r>
              <w:rPr>
                <w:rFonts w:ascii="Arial" w:hAnsi="Arial"/>
                <w:sz w:val="16"/>
              </w:rPr>
              <w:t>Principle 6</w:t>
            </w:r>
          </w:p>
        </w:tc>
        <w:tc>
          <w:tcPr>
            <w:tcW w:type="dxa" w:w="7483"/>
            <w:shd w:val="clear" w:color="auto" w:fill="F4F6FA"/>
          </w:tcPr>
          <w:p>
            <w:pPr>
              <w:pStyle w:val="TableText"/>
            </w:pPr>
            <w:r>
              <w:rPr>
                <w:rFonts w:ascii="Arial" w:hAnsi="Arial"/>
                <w:sz w:val="16"/>
              </w:rPr>
              <w:t>Stress tests should be supported by accurate and sufficiently granular data and by robust IT systems</w:t>
            </w:r>
          </w:p>
        </w:tc>
      </w:tr>
      <w:tr>
        <w:tc>
          <w:tcPr>
            <w:tcW w:type="dxa" w:w="1928"/>
          </w:tcPr>
          <w:p>
            <w:pPr>
              <w:pStyle w:val="TableText"/>
            </w:pPr>
            <w:r>
              <w:rPr>
                <w:rFonts w:ascii="Arial" w:hAnsi="Arial"/>
                <w:sz w:val="16"/>
              </w:rPr>
              <w:t>Principle 7</w:t>
            </w:r>
          </w:p>
        </w:tc>
        <w:tc>
          <w:tcPr>
            <w:tcW w:type="dxa" w:w="7483"/>
          </w:tcPr>
          <w:p>
            <w:pPr>
              <w:pStyle w:val="TableText"/>
            </w:pPr>
            <w:r>
              <w:rPr>
                <w:rFonts w:ascii="Arial" w:hAnsi="Arial"/>
                <w:sz w:val="16"/>
              </w:rPr>
              <w:t>Models and methodologies to assess the impacts of scenarios and sensitivities should be fit for purpose</w:t>
            </w:r>
          </w:p>
        </w:tc>
      </w:tr>
      <w:tr>
        <w:tc>
          <w:tcPr>
            <w:tcW w:type="dxa" w:w="1928"/>
            <w:shd w:val="clear" w:color="auto" w:fill="F4F6FA"/>
          </w:tcPr>
          <w:p>
            <w:pPr>
              <w:pStyle w:val="TableText"/>
            </w:pPr>
            <w:r>
              <w:rPr>
                <w:rFonts w:ascii="Arial" w:hAnsi="Arial"/>
                <w:sz w:val="16"/>
              </w:rPr>
              <w:t>Principle 8</w:t>
            </w:r>
          </w:p>
        </w:tc>
        <w:tc>
          <w:tcPr>
            <w:tcW w:type="dxa" w:w="7483"/>
            <w:shd w:val="clear" w:color="auto" w:fill="F4F6FA"/>
          </w:tcPr>
          <w:p>
            <w:pPr>
              <w:pStyle w:val="TableText"/>
            </w:pPr>
            <w:r>
              <w:rPr>
                <w:rFonts w:ascii="Arial" w:hAnsi="Arial"/>
                <w:sz w:val="16"/>
              </w:rPr>
              <w:t>Stress testing models, results and frameworks should be subject to challenge and regular review</w:t>
            </w:r>
          </w:p>
        </w:tc>
      </w:tr>
      <w:tr>
        <w:tc>
          <w:tcPr>
            <w:tcW w:type="dxa" w:w="1928"/>
          </w:tcPr>
          <w:p>
            <w:pPr>
              <w:pStyle w:val="TableText"/>
            </w:pPr>
            <w:r>
              <w:rPr>
                <w:rFonts w:ascii="Arial" w:hAnsi="Arial"/>
                <w:sz w:val="16"/>
              </w:rPr>
              <w:t>Principle 9</w:t>
            </w:r>
          </w:p>
        </w:tc>
        <w:tc>
          <w:tcPr>
            <w:tcW w:type="dxa" w:w="7483"/>
          </w:tcPr>
          <w:p>
            <w:pPr>
              <w:pStyle w:val="TableText"/>
            </w:pPr>
            <w:r>
              <w:rPr>
                <w:rFonts w:ascii="Arial" w:hAnsi="Arial"/>
                <w:sz w:val="16"/>
              </w:rPr>
              <w:t>Stress testing practices and findings should be communicated within and across jurisdictions</w:t>
            </w:r>
          </w:p>
        </w:tc>
      </w:tr>
    </w:tbl>
    <w:p>
      <w:pPr>
        <w:pStyle w:val="Heading2"/>
      </w:pPr>
      <w:r>
        <w:t>BCBS Principles for the sound management of third-party risk (d605)</w:t>
      </w:r>
    </w:p>
    <w:p>
      <w:pPr>
        <w:pStyle w:val="SourceNote"/>
      </w:pPr>
      <w:r>
        <w:t>Twelve principles grouped under governance and strategy, the third-party lifecycle, and the role of supervisors. Relevant to externally supplied models.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Principles 1–2</w:t>
            </w:r>
          </w:p>
        </w:tc>
        <w:tc>
          <w:tcPr>
            <w:tcW w:type="dxa" w:w="7483"/>
          </w:tcPr>
          <w:p>
            <w:pPr>
              <w:pStyle w:val="TableText"/>
            </w:pPr>
            <w:r>
              <w:rPr>
                <w:rFonts w:ascii="Arial" w:hAnsi="Arial"/>
                <w:sz w:val="16"/>
              </w:rPr>
              <w:t>Governance, risk management and strategy</w:t>
            </w:r>
          </w:p>
        </w:tc>
      </w:tr>
      <w:tr>
        <w:tc>
          <w:tcPr>
            <w:tcW w:type="dxa" w:w="1928"/>
            <w:shd w:val="clear" w:color="auto" w:fill="F4F6FA"/>
          </w:tcPr>
          <w:p>
            <w:pPr>
              <w:pStyle w:val="TableText"/>
            </w:pPr>
            <w:r>
              <w:rPr>
                <w:rFonts w:ascii="Arial" w:hAnsi="Arial"/>
                <w:sz w:val="16"/>
              </w:rPr>
              <w:t>Principle 3</w:t>
            </w:r>
          </w:p>
        </w:tc>
        <w:tc>
          <w:tcPr>
            <w:tcW w:type="dxa" w:w="7483"/>
            <w:shd w:val="clear" w:color="auto" w:fill="F4F6FA"/>
          </w:tcPr>
          <w:p>
            <w:pPr>
              <w:pStyle w:val="TableText"/>
            </w:pPr>
            <w:r>
              <w:rPr>
                <w:rFonts w:ascii="Arial" w:hAnsi="Arial"/>
                <w:sz w:val="16"/>
              </w:rPr>
              <w:t>Risk assessment</w:t>
            </w:r>
          </w:p>
        </w:tc>
      </w:tr>
      <w:tr>
        <w:tc>
          <w:tcPr>
            <w:tcW w:type="dxa" w:w="1928"/>
          </w:tcPr>
          <w:p>
            <w:pPr>
              <w:pStyle w:val="TableText"/>
            </w:pPr>
            <w:r>
              <w:rPr>
                <w:rFonts w:ascii="Arial" w:hAnsi="Arial"/>
                <w:sz w:val="16"/>
              </w:rPr>
              <w:t>Principle 4</w:t>
            </w:r>
          </w:p>
        </w:tc>
        <w:tc>
          <w:tcPr>
            <w:tcW w:type="dxa" w:w="7483"/>
          </w:tcPr>
          <w:p>
            <w:pPr>
              <w:pStyle w:val="TableText"/>
            </w:pPr>
            <w:r>
              <w:rPr>
                <w:rFonts w:ascii="Arial" w:hAnsi="Arial"/>
                <w:sz w:val="16"/>
              </w:rPr>
              <w:t>Due diligence</w:t>
            </w:r>
          </w:p>
        </w:tc>
      </w:tr>
      <w:tr>
        <w:tc>
          <w:tcPr>
            <w:tcW w:type="dxa" w:w="1928"/>
            <w:shd w:val="clear" w:color="auto" w:fill="F4F6FA"/>
          </w:tcPr>
          <w:p>
            <w:pPr>
              <w:pStyle w:val="TableText"/>
            </w:pPr>
            <w:r>
              <w:rPr>
                <w:rFonts w:ascii="Arial" w:hAnsi="Arial"/>
                <w:sz w:val="16"/>
              </w:rPr>
              <w:t>Principle 5</w:t>
            </w:r>
          </w:p>
        </w:tc>
        <w:tc>
          <w:tcPr>
            <w:tcW w:type="dxa" w:w="7483"/>
            <w:shd w:val="clear" w:color="auto" w:fill="F4F6FA"/>
          </w:tcPr>
          <w:p>
            <w:pPr>
              <w:pStyle w:val="TableText"/>
            </w:pPr>
            <w:r>
              <w:rPr>
                <w:rFonts w:ascii="Arial" w:hAnsi="Arial"/>
                <w:sz w:val="16"/>
              </w:rPr>
              <w:t>Contracting</w:t>
            </w:r>
          </w:p>
        </w:tc>
      </w:tr>
      <w:tr>
        <w:tc>
          <w:tcPr>
            <w:tcW w:type="dxa" w:w="1928"/>
          </w:tcPr>
          <w:p>
            <w:pPr>
              <w:pStyle w:val="TableText"/>
            </w:pPr>
            <w:r>
              <w:rPr>
                <w:rFonts w:ascii="Arial" w:hAnsi="Arial"/>
                <w:sz w:val="16"/>
              </w:rPr>
              <w:t>Principle 6</w:t>
            </w:r>
          </w:p>
        </w:tc>
        <w:tc>
          <w:tcPr>
            <w:tcW w:type="dxa" w:w="7483"/>
          </w:tcPr>
          <w:p>
            <w:pPr>
              <w:pStyle w:val="TableText"/>
            </w:pPr>
            <w:r>
              <w:rPr>
                <w:rFonts w:ascii="Arial" w:hAnsi="Arial"/>
                <w:sz w:val="16"/>
              </w:rPr>
              <w:t>Onboarding</w:t>
            </w:r>
          </w:p>
        </w:tc>
      </w:tr>
      <w:tr>
        <w:tc>
          <w:tcPr>
            <w:tcW w:type="dxa" w:w="1928"/>
            <w:shd w:val="clear" w:color="auto" w:fill="F4F6FA"/>
          </w:tcPr>
          <w:p>
            <w:pPr>
              <w:pStyle w:val="TableText"/>
            </w:pPr>
            <w:r>
              <w:rPr>
                <w:rFonts w:ascii="Arial" w:hAnsi="Arial"/>
                <w:sz w:val="16"/>
              </w:rPr>
              <w:t>Principle 7</w:t>
            </w:r>
          </w:p>
        </w:tc>
        <w:tc>
          <w:tcPr>
            <w:tcW w:type="dxa" w:w="7483"/>
            <w:shd w:val="clear" w:color="auto" w:fill="F4F6FA"/>
          </w:tcPr>
          <w:p>
            <w:pPr>
              <w:pStyle w:val="TableText"/>
            </w:pPr>
            <w:r>
              <w:rPr>
                <w:rFonts w:ascii="Arial" w:hAnsi="Arial"/>
                <w:sz w:val="16"/>
              </w:rPr>
              <w:t>Ongoing monitoring</w:t>
            </w:r>
          </w:p>
        </w:tc>
      </w:tr>
      <w:tr>
        <w:tc>
          <w:tcPr>
            <w:tcW w:type="dxa" w:w="1928"/>
          </w:tcPr>
          <w:p>
            <w:pPr>
              <w:pStyle w:val="TableText"/>
            </w:pPr>
            <w:r>
              <w:rPr>
                <w:rFonts w:ascii="Arial" w:hAnsi="Arial"/>
                <w:sz w:val="16"/>
              </w:rPr>
              <w:t>Principle 8</w:t>
            </w:r>
          </w:p>
        </w:tc>
        <w:tc>
          <w:tcPr>
            <w:tcW w:type="dxa" w:w="7483"/>
          </w:tcPr>
          <w:p>
            <w:pPr>
              <w:pStyle w:val="TableText"/>
            </w:pPr>
            <w:r>
              <w:rPr>
                <w:rFonts w:ascii="Arial" w:hAnsi="Arial"/>
                <w:sz w:val="16"/>
              </w:rPr>
              <w:t>Business continuity management</w:t>
            </w:r>
          </w:p>
        </w:tc>
      </w:tr>
      <w:tr>
        <w:tc>
          <w:tcPr>
            <w:tcW w:type="dxa" w:w="1928"/>
            <w:shd w:val="clear" w:color="auto" w:fill="F4F6FA"/>
          </w:tcPr>
          <w:p>
            <w:pPr>
              <w:pStyle w:val="TableText"/>
            </w:pPr>
            <w:r>
              <w:rPr>
                <w:rFonts w:ascii="Arial" w:hAnsi="Arial"/>
                <w:sz w:val="16"/>
              </w:rPr>
              <w:t>Principle 9</w:t>
            </w:r>
          </w:p>
        </w:tc>
        <w:tc>
          <w:tcPr>
            <w:tcW w:type="dxa" w:w="7483"/>
            <w:shd w:val="clear" w:color="auto" w:fill="F4F6FA"/>
          </w:tcPr>
          <w:p>
            <w:pPr>
              <w:pStyle w:val="TableText"/>
            </w:pPr>
            <w:r>
              <w:rPr>
                <w:rFonts w:ascii="Arial" w:hAnsi="Arial"/>
                <w:sz w:val="16"/>
              </w:rPr>
              <w:t>Termination</w:t>
            </w:r>
          </w:p>
        </w:tc>
      </w:tr>
      <w:tr>
        <w:tc>
          <w:tcPr>
            <w:tcW w:type="dxa" w:w="1928"/>
          </w:tcPr>
          <w:p>
            <w:pPr>
              <w:pStyle w:val="TableText"/>
            </w:pPr>
            <w:r>
              <w:rPr>
                <w:rFonts w:ascii="Arial" w:hAnsi="Arial"/>
                <w:sz w:val="16"/>
              </w:rPr>
              <w:t>Principles 10–12</w:t>
            </w:r>
          </w:p>
        </w:tc>
        <w:tc>
          <w:tcPr>
            <w:tcW w:type="dxa" w:w="7483"/>
          </w:tcPr>
          <w:p>
            <w:pPr>
              <w:pStyle w:val="TableText"/>
            </w:pPr>
            <w:r>
              <w:rPr>
                <w:rFonts w:ascii="Arial" w:hAnsi="Arial"/>
                <w:sz w:val="16"/>
              </w:rPr>
              <w:t>Role of supervisors</w:t>
            </w:r>
          </w:p>
        </w:tc>
      </w:tr>
    </w:tbl>
    <w:p>
      <w:pPr>
        <w:pStyle w:val="Heading2"/>
      </w:pPr>
      <w:r>
        <w:t>MAS Notice 637 — internal model validation provisions</w:t>
      </w:r>
    </w:p>
    <w:p>
      <w:pPr>
        <w:pStyle w:val="SourceNote"/>
      </w:pPr>
      <w:r>
        <w:t>Binding Notice. Section 7 sets model validation requirements; paragraphs 2.5 and 2.6 of Section 2 cover internal validation and its independent review. The numbered paragraphs carry no printed titles.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Section 7, paras 7.1–7.6</w:t>
            </w:r>
          </w:p>
        </w:tc>
        <w:tc>
          <w:tcPr>
            <w:tcW w:type="dxa" w:w="7483"/>
          </w:tcPr>
          <w:p>
            <w:pPr>
              <w:pStyle w:val="TableText"/>
            </w:pPr>
            <w:r>
              <w:rPr>
                <w:rFonts w:ascii="Arial" w:hAnsi="Arial"/>
                <w:sz w:val="16"/>
              </w:rPr>
              <w:t>Model Validation Requirements</w:t>
            </w:r>
          </w:p>
        </w:tc>
      </w:tr>
      <w:tr>
        <w:tc>
          <w:tcPr>
            <w:tcW w:type="dxa" w:w="1928"/>
            <w:shd w:val="clear" w:color="auto" w:fill="F4F6FA"/>
          </w:tcPr>
          <w:p>
            <w:pPr>
              <w:pStyle w:val="TableText"/>
            </w:pPr>
            <w:r>
              <w:rPr>
                <w:rFonts w:ascii="Arial" w:hAnsi="Arial"/>
                <w:sz w:val="16"/>
              </w:rPr>
              <w:t>Section 2, para 2.5(a)–(c)</w:t>
            </w:r>
          </w:p>
        </w:tc>
        <w:tc>
          <w:tcPr>
            <w:tcW w:type="dxa" w:w="7483"/>
            <w:shd w:val="clear" w:color="auto" w:fill="F4F6FA"/>
          </w:tcPr>
          <w:p>
            <w:pPr>
              <w:pStyle w:val="TableText"/>
            </w:pPr>
            <w:r>
              <w:rPr>
                <w:rFonts w:ascii="Arial" w:hAnsi="Arial"/>
                <w:sz w:val="16"/>
              </w:rPr>
              <w:t>Internal Validation</w:t>
            </w:r>
          </w:p>
        </w:tc>
      </w:tr>
      <w:tr>
        <w:tc>
          <w:tcPr>
            <w:tcW w:type="dxa" w:w="1928"/>
          </w:tcPr>
          <w:p>
            <w:pPr>
              <w:pStyle w:val="TableText"/>
            </w:pPr>
            <w:r>
              <w:rPr>
                <w:rFonts w:ascii="Arial" w:hAnsi="Arial"/>
                <w:sz w:val="16"/>
              </w:rPr>
              <w:t>Section 2, para 2.6(a)–(e)</w:t>
            </w:r>
          </w:p>
        </w:tc>
        <w:tc>
          <w:tcPr>
            <w:tcW w:type="dxa" w:w="7483"/>
          </w:tcPr>
          <w:p>
            <w:pPr>
              <w:pStyle w:val="TableText"/>
            </w:pPr>
            <w:r>
              <w:rPr>
                <w:rFonts w:ascii="Arial" w:hAnsi="Arial"/>
                <w:sz w:val="16"/>
              </w:rPr>
              <w:t>Independent Review of Internal Validation</w:t>
            </w:r>
          </w:p>
        </w:tc>
      </w:tr>
    </w:tbl>
    <w:p>
      <w:pPr>
        <w:pStyle w:val="Heading2"/>
      </w:pPr>
      <w:r>
        <w:t>MAS FEAT Principles (November 2018) and the Artificial Intelligence Model Risk Management information paper (December 2024)</w:t>
      </w:r>
    </w:p>
    <w:p>
      <w:pPr>
        <w:pStyle w:val="SourceNote"/>
      </w:pPr>
      <w:r>
        <w:t>FEAT comprises fourteen voluntary principles across fairness, ethics, accountability and transparency; several carry no printed sub-heading. The 2024 information paper describes observed good practice and is not mandatory.</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FEAT 1–2</w:t>
            </w:r>
          </w:p>
        </w:tc>
        <w:tc>
          <w:tcPr>
            <w:tcW w:type="dxa" w:w="7483"/>
          </w:tcPr>
          <w:p>
            <w:pPr>
              <w:pStyle w:val="TableText"/>
            </w:pPr>
            <w:r>
              <w:rPr>
                <w:rFonts w:ascii="Arial" w:hAnsi="Arial"/>
                <w:sz w:val="16"/>
              </w:rPr>
              <w:t>Justifiability</w:t>
            </w:r>
          </w:p>
        </w:tc>
      </w:tr>
      <w:tr>
        <w:tc>
          <w:tcPr>
            <w:tcW w:type="dxa" w:w="1928"/>
            <w:shd w:val="clear" w:color="auto" w:fill="F4F6FA"/>
          </w:tcPr>
          <w:p>
            <w:pPr>
              <w:pStyle w:val="TableText"/>
            </w:pPr>
            <w:r>
              <w:rPr>
                <w:rFonts w:ascii="Arial" w:hAnsi="Arial"/>
                <w:sz w:val="16"/>
              </w:rPr>
              <w:t>FEAT 3–4</w:t>
            </w:r>
          </w:p>
        </w:tc>
        <w:tc>
          <w:tcPr>
            <w:tcW w:type="dxa" w:w="7483"/>
            <w:shd w:val="clear" w:color="auto" w:fill="F4F6FA"/>
          </w:tcPr>
          <w:p>
            <w:pPr>
              <w:pStyle w:val="TableText"/>
            </w:pPr>
            <w:r>
              <w:rPr>
                <w:rFonts w:ascii="Arial" w:hAnsi="Arial"/>
                <w:sz w:val="16"/>
              </w:rPr>
              <w:t>Accuracy and Bias</w:t>
            </w:r>
          </w:p>
        </w:tc>
      </w:tr>
      <w:tr>
        <w:tc>
          <w:tcPr>
            <w:tcW w:type="dxa" w:w="1928"/>
          </w:tcPr>
          <w:p>
            <w:pPr>
              <w:pStyle w:val="TableText"/>
            </w:pPr>
            <w:r>
              <w:rPr>
                <w:rFonts w:ascii="Arial" w:hAnsi="Arial"/>
                <w:sz w:val="16"/>
              </w:rPr>
              <w:t>FEAT 5–6</w:t>
            </w:r>
          </w:p>
        </w:tc>
        <w:tc>
          <w:tcPr>
            <w:tcW w:type="dxa" w:w="7483"/>
          </w:tcPr>
          <w:p>
            <w:pPr>
              <w:pStyle w:val="TableText"/>
            </w:pPr>
            <w:r>
              <w:rPr>
                <w:rFonts w:ascii="Arial" w:hAnsi="Arial"/>
                <w:sz w:val="16"/>
              </w:rPr>
              <w:t>Ethics (no printed sub-heading)</w:t>
            </w:r>
          </w:p>
        </w:tc>
      </w:tr>
      <w:tr>
        <w:tc>
          <w:tcPr>
            <w:tcW w:type="dxa" w:w="1928"/>
            <w:shd w:val="clear" w:color="auto" w:fill="F4F6FA"/>
          </w:tcPr>
          <w:p>
            <w:pPr>
              <w:pStyle w:val="TableText"/>
            </w:pPr>
            <w:r>
              <w:rPr>
                <w:rFonts w:ascii="Arial" w:hAnsi="Arial"/>
                <w:sz w:val="16"/>
              </w:rPr>
              <w:t>FEAT 7–9</w:t>
            </w:r>
          </w:p>
        </w:tc>
        <w:tc>
          <w:tcPr>
            <w:tcW w:type="dxa" w:w="7483"/>
            <w:shd w:val="clear" w:color="auto" w:fill="F4F6FA"/>
          </w:tcPr>
          <w:p>
            <w:pPr>
              <w:pStyle w:val="TableText"/>
            </w:pPr>
            <w:r>
              <w:rPr>
                <w:rFonts w:ascii="Arial" w:hAnsi="Arial"/>
                <w:sz w:val="16"/>
              </w:rPr>
              <w:t>Internal Accountability</w:t>
            </w:r>
          </w:p>
        </w:tc>
      </w:tr>
      <w:tr>
        <w:tc>
          <w:tcPr>
            <w:tcW w:type="dxa" w:w="1928"/>
          </w:tcPr>
          <w:p>
            <w:pPr>
              <w:pStyle w:val="TableText"/>
            </w:pPr>
            <w:r>
              <w:rPr>
                <w:rFonts w:ascii="Arial" w:hAnsi="Arial"/>
                <w:sz w:val="16"/>
              </w:rPr>
              <w:t>FEAT 10–11</w:t>
            </w:r>
          </w:p>
        </w:tc>
        <w:tc>
          <w:tcPr>
            <w:tcW w:type="dxa" w:w="7483"/>
          </w:tcPr>
          <w:p>
            <w:pPr>
              <w:pStyle w:val="TableText"/>
            </w:pPr>
            <w:r>
              <w:rPr>
                <w:rFonts w:ascii="Arial" w:hAnsi="Arial"/>
                <w:sz w:val="16"/>
              </w:rPr>
              <w:t>External Accountability</w:t>
            </w:r>
          </w:p>
        </w:tc>
      </w:tr>
      <w:tr>
        <w:tc>
          <w:tcPr>
            <w:tcW w:type="dxa" w:w="1928"/>
            <w:shd w:val="clear" w:color="auto" w:fill="F4F6FA"/>
          </w:tcPr>
          <w:p>
            <w:pPr>
              <w:pStyle w:val="TableText"/>
            </w:pPr>
            <w:r>
              <w:rPr>
                <w:rFonts w:ascii="Arial" w:hAnsi="Arial"/>
                <w:sz w:val="16"/>
              </w:rPr>
              <w:t>FEAT 12–14</w:t>
            </w:r>
          </w:p>
        </w:tc>
        <w:tc>
          <w:tcPr>
            <w:tcW w:type="dxa" w:w="7483"/>
            <w:shd w:val="clear" w:color="auto" w:fill="F4F6FA"/>
          </w:tcPr>
          <w:p>
            <w:pPr>
              <w:pStyle w:val="TableText"/>
            </w:pPr>
            <w:r>
              <w:rPr>
                <w:rFonts w:ascii="Arial" w:hAnsi="Arial"/>
                <w:sz w:val="16"/>
              </w:rPr>
              <w:t>Transparency (no printed sub-heading)</w:t>
            </w:r>
          </w:p>
        </w:tc>
      </w:tr>
      <w:tr>
        <w:tc>
          <w:tcPr>
            <w:tcW w:type="dxa" w:w="1928"/>
          </w:tcPr>
          <w:p>
            <w:pPr>
              <w:pStyle w:val="TableText"/>
            </w:pPr>
            <w:r>
              <w:rPr>
                <w:rFonts w:ascii="Arial" w:hAnsi="Arial"/>
                <w:sz w:val="16"/>
              </w:rPr>
              <w:t>Info paper §4</w:t>
            </w:r>
          </w:p>
        </w:tc>
        <w:tc>
          <w:tcPr>
            <w:tcW w:type="dxa" w:w="7483"/>
          </w:tcPr>
          <w:p>
            <w:pPr>
              <w:pStyle w:val="TableText"/>
            </w:pPr>
            <w:r>
              <w:rPr>
                <w:rFonts w:ascii="Arial" w:hAnsi="Arial"/>
                <w:sz w:val="16"/>
              </w:rPr>
              <w:t>Governance and Oversight</w:t>
            </w:r>
          </w:p>
        </w:tc>
      </w:tr>
      <w:tr>
        <w:tc>
          <w:tcPr>
            <w:tcW w:type="dxa" w:w="1928"/>
            <w:shd w:val="clear" w:color="auto" w:fill="F4F6FA"/>
          </w:tcPr>
          <w:p>
            <w:pPr>
              <w:pStyle w:val="TableText"/>
            </w:pPr>
            <w:r>
              <w:rPr>
                <w:rFonts w:ascii="Arial" w:hAnsi="Arial"/>
                <w:sz w:val="16"/>
              </w:rPr>
              <w:t>Info paper §5</w:t>
            </w:r>
          </w:p>
        </w:tc>
        <w:tc>
          <w:tcPr>
            <w:tcW w:type="dxa" w:w="7483"/>
            <w:shd w:val="clear" w:color="auto" w:fill="F4F6FA"/>
          </w:tcPr>
          <w:p>
            <w:pPr>
              <w:pStyle w:val="TableText"/>
            </w:pPr>
            <w:r>
              <w:rPr>
                <w:rFonts w:ascii="Arial" w:hAnsi="Arial"/>
                <w:sz w:val="16"/>
              </w:rPr>
              <w:t>Key Risk Management Systems and Processes</w:t>
            </w:r>
          </w:p>
        </w:tc>
      </w:tr>
      <w:tr>
        <w:tc>
          <w:tcPr>
            <w:tcW w:type="dxa" w:w="1928"/>
          </w:tcPr>
          <w:p>
            <w:pPr>
              <w:pStyle w:val="TableText"/>
            </w:pPr>
            <w:r>
              <w:rPr>
                <w:rFonts w:ascii="Arial" w:hAnsi="Arial"/>
                <w:sz w:val="16"/>
              </w:rPr>
              <w:t>Info paper §6</w:t>
            </w:r>
          </w:p>
        </w:tc>
        <w:tc>
          <w:tcPr>
            <w:tcW w:type="dxa" w:w="7483"/>
          </w:tcPr>
          <w:p>
            <w:pPr>
              <w:pStyle w:val="TableText"/>
            </w:pPr>
            <w:r>
              <w:rPr>
                <w:rFonts w:ascii="Arial" w:hAnsi="Arial"/>
                <w:sz w:val="16"/>
              </w:rPr>
              <w:t>Development and Deployment</w:t>
            </w:r>
          </w:p>
        </w:tc>
      </w:tr>
    </w:tbl>
    <w:p>
      <w:pPr>
        <w:pStyle w:val="Heading2"/>
      </w:pPr>
      <w:r>
        <w:t>FSB Sound Practices for Responsible Adoption of Artificial Intelligence — consultation report</w:t>
      </w:r>
    </w:p>
    <w:p>
      <w:pPr>
        <w:pStyle w:val="SourceNote"/>
      </w:pPr>
      <w:r>
        <w:t>Twelve sound practices. A consultation report, expressly not intended to establish an international standard. Addresses AI rather than model risk generally, and is used here only as comparative input.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Sound Practice 1</w:t>
            </w:r>
          </w:p>
        </w:tc>
        <w:tc>
          <w:tcPr>
            <w:tcW w:type="dxa" w:w="7483"/>
          </w:tcPr>
          <w:p>
            <w:pPr>
              <w:pStyle w:val="TableText"/>
            </w:pPr>
            <w:r>
              <w:rPr>
                <w:rFonts w:ascii="Arial" w:hAnsi="Arial"/>
                <w:sz w:val="16"/>
              </w:rPr>
              <w:t>Strategic direction and oversight</w:t>
            </w:r>
          </w:p>
        </w:tc>
      </w:tr>
      <w:tr>
        <w:tc>
          <w:tcPr>
            <w:tcW w:type="dxa" w:w="1928"/>
            <w:shd w:val="clear" w:color="auto" w:fill="F4F6FA"/>
          </w:tcPr>
          <w:p>
            <w:pPr>
              <w:pStyle w:val="TableText"/>
            </w:pPr>
            <w:r>
              <w:rPr>
                <w:rFonts w:ascii="Arial" w:hAnsi="Arial"/>
                <w:sz w:val="16"/>
              </w:rPr>
              <w:t>Sound Practice 2</w:t>
            </w:r>
          </w:p>
        </w:tc>
        <w:tc>
          <w:tcPr>
            <w:tcW w:type="dxa" w:w="7483"/>
            <w:shd w:val="clear" w:color="auto" w:fill="F4F6FA"/>
          </w:tcPr>
          <w:p>
            <w:pPr>
              <w:pStyle w:val="TableText"/>
            </w:pPr>
            <w:r>
              <w:rPr>
                <w:rFonts w:ascii="Arial" w:hAnsi="Arial"/>
                <w:sz w:val="16"/>
              </w:rPr>
              <w:t>Governance and accountability</w:t>
            </w:r>
          </w:p>
        </w:tc>
      </w:tr>
      <w:tr>
        <w:tc>
          <w:tcPr>
            <w:tcW w:type="dxa" w:w="1928"/>
          </w:tcPr>
          <w:p>
            <w:pPr>
              <w:pStyle w:val="TableText"/>
            </w:pPr>
            <w:r>
              <w:rPr>
                <w:rFonts w:ascii="Arial" w:hAnsi="Arial"/>
                <w:sz w:val="16"/>
              </w:rPr>
              <w:t>Sound Practice 3</w:t>
            </w:r>
          </w:p>
        </w:tc>
        <w:tc>
          <w:tcPr>
            <w:tcW w:type="dxa" w:w="7483"/>
          </w:tcPr>
          <w:p>
            <w:pPr>
              <w:pStyle w:val="TableText"/>
            </w:pPr>
            <w:r>
              <w:rPr>
                <w:rFonts w:ascii="Arial" w:hAnsi="Arial"/>
                <w:sz w:val="16"/>
              </w:rPr>
              <w:t>Incorporation of AI risks into risk management framework</w:t>
            </w:r>
          </w:p>
        </w:tc>
      </w:tr>
      <w:tr>
        <w:tc>
          <w:tcPr>
            <w:tcW w:type="dxa" w:w="1928"/>
            <w:shd w:val="clear" w:color="auto" w:fill="F4F6FA"/>
          </w:tcPr>
          <w:p>
            <w:pPr>
              <w:pStyle w:val="TableText"/>
            </w:pPr>
            <w:r>
              <w:rPr>
                <w:rFonts w:ascii="Arial" w:hAnsi="Arial"/>
                <w:sz w:val="16"/>
              </w:rPr>
              <w:t>Sound Practice 4</w:t>
            </w:r>
          </w:p>
        </w:tc>
        <w:tc>
          <w:tcPr>
            <w:tcW w:type="dxa" w:w="7483"/>
            <w:shd w:val="clear" w:color="auto" w:fill="F4F6FA"/>
          </w:tcPr>
          <w:p>
            <w:pPr>
              <w:pStyle w:val="TableText"/>
            </w:pPr>
            <w:r>
              <w:rPr>
                <w:rFonts w:ascii="Arial" w:hAnsi="Arial"/>
                <w:sz w:val="16"/>
              </w:rPr>
              <w:t>Organisational adaptability</w:t>
            </w:r>
          </w:p>
        </w:tc>
      </w:tr>
      <w:tr>
        <w:tc>
          <w:tcPr>
            <w:tcW w:type="dxa" w:w="1928"/>
          </w:tcPr>
          <w:p>
            <w:pPr>
              <w:pStyle w:val="TableText"/>
            </w:pPr>
            <w:r>
              <w:rPr>
                <w:rFonts w:ascii="Arial" w:hAnsi="Arial"/>
                <w:sz w:val="16"/>
              </w:rPr>
              <w:t>Sound Practice 5</w:t>
            </w:r>
          </w:p>
        </w:tc>
        <w:tc>
          <w:tcPr>
            <w:tcW w:type="dxa" w:w="7483"/>
          </w:tcPr>
          <w:p>
            <w:pPr>
              <w:pStyle w:val="TableText"/>
            </w:pPr>
            <w:r>
              <w:rPr>
                <w:rFonts w:ascii="Arial" w:hAnsi="Arial"/>
                <w:sz w:val="16"/>
              </w:rPr>
              <w:t>Materiality and risk assessment</w:t>
            </w:r>
          </w:p>
        </w:tc>
      </w:tr>
      <w:tr>
        <w:tc>
          <w:tcPr>
            <w:tcW w:type="dxa" w:w="1928"/>
            <w:shd w:val="clear" w:color="auto" w:fill="F4F6FA"/>
          </w:tcPr>
          <w:p>
            <w:pPr>
              <w:pStyle w:val="TableText"/>
            </w:pPr>
            <w:r>
              <w:rPr>
                <w:rFonts w:ascii="Arial" w:hAnsi="Arial"/>
                <w:sz w:val="16"/>
              </w:rPr>
              <w:t>Sound Practice 6</w:t>
            </w:r>
          </w:p>
        </w:tc>
        <w:tc>
          <w:tcPr>
            <w:tcW w:type="dxa" w:w="7483"/>
            <w:shd w:val="clear" w:color="auto" w:fill="F4F6FA"/>
          </w:tcPr>
          <w:p>
            <w:pPr>
              <w:pStyle w:val="TableText"/>
            </w:pPr>
            <w:r>
              <w:rPr>
                <w:rFonts w:ascii="Arial" w:hAnsi="Arial"/>
                <w:sz w:val="16"/>
              </w:rPr>
              <w:t>Selection</w:t>
            </w:r>
          </w:p>
        </w:tc>
      </w:tr>
      <w:tr>
        <w:tc>
          <w:tcPr>
            <w:tcW w:type="dxa" w:w="1928"/>
          </w:tcPr>
          <w:p>
            <w:pPr>
              <w:pStyle w:val="TableText"/>
            </w:pPr>
            <w:r>
              <w:rPr>
                <w:rFonts w:ascii="Arial" w:hAnsi="Arial"/>
                <w:sz w:val="16"/>
              </w:rPr>
              <w:t>Sound Practice 7</w:t>
            </w:r>
          </w:p>
        </w:tc>
        <w:tc>
          <w:tcPr>
            <w:tcW w:type="dxa" w:w="7483"/>
          </w:tcPr>
          <w:p>
            <w:pPr>
              <w:pStyle w:val="TableText"/>
            </w:pPr>
            <w:r>
              <w:rPr>
                <w:rFonts w:ascii="Arial" w:hAnsi="Arial"/>
                <w:sz w:val="16"/>
              </w:rPr>
              <w:t>Data governance</w:t>
            </w:r>
          </w:p>
        </w:tc>
      </w:tr>
      <w:tr>
        <w:tc>
          <w:tcPr>
            <w:tcW w:type="dxa" w:w="1928"/>
            <w:shd w:val="clear" w:color="auto" w:fill="F4F6FA"/>
          </w:tcPr>
          <w:p>
            <w:pPr>
              <w:pStyle w:val="TableText"/>
            </w:pPr>
            <w:r>
              <w:rPr>
                <w:rFonts w:ascii="Arial" w:hAnsi="Arial"/>
                <w:sz w:val="16"/>
              </w:rPr>
              <w:t>Sound Practice 8</w:t>
            </w:r>
          </w:p>
        </w:tc>
        <w:tc>
          <w:tcPr>
            <w:tcW w:type="dxa" w:w="7483"/>
            <w:shd w:val="clear" w:color="auto" w:fill="F4F6FA"/>
          </w:tcPr>
          <w:p>
            <w:pPr>
              <w:pStyle w:val="TableText"/>
            </w:pPr>
            <w:r>
              <w:rPr>
                <w:rFonts w:ascii="Arial" w:hAnsi="Arial"/>
                <w:sz w:val="16"/>
              </w:rPr>
              <w:t>Explainability and transparency</w:t>
            </w:r>
          </w:p>
        </w:tc>
      </w:tr>
      <w:tr>
        <w:tc>
          <w:tcPr>
            <w:tcW w:type="dxa" w:w="1928"/>
          </w:tcPr>
          <w:p>
            <w:pPr>
              <w:pStyle w:val="TableText"/>
            </w:pPr>
            <w:r>
              <w:rPr>
                <w:rFonts w:ascii="Arial" w:hAnsi="Arial"/>
                <w:sz w:val="16"/>
              </w:rPr>
              <w:t>Sound Practice 9</w:t>
            </w:r>
          </w:p>
        </w:tc>
        <w:tc>
          <w:tcPr>
            <w:tcW w:type="dxa" w:w="7483"/>
          </w:tcPr>
          <w:p>
            <w:pPr>
              <w:pStyle w:val="TableText"/>
            </w:pPr>
            <w:r>
              <w:rPr>
                <w:rFonts w:ascii="Arial" w:hAnsi="Arial"/>
                <w:sz w:val="16"/>
              </w:rPr>
              <w:t>Performance management</w:t>
            </w:r>
          </w:p>
        </w:tc>
      </w:tr>
      <w:tr>
        <w:tc>
          <w:tcPr>
            <w:tcW w:type="dxa" w:w="1928"/>
            <w:shd w:val="clear" w:color="auto" w:fill="F4F6FA"/>
          </w:tcPr>
          <w:p>
            <w:pPr>
              <w:pStyle w:val="TableText"/>
            </w:pPr>
            <w:r>
              <w:rPr>
                <w:rFonts w:ascii="Arial" w:hAnsi="Arial"/>
                <w:sz w:val="16"/>
              </w:rPr>
              <w:t>Sound Practice 10</w:t>
            </w:r>
          </w:p>
        </w:tc>
        <w:tc>
          <w:tcPr>
            <w:tcW w:type="dxa" w:w="7483"/>
            <w:shd w:val="clear" w:color="auto" w:fill="F4F6FA"/>
          </w:tcPr>
          <w:p>
            <w:pPr>
              <w:pStyle w:val="TableText"/>
            </w:pPr>
            <w:r>
              <w:rPr>
                <w:rFonts w:ascii="Arial" w:hAnsi="Arial"/>
                <w:sz w:val="16"/>
              </w:rPr>
              <w:t>Human oversight</w:t>
            </w:r>
          </w:p>
        </w:tc>
      </w:tr>
      <w:tr>
        <w:tc>
          <w:tcPr>
            <w:tcW w:type="dxa" w:w="1928"/>
          </w:tcPr>
          <w:p>
            <w:pPr>
              <w:pStyle w:val="TableText"/>
            </w:pPr>
            <w:r>
              <w:rPr>
                <w:rFonts w:ascii="Arial" w:hAnsi="Arial"/>
                <w:sz w:val="16"/>
              </w:rPr>
              <w:t>Sound Practice 11</w:t>
            </w:r>
          </w:p>
        </w:tc>
        <w:tc>
          <w:tcPr>
            <w:tcW w:type="dxa" w:w="7483"/>
          </w:tcPr>
          <w:p>
            <w:pPr>
              <w:pStyle w:val="TableText"/>
            </w:pPr>
            <w:r>
              <w:rPr>
                <w:rFonts w:ascii="Arial" w:hAnsi="Arial"/>
                <w:sz w:val="16"/>
              </w:rPr>
              <w:t>Cyber and ICT risk management</w:t>
            </w:r>
          </w:p>
        </w:tc>
      </w:tr>
      <w:tr>
        <w:tc>
          <w:tcPr>
            <w:tcW w:type="dxa" w:w="1928"/>
            <w:shd w:val="clear" w:color="auto" w:fill="F4F6FA"/>
          </w:tcPr>
          <w:p>
            <w:pPr>
              <w:pStyle w:val="TableText"/>
            </w:pPr>
            <w:r>
              <w:rPr>
                <w:rFonts w:ascii="Arial" w:hAnsi="Arial"/>
                <w:sz w:val="16"/>
              </w:rPr>
              <w:t>Sound Practice 12</w:t>
            </w:r>
          </w:p>
        </w:tc>
        <w:tc>
          <w:tcPr>
            <w:tcW w:type="dxa" w:w="7483"/>
            <w:shd w:val="clear" w:color="auto" w:fill="F4F6FA"/>
          </w:tcPr>
          <w:p>
            <w:pPr>
              <w:pStyle w:val="TableText"/>
            </w:pPr>
            <w:r>
              <w:rPr>
                <w:rFonts w:ascii="Arial" w:hAnsi="Arial"/>
                <w:sz w:val="16"/>
              </w:rPr>
              <w:t>Third-party AI risk management</w:t>
            </w:r>
          </w:p>
        </w:tc>
      </w:tr>
    </w:tbl>
    <w:p>
      <w:pPr>
        <w:pStyle w:val="Heading2"/>
      </w:pPr>
      <w:r>
        <w:t>FSB, The Financial Stability Implications of Artificial Intelligence (14 November 2024) — identified vulnerabilities</w:t>
      </w:r>
    </w:p>
    <w:p>
      <w:pPr>
        <w:pStyle w:val="SourceNote"/>
      </w:pPr>
      <w:r>
        <w:t>An analytical report, not a standard. Section 4.2 identifies financial sector vulnerabilities.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§4.2.1</w:t>
            </w:r>
          </w:p>
        </w:tc>
        <w:tc>
          <w:tcPr>
            <w:tcW w:type="dxa" w:w="7483"/>
          </w:tcPr>
          <w:p>
            <w:pPr>
              <w:pStyle w:val="TableText"/>
            </w:pPr>
            <w:r>
              <w:rPr>
                <w:rFonts w:ascii="Arial" w:hAnsi="Arial"/>
                <w:sz w:val="16"/>
              </w:rPr>
              <w:t>Third-party dependencies and service provider concentration</w:t>
            </w:r>
          </w:p>
        </w:tc>
      </w:tr>
      <w:tr>
        <w:tc>
          <w:tcPr>
            <w:tcW w:type="dxa" w:w="1928"/>
            <w:shd w:val="clear" w:color="auto" w:fill="F4F6FA"/>
          </w:tcPr>
          <w:p>
            <w:pPr>
              <w:pStyle w:val="TableText"/>
            </w:pPr>
            <w:r>
              <w:rPr>
                <w:rFonts w:ascii="Arial" w:hAnsi="Arial"/>
                <w:sz w:val="16"/>
              </w:rPr>
              <w:t>§4.2.2</w:t>
            </w:r>
          </w:p>
        </w:tc>
        <w:tc>
          <w:tcPr>
            <w:tcW w:type="dxa" w:w="7483"/>
            <w:shd w:val="clear" w:color="auto" w:fill="F4F6FA"/>
          </w:tcPr>
          <w:p>
            <w:pPr>
              <w:pStyle w:val="TableText"/>
            </w:pPr>
            <w:r>
              <w:rPr>
                <w:rFonts w:ascii="Arial" w:hAnsi="Arial"/>
                <w:sz w:val="16"/>
              </w:rPr>
              <w:t>Market correlations</w:t>
            </w:r>
          </w:p>
        </w:tc>
      </w:tr>
      <w:tr>
        <w:tc>
          <w:tcPr>
            <w:tcW w:type="dxa" w:w="1928"/>
          </w:tcPr>
          <w:p>
            <w:pPr>
              <w:pStyle w:val="TableText"/>
            </w:pPr>
            <w:r>
              <w:rPr>
                <w:rFonts w:ascii="Arial" w:hAnsi="Arial"/>
                <w:sz w:val="16"/>
              </w:rPr>
              <w:t>§4.2.3</w:t>
            </w:r>
          </w:p>
        </w:tc>
        <w:tc>
          <w:tcPr>
            <w:tcW w:type="dxa" w:w="7483"/>
          </w:tcPr>
          <w:p>
            <w:pPr>
              <w:pStyle w:val="TableText"/>
            </w:pPr>
            <w:r>
              <w:rPr>
                <w:rFonts w:ascii="Arial" w:hAnsi="Arial"/>
                <w:sz w:val="16"/>
              </w:rPr>
              <w:t>Cyber</w:t>
            </w:r>
          </w:p>
        </w:tc>
      </w:tr>
      <w:tr>
        <w:tc>
          <w:tcPr>
            <w:tcW w:type="dxa" w:w="1928"/>
            <w:shd w:val="clear" w:color="auto" w:fill="F4F6FA"/>
          </w:tcPr>
          <w:p>
            <w:pPr>
              <w:pStyle w:val="TableText"/>
            </w:pPr>
            <w:r>
              <w:rPr>
                <w:rFonts w:ascii="Arial" w:hAnsi="Arial"/>
                <w:sz w:val="16"/>
              </w:rPr>
              <w:t>§4.2.4</w:t>
            </w:r>
          </w:p>
        </w:tc>
        <w:tc>
          <w:tcPr>
            <w:tcW w:type="dxa" w:w="7483"/>
            <w:shd w:val="clear" w:color="auto" w:fill="F4F6FA"/>
          </w:tcPr>
          <w:p>
            <w:pPr>
              <w:pStyle w:val="TableText"/>
            </w:pPr>
            <w:r>
              <w:rPr>
                <w:rFonts w:ascii="Arial" w:hAnsi="Arial"/>
                <w:sz w:val="16"/>
              </w:rPr>
              <w:t>Model risk, data, and governance</w:t>
            </w:r>
          </w:p>
        </w:tc>
      </w:tr>
      <w:tr>
        <w:tc>
          <w:tcPr>
            <w:tcW w:type="dxa" w:w="1928"/>
          </w:tcPr>
          <w:p>
            <w:pPr>
              <w:pStyle w:val="TableText"/>
            </w:pPr>
            <w:r>
              <w:rPr>
                <w:rFonts w:ascii="Arial" w:hAnsi="Arial"/>
                <w:sz w:val="16"/>
              </w:rPr>
              <w:t>§4.2.5</w:t>
            </w:r>
          </w:p>
        </w:tc>
        <w:tc>
          <w:tcPr>
            <w:tcW w:type="dxa" w:w="7483"/>
          </w:tcPr>
          <w:p>
            <w:pPr>
              <w:pStyle w:val="TableText"/>
            </w:pPr>
            <w:r>
              <w:rPr>
                <w:rFonts w:ascii="Arial" w:hAnsi="Arial"/>
                <w:sz w:val="16"/>
              </w:rPr>
              <w:t>Other vulnerabilities</w:t>
            </w:r>
          </w:p>
        </w:tc>
      </w:tr>
    </w:tbl>
    <w:p>
      <w:pPr>
        <w:pStyle w:val="Heading2"/>
      </w:pPr>
      <w:r>
        <w:t>Australian instruments carrying model governance obligations</w:t>
      </w:r>
    </w:p>
    <w:p>
      <w:pPr>
        <w:pStyle w:val="SourceNote"/>
      </w:pPr>
      <w:r>
        <w:t>APRA has no enumerated model risk principles. Model governance obligations sit inside instruments written for other purposes, which is the gap CPS 240 addresses.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928"/>
            <w:shd w:val="clear" w:color="auto" w:fill="1B335F"/>
          </w:tcPr>
          <w:p>
            <w:pPr>
              <w:pStyle w:val="TableHead"/>
            </w:pPr>
            <w:r>
              <w:rPr>
                <w:rFonts w:ascii="Arial" w:hAnsi="Arial"/>
                <w:b/>
                <w:color w:val="FFFFFF"/>
                <w:sz w:val="16"/>
              </w:rPr>
              <w:t>Label</w:t>
            </w:r>
          </w:p>
        </w:tc>
        <w:tc>
          <w:tcPr>
            <w:tcW w:type="dxa" w:w="7483"/>
            <w:shd w:val="clear" w:color="auto" w:fill="1B335F"/>
          </w:tcPr>
          <w:p>
            <w:pPr>
              <w:pStyle w:val="TableHead"/>
            </w:pPr>
            <w:r>
              <w:rPr>
                <w:rFonts w:ascii="Arial" w:hAnsi="Arial"/>
                <w:b/>
                <w:color w:val="FFFFFF"/>
                <w:sz w:val="16"/>
              </w:rPr>
              <w:t>Title as printed</w:t>
            </w:r>
          </w:p>
        </w:tc>
      </w:tr>
      <w:tr>
        <w:tc>
          <w:tcPr>
            <w:tcW w:type="dxa" w:w="1928"/>
          </w:tcPr>
          <w:p>
            <w:pPr>
              <w:pStyle w:val="TableText"/>
            </w:pPr>
            <w:r>
              <w:rPr>
                <w:rFonts w:ascii="Arial" w:hAnsi="Arial"/>
                <w:sz w:val="16"/>
              </w:rPr>
              <w:t>APS 113</w:t>
            </w:r>
          </w:p>
        </w:tc>
        <w:tc>
          <w:tcPr>
            <w:tcW w:type="dxa" w:w="7483"/>
          </w:tcPr>
          <w:p>
            <w:pPr>
              <w:pStyle w:val="TableText"/>
            </w:pPr>
            <w:r>
              <w:rPr>
                <w:rFonts w:ascii="Arial" w:hAnsi="Arial"/>
                <w:sz w:val="16"/>
              </w:rPr>
              <w:t>Internal ratings-based approach — model approval, independent review, validation and the use test</w:t>
            </w:r>
          </w:p>
        </w:tc>
      </w:tr>
      <w:tr>
        <w:tc>
          <w:tcPr>
            <w:tcW w:type="dxa" w:w="1928"/>
            <w:shd w:val="clear" w:color="auto" w:fill="F4F6FA"/>
          </w:tcPr>
          <w:p>
            <w:pPr>
              <w:pStyle w:val="TableText"/>
            </w:pPr>
            <w:r>
              <w:rPr>
                <w:rFonts w:ascii="Arial" w:hAnsi="Arial"/>
                <w:sz w:val="16"/>
              </w:rPr>
              <w:t>CPS 220 / SPS 220</w:t>
            </w:r>
          </w:p>
        </w:tc>
        <w:tc>
          <w:tcPr>
            <w:tcW w:type="dxa" w:w="7483"/>
            <w:shd w:val="clear" w:color="auto" w:fill="F4F6FA"/>
          </w:tcPr>
          <w:p>
            <w:pPr>
              <w:pStyle w:val="TableText"/>
            </w:pPr>
            <w:r>
              <w:rPr>
                <w:rFonts w:ascii="Arial" w:hAnsi="Arial"/>
                <w:sz w:val="16"/>
              </w:rPr>
              <w:t>Risk management framework and risk appetite; model risk not named</w:t>
            </w:r>
          </w:p>
        </w:tc>
      </w:tr>
      <w:tr>
        <w:tc>
          <w:tcPr>
            <w:tcW w:type="dxa" w:w="1928"/>
          </w:tcPr>
          <w:p>
            <w:pPr>
              <w:pStyle w:val="TableText"/>
            </w:pPr>
            <w:r>
              <w:rPr>
                <w:rFonts w:ascii="Arial" w:hAnsi="Arial"/>
                <w:sz w:val="16"/>
              </w:rPr>
              <w:t>CPS 230</w:t>
            </w:r>
          </w:p>
        </w:tc>
        <w:tc>
          <w:tcPr>
            <w:tcW w:type="dxa" w:w="7483"/>
          </w:tcPr>
          <w:p>
            <w:pPr>
              <w:pStyle w:val="TableText"/>
            </w:pPr>
            <w:r>
              <w:rPr>
                <w:rFonts w:ascii="Arial" w:hAnsi="Arial"/>
                <w:sz w:val="16"/>
              </w:rPr>
              <w:t>Operational risk, critical operations, tolerance levels and service providers</w:t>
            </w:r>
          </w:p>
        </w:tc>
      </w:tr>
      <w:tr>
        <w:tc>
          <w:tcPr>
            <w:tcW w:type="dxa" w:w="1928"/>
            <w:shd w:val="clear" w:color="auto" w:fill="F4F6FA"/>
          </w:tcPr>
          <w:p>
            <w:pPr>
              <w:pStyle w:val="TableText"/>
            </w:pPr>
            <w:r>
              <w:rPr>
                <w:rFonts w:ascii="Arial" w:hAnsi="Arial"/>
                <w:sz w:val="16"/>
              </w:rPr>
              <w:t>CPS 234</w:t>
            </w:r>
          </w:p>
        </w:tc>
        <w:tc>
          <w:tcPr>
            <w:tcW w:type="dxa" w:w="7483"/>
            <w:shd w:val="clear" w:color="auto" w:fill="F4F6FA"/>
          </w:tcPr>
          <w:p>
            <w:pPr>
              <w:pStyle w:val="TableText"/>
            </w:pPr>
            <w:r>
              <w:rPr>
                <w:rFonts w:ascii="Arial" w:hAnsi="Arial"/>
                <w:sz w:val="16"/>
              </w:rPr>
              <w:t>Information security controls and incident notification</w:t>
            </w:r>
          </w:p>
        </w:tc>
      </w:tr>
      <w:tr>
        <w:tc>
          <w:tcPr>
            <w:tcW w:type="dxa" w:w="1928"/>
          </w:tcPr>
          <w:p>
            <w:pPr>
              <w:pStyle w:val="TableText"/>
            </w:pPr>
            <w:r>
              <w:rPr>
                <w:rFonts w:ascii="Arial" w:hAnsi="Arial"/>
                <w:sz w:val="16"/>
              </w:rPr>
              <w:t>CPG 235</w:t>
            </w:r>
          </w:p>
        </w:tc>
        <w:tc>
          <w:tcPr>
            <w:tcW w:type="dxa" w:w="7483"/>
          </w:tcPr>
          <w:p>
            <w:pPr>
              <w:pStyle w:val="TableText"/>
            </w:pPr>
            <w:r>
              <w:rPr>
                <w:rFonts w:ascii="Arial" w:hAnsi="Arial"/>
                <w:sz w:val="16"/>
              </w:rPr>
              <w:t>Managing data risk — practice guide, non-enforceable</w:t>
            </w:r>
          </w:p>
        </w:tc>
      </w:tr>
      <w:tr>
        <w:tc>
          <w:tcPr>
            <w:tcW w:type="dxa" w:w="1928"/>
            <w:shd w:val="clear" w:color="auto" w:fill="F4F6FA"/>
          </w:tcPr>
          <w:p>
            <w:pPr>
              <w:pStyle w:val="TableText"/>
            </w:pPr>
            <w:r>
              <w:rPr>
                <w:rFonts w:ascii="Arial" w:hAnsi="Arial"/>
                <w:sz w:val="16"/>
              </w:rPr>
              <w:t>CPS 320</w:t>
            </w:r>
          </w:p>
        </w:tc>
        <w:tc>
          <w:tcPr>
            <w:tcW w:type="dxa" w:w="7483"/>
            <w:shd w:val="clear" w:color="auto" w:fill="F4F6FA"/>
          </w:tcPr>
          <w:p>
            <w:pPr>
              <w:pStyle w:val="TableText"/>
            </w:pPr>
            <w:r>
              <w:rPr>
                <w:rFonts w:ascii="Arial" w:hAnsi="Arial"/>
                <w:sz w:val="16"/>
              </w:rPr>
              <w:t>Actuarial and related matters, including the Appointed Actuary</w:t>
            </w:r>
          </w:p>
        </w:tc>
      </w:tr>
      <w:tr>
        <w:tc>
          <w:tcPr>
            <w:tcW w:type="dxa" w:w="1928"/>
          </w:tcPr>
          <w:p>
            <w:pPr>
              <w:pStyle w:val="TableText"/>
            </w:pPr>
            <w:r>
              <w:rPr>
                <w:rFonts w:ascii="Arial" w:hAnsi="Arial"/>
                <w:sz w:val="16"/>
              </w:rPr>
              <w:t>SPS 530</w:t>
            </w:r>
          </w:p>
        </w:tc>
        <w:tc>
          <w:tcPr>
            <w:tcW w:type="dxa" w:w="7483"/>
          </w:tcPr>
          <w:p>
            <w:pPr>
              <w:pStyle w:val="TableText"/>
            </w:pPr>
            <w:r>
              <w:rPr>
                <w:rFonts w:ascii="Arial" w:hAnsi="Arial"/>
                <w:sz w:val="16"/>
              </w:rPr>
              <w:t>Investment governance, valuation, liquidity and stress testing</w:t>
            </w:r>
          </w:p>
        </w:tc>
      </w:tr>
      <w:tr>
        <w:tc>
          <w:tcPr>
            <w:tcW w:type="dxa" w:w="1928"/>
            <w:shd w:val="clear" w:color="auto" w:fill="F4F6FA"/>
          </w:tcPr>
          <w:p>
            <w:pPr>
              <w:pStyle w:val="TableText"/>
            </w:pPr>
            <w:r>
              <w:rPr>
                <w:rFonts w:ascii="Arial" w:hAnsi="Arial"/>
                <w:sz w:val="16"/>
              </w:rPr>
              <w:t>SPS 515</w:t>
            </w:r>
          </w:p>
        </w:tc>
        <w:tc>
          <w:tcPr>
            <w:tcW w:type="dxa" w:w="7483"/>
            <w:shd w:val="clear" w:color="auto" w:fill="F4F6FA"/>
          </w:tcPr>
          <w:p>
            <w:pPr>
              <w:pStyle w:val="TableText"/>
            </w:pPr>
            <w:r>
              <w:rPr>
                <w:rFonts w:ascii="Arial" w:hAnsi="Arial"/>
                <w:sz w:val="16"/>
              </w:rPr>
              <w:t>Strategic planning and member outcomes</w:t>
            </w:r>
          </w:p>
        </w:tc>
      </w:tr>
    </w:tbl>
    <w:p>
      <w:pPr>
        <w:pStyle w:val="DocMeta"/>
      </w:pPr>
      <w:r>
        <w:br w:type="page"/>
      </w:r>
    </w:p>
    <w:p>
      <w:pPr>
        <w:pStyle w:val="Heading1"/>
      </w:pPr>
      <w:r>
        <w:t>Annex D — Legal status of sources</w:t>
      </w:r>
    </w:p>
    <w:p>
      <w:pPr>
        <w:pStyle w:val="GuideBody"/>
      </w:pPr>
      <w:r>
        <w:t>The legal character of each source relied upon. This matters because an instrument that is binding in its home jurisdiction is still not binding in Australia, and several of the most influential model risk instruments are supervisory guidance rather than law even at home.</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882"/>
        <w:gridCol w:w="1882"/>
        <w:gridCol w:w="1882"/>
        <w:gridCol w:w="1882"/>
        <w:gridCol w:w="1882"/>
      </w:tblGrid>
      <w:tr>
        <w:trPr>
          <w:tblHeader w:val="true"/>
        </w:trPr>
        <w:tc>
          <w:tcPr>
            <w:tcW w:type="dxa" w:w="964"/>
            <w:shd w:val="clear" w:color="auto" w:fill="1B335F"/>
          </w:tcPr>
          <w:p>
            <w:pPr>
              <w:pStyle w:val="TableHead"/>
            </w:pPr>
            <w:r>
              <w:rPr>
                <w:rFonts w:ascii="Arial" w:hAnsi="Arial"/>
                <w:b/>
                <w:color w:val="FFFFFF"/>
                <w:sz w:val="14"/>
              </w:rPr>
              <w:t>ID</w:t>
            </w:r>
          </w:p>
        </w:tc>
        <w:tc>
          <w:tcPr>
            <w:tcW w:type="dxa" w:w="794"/>
            <w:shd w:val="clear" w:color="auto" w:fill="1B335F"/>
          </w:tcPr>
          <w:p>
            <w:pPr>
              <w:pStyle w:val="TableHead"/>
            </w:pPr>
            <w:r>
              <w:rPr>
                <w:rFonts w:ascii="Arial" w:hAnsi="Arial"/>
                <w:b/>
                <w:color w:val="FFFFFF"/>
                <w:sz w:val="14"/>
              </w:rPr>
              <w:t>Authority</w:t>
            </w:r>
          </w:p>
        </w:tc>
        <w:tc>
          <w:tcPr>
            <w:tcW w:type="dxa" w:w="2608"/>
            <w:shd w:val="clear" w:color="auto" w:fill="1B335F"/>
          </w:tcPr>
          <w:p>
            <w:pPr>
              <w:pStyle w:val="TableHead"/>
            </w:pPr>
            <w:r>
              <w:rPr>
                <w:rFonts w:ascii="Arial" w:hAnsi="Arial"/>
                <w:b/>
                <w:color w:val="FFFFFF"/>
                <w:sz w:val="14"/>
              </w:rPr>
              <w:t>Title</w:t>
            </w:r>
          </w:p>
        </w:tc>
        <w:tc>
          <w:tcPr>
            <w:tcW w:type="dxa" w:w="2494"/>
            <w:shd w:val="clear" w:color="auto" w:fill="1B335F"/>
          </w:tcPr>
          <w:p>
            <w:pPr>
              <w:pStyle w:val="TableHead"/>
            </w:pPr>
            <w:r>
              <w:rPr>
                <w:rFonts w:ascii="Arial" w:hAnsi="Arial"/>
                <w:b/>
                <w:color w:val="FFFFFF"/>
                <w:sz w:val="14"/>
              </w:rPr>
              <w:t>Legal status</w:t>
            </w:r>
          </w:p>
        </w:tc>
        <w:tc>
          <w:tcPr>
            <w:tcW w:type="dxa" w:w="2551"/>
            <w:shd w:val="clear" w:color="auto" w:fill="1B335F"/>
          </w:tcPr>
          <w:p>
            <w:pPr>
              <w:pStyle w:val="TableHead"/>
            </w:pPr>
            <w:r>
              <w:rPr>
                <w:rFonts w:ascii="Arial" w:hAnsi="Arial"/>
                <w:b/>
                <w:color w:val="FFFFFF"/>
                <w:sz w:val="14"/>
              </w:rPr>
              <w:t>Scope</w:t>
            </w:r>
          </w:p>
        </w:tc>
      </w:tr>
      <w:tr>
        <w:tc>
          <w:tcPr>
            <w:tcW w:type="dxa" w:w="964"/>
          </w:tcPr>
          <w:p>
            <w:pPr>
              <w:pStyle w:val="TableText"/>
            </w:pPr>
            <w:r>
              <w:rPr>
                <w:rFonts w:ascii="Arial" w:hAnsi="Arial"/>
                <w:sz w:val="14"/>
              </w:rPr>
              <w:t>US-MRM-2026</w:t>
            </w:r>
          </w:p>
        </w:tc>
        <w:tc>
          <w:tcPr>
            <w:tcW w:type="dxa" w:w="794"/>
          </w:tcPr>
          <w:p>
            <w:pPr>
              <w:pStyle w:val="TableText"/>
            </w:pPr>
            <w:r>
              <w:rPr>
                <w:rFonts w:ascii="Arial" w:hAnsi="Arial"/>
                <w:sz w:val="14"/>
              </w:rPr>
              <w:t>OCC / FRB / FDIC</w:t>
            </w:r>
          </w:p>
        </w:tc>
        <w:tc>
          <w:tcPr>
            <w:tcW w:type="dxa" w:w="2608"/>
          </w:tcPr>
          <w:p>
            <w:pPr>
              <w:pStyle w:val="TableText"/>
            </w:pPr>
            <w:r>
              <w:rPr>
                <w:rFonts w:ascii="Arial" w:hAnsi="Arial"/>
                <w:sz w:val="14"/>
              </w:rPr>
              <w:t>Supervisory Guidance on Model Risk Management — interagency guidance issued as Federal Reserve SR 26-2, OCC Bulletin 2026-13 and FDIC FIL-15-2026</w:t>
            </w:r>
          </w:p>
        </w:tc>
        <w:tc>
          <w:tcPr>
            <w:tcW w:type="dxa" w:w="2494"/>
          </w:tcPr>
          <w:p>
            <w:pPr>
              <w:pStyle w:val="TableText"/>
            </w:pPr>
            <w:r>
              <w:rPr>
                <w:rFonts w:ascii="Arial" w:hAnsi="Arial"/>
                <w:sz w:val="14"/>
              </w:rPr>
              <w:t>Interagency supervisory guidance. Expressly non-enforceable: it 'does not set forth enforceable standards or prescriptive requirements' and non-compliance 'will not result in supervisory criticism'. US supervisory guidance does not have the force and effect of law.</w:t>
            </w:r>
          </w:p>
        </w:tc>
        <w:tc>
          <w:tcPr>
            <w:tcW w:type="dxa" w:w="2551"/>
          </w:tcPr>
          <w:p>
            <w:pPr>
              <w:pStyle w:val="TableText"/>
            </w:pPr>
            <w:r>
              <w:rPr>
                <w:rFonts w:ascii="Arial" w:hAnsi="Arial"/>
                <w:sz w:val="14"/>
              </w:rPr>
              <w:t>Expected to be most relevant to banking organisations with over $30 billion in total assets. Organisations at or below that threshold are generally excluded, though the guidance may still be relevant where model exposure is significant. Generative AI and agentic AI models are expressly outside scope.</w:t>
            </w:r>
          </w:p>
        </w:tc>
      </w:tr>
      <w:tr>
        <w:tc>
          <w:tcPr>
            <w:tcW w:type="dxa" w:w="964"/>
            <w:shd w:val="clear" w:color="auto" w:fill="F4F6FA"/>
          </w:tcPr>
          <w:p>
            <w:pPr>
              <w:pStyle w:val="TableText"/>
            </w:pPr>
            <w:r>
              <w:rPr>
                <w:rFonts w:ascii="Arial" w:hAnsi="Arial"/>
                <w:sz w:val="14"/>
              </w:rPr>
              <w:t>US-MRM-2011</w:t>
            </w:r>
          </w:p>
        </w:tc>
        <w:tc>
          <w:tcPr>
            <w:tcW w:type="dxa" w:w="794"/>
            <w:shd w:val="clear" w:color="auto" w:fill="F4F6FA"/>
          </w:tcPr>
          <w:p>
            <w:pPr>
              <w:pStyle w:val="TableText"/>
            </w:pPr>
            <w:r>
              <w:rPr>
                <w:rFonts w:ascii="Arial" w:hAnsi="Arial"/>
                <w:sz w:val="14"/>
              </w:rPr>
              <w:t>OCC / FRB</w:t>
            </w:r>
          </w:p>
        </w:tc>
        <w:tc>
          <w:tcPr>
            <w:tcW w:type="dxa" w:w="2608"/>
            <w:shd w:val="clear" w:color="auto" w:fill="F4F6FA"/>
          </w:tcPr>
          <w:p>
            <w:pPr>
              <w:pStyle w:val="TableText"/>
            </w:pPr>
            <w:r>
              <w:rPr>
                <w:rFonts w:ascii="Arial" w:hAnsi="Arial"/>
                <w:sz w:val="14"/>
              </w:rPr>
              <w:t>OCC Bulletin 2011-12 / Federal Reserve SR 11-7 — Supervisory Guidance on Model Risk Management</w:t>
            </w:r>
          </w:p>
        </w:tc>
        <w:tc>
          <w:tcPr>
            <w:tcW w:type="dxa" w:w="2494"/>
            <w:shd w:val="clear" w:color="auto" w:fill="F4F6FA"/>
          </w:tcPr>
          <w:p>
            <w:pPr>
              <w:pStyle w:val="TableText"/>
            </w:pPr>
            <w:r>
              <w:rPr>
                <w:rFonts w:ascii="Arial" w:hAnsi="Arial"/>
                <w:sz w:val="14"/>
              </w:rPr>
              <w:t>Superseded supervisory guidance. Rescinded by OCC Bulletin 2026-13 and superseded by Federal Reserve SR 26-2 on 17 April 2026. Was never a regulation. Retained here for provenance because it originated most of the discipline's architecture.</w:t>
            </w:r>
          </w:p>
        </w:tc>
        <w:tc>
          <w:tcPr>
            <w:tcW w:type="dxa" w:w="2551"/>
            <w:shd w:val="clear" w:color="auto" w:fill="F4F6FA"/>
          </w:tcPr>
          <w:p>
            <w:pPr>
              <w:pStyle w:val="TableText"/>
            </w:pPr>
            <w:r>
              <w:rPr>
                <w:rFonts w:ascii="Arial" w:hAnsi="Arial"/>
                <w:sz w:val="14"/>
              </w:rPr>
              <w:t>Applied to all banking organisations supervised by the Federal Reserve and the OCC, taking into account size, nature and complexity. Adopted by the FDIC in June 2017 via FIL-22-2017.</w:t>
            </w:r>
          </w:p>
        </w:tc>
      </w:tr>
      <w:tr>
        <w:tc>
          <w:tcPr>
            <w:tcW w:type="dxa" w:w="964"/>
          </w:tcPr>
          <w:p>
            <w:pPr>
              <w:pStyle w:val="TableText"/>
            </w:pPr>
            <w:r>
              <w:rPr>
                <w:rFonts w:ascii="Arial" w:hAnsi="Arial"/>
                <w:sz w:val="14"/>
              </w:rPr>
              <w:t>US-SG-STATUS</w:t>
            </w:r>
          </w:p>
        </w:tc>
        <w:tc>
          <w:tcPr>
            <w:tcW w:type="dxa" w:w="794"/>
          </w:tcPr>
          <w:p>
            <w:pPr>
              <w:pStyle w:val="TableText"/>
            </w:pPr>
            <w:r>
              <w:rPr>
                <w:rFonts w:ascii="Arial" w:hAnsi="Arial"/>
                <w:sz w:val="14"/>
              </w:rPr>
              <w:t>OCC / FRB / FDIC</w:t>
            </w:r>
          </w:p>
        </w:tc>
        <w:tc>
          <w:tcPr>
            <w:tcW w:type="dxa" w:w="2608"/>
          </w:tcPr>
          <w:p>
            <w:pPr>
              <w:pStyle w:val="TableText"/>
            </w:pPr>
            <w:r>
              <w:rPr>
                <w:rFonts w:ascii="Arial" w:hAnsi="Arial"/>
                <w:sz w:val="14"/>
              </w:rPr>
              <w:t>Use of supervisory guidance — 12 CFR Part 4 Subpart F (OCC), 12 CFR §262.7 and Part 262 Appendix A (Board), 12 CFR Part 302 Appendix A (FDIC)</w:t>
            </w:r>
          </w:p>
        </w:tc>
        <w:tc>
          <w:tcPr>
            <w:tcW w:type="dxa" w:w="2494"/>
          </w:tcPr>
          <w:p>
            <w:pPr>
              <w:pStyle w:val="TableText"/>
            </w:pPr>
            <w:r>
              <w:rPr>
                <w:rFonts w:ascii="Arial" w:hAnsi="Arial"/>
                <w:sz w:val="14"/>
              </w:rPr>
              <w:t>Codified regulation. Binding on the agencies, not on supervised institutions. Provides that supervisory guidance does not have the force and effect of law and that the agencies do not take enforcement action on the basis of guidance.</w:t>
            </w:r>
          </w:p>
        </w:tc>
        <w:tc>
          <w:tcPr>
            <w:tcW w:type="dxa" w:w="2551"/>
          </w:tcPr>
          <w:p>
            <w:pPr>
              <w:pStyle w:val="TableText"/>
            </w:pPr>
            <w:r>
              <w:rPr>
                <w:rFonts w:ascii="Arial" w:hAnsi="Arial"/>
                <w:sz w:val="14"/>
              </w:rPr>
              <w:t>The OCC, the Federal Reserve Board and the FDIC and their supervised institutions.</w:t>
            </w:r>
          </w:p>
        </w:tc>
      </w:tr>
      <w:tr>
        <w:tc>
          <w:tcPr>
            <w:tcW w:type="dxa" w:w="964"/>
            <w:shd w:val="clear" w:color="auto" w:fill="F4F6FA"/>
          </w:tcPr>
          <w:p>
            <w:pPr>
              <w:pStyle w:val="TableText"/>
            </w:pPr>
            <w:r>
              <w:rPr>
                <w:rFonts w:ascii="Arial" w:hAnsi="Arial"/>
                <w:sz w:val="14"/>
              </w:rPr>
              <w:t>OCC-CB-2025</w:t>
            </w:r>
          </w:p>
        </w:tc>
        <w:tc>
          <w:tcPr>
            <w:tcW w:type="dxa" w:w="794"/>
            <w:shd w:val="clear" w:color="auto" w:fill="F4F6FA"/>
          </w:tcPr>
          <w:p>
            <w:pPr>
              <w:pStyle w:val="TableText"/>
            </w:pPr>
            <w:r>
              <w:rPr>
                <w:rFonts w:ascii="Arial" w:hAnsi="Arial"/>
                <w:sz w:val="14"/>
              </w:rPr>
              <w:t>OCC</w:t>
            </w:r>
          </w:p>
        </w:tc>
        <w:tc>
          <w:tcPr>
            <w:tcW w:type="dxa" w:w="2608"/>
            <w:shd w:val="clear" w:color="auto" w:fill="F4F6FA"/>
          </w:tcPr>
          <w:p>
            <w:pPr>
              <w:pStyle w:val="TableText"/>
            </w:pPr>
            <w:r>
              <w:rPr>
                <w:rFonts w:ascii="Arial" w:hAnsi="Arial"/>
                <w:sz w:val="14"/>
              </w:rPr>
              <w:t>OCC Bulletin 2025-26 — Model Risk Management: Clarification for Community Banks</w:t>
            </w:r>
          </w:p>
        </w:tc>
        <w:tc>
          <w:tcPr>
            <w:tcW w:type="dxa" w:w="2494"/>
            <w:shd w:val="clear" w:color="auto" w:fill="F4F6FA"/>
          </w:tcPr>
          <w:p>
            <w:pPr>
              <w:pStyle w:val="TableText"/>
            </w:pPr>
            <w:r>
              <w:rPr>
                <w:rFonts w:ascii="Arial" w:hAnsi="Arial"/>
                <w:sz w:val="14"/>
              </w:rPr>
              <w:t>Bulletin clarifying the application of existing supervisory guidance. Not a regulation. Not rescinded by OCC Bulletin 2026-13.</w:t>
            </w:r>
          </w:p>
        </w:tc>
        <w:tc>
          <w:tcPr>
            <w:tcW w:type="dxa" w:w="2551"/>
            <w:shd w:val="clear" w:color="auto" w:fill="F4F6FA"/>
          </w:tcPr>
          <w:p>
            <w:pPr>
              <w:pStyle w:val="TableText"/>
            </w:pPr>
            <w:r>
              <w:rPr>
                <w:rFonts w:ascii="Arial" w:hAnsi="Arial"/>
                <w:sz w:val="14"/>
              </w:rPr>
              <w:t>OCC-supervised community banks.</w:t>
            </w:r>
          </w:p>
        </w:tc>
      </w:tr>
      <w:tr>
        <w:tc>
          <w:tcPr>
            <w:tcW w:type="dxa" w:w="964"/>
          </w:tcPr>
          <w:p>
            <w:pPr>
              <w:pStyle w:val="TableText"/>
            </w:pPr>
            <w:r>
              <w:rPr>
                <w:rFonts w:ascii="Arial" w:hAnsi="Arial"/>
                <w:sz w:val="14"/>
              </w:rPr>
              <w:t>OCC-HANDBOOK</w:t>
            </w:r>
          </w:p>
        </w:tc>
        <w:tc>
          <w:tcPr>
            <w:tcW w:type="dxa" w:w="794"/>
          </w:tcPr>
          <w:p>
            <w:pPr>
              <w:pStyle w:val="TableText"/>
            </w:pPr>
            <w:r>
              <w:rPr>
                <w:rFonts w:ascii="Arial" w:hAnsi="Arial"/>
                <w:sz w:val="14"/>
              </w:rPr>
              <w:t>OCC</w:t>
            </w:r>
          </w:p>
        </w:tc>
        <w:tc>
          <w:tcPr>
            <w:tcW w:type="dxa" w:w="2608"/>
          </w:tcPr>
          <w:p>
            <w:pPr>
              <w:pStyle w:val="TableText"/>
            </w:pPr>
            <w:r>
              <w:rPr>
                <w:rFonts w:ascii="Arial" w:hAnsi="Arial"/>
                <w:sz w:val="14"/>
              </w:rPr>
              <w:t>Comptroller's Handbook — Model Risk Management booklet</w:t>
            </w:r>
          </w:p>
        </w:tc>
        <w:tc>
          <w:tcPr>
            <w:tcW w:type="dxa" w:w="2494"/>
          </w:tcPr>
          <w:p>
            <w:pPr>
              <w:pStyle w:val="TableText"/>
            </w:pPr>
            <w:r>
              <w:rPr>
                <w:rFonts w:ascii="Arial" w:hAnsi="Arial"/>
                <w:sz w:val="14"/>
              </w:rPr>
              <w:t>Examiner handbook booklet, rescinded by OCC Bulletin 2026-13. Was guidance for OCC examiners, not a regulation.</w:t>
            </w:r>
          </w:p>
        </w:tc>
        <w:tc>
          <w:tcPr>
            <w:tcW w:type="dxa" w:w="2551"/>
          </w:tcPr>
          <w:p>
            <w:pPr>
              <w:pStyle w:val="TableText"/>
            </w:pPr>
            <w:r>
              <w:rPr>
                <w:rFonts w:ascii="Arial" w:hAnsi="Arial"/>
                <w:sz w:val="14"/>
              </w:rPr>
              <w:t>OCC examiners assessing model risk management at supervised banks, including community banks.</w:t>
            </w:r>
          </w:p>
        </w:tc>
      </w:tr>
      <w:tr>
        <w:tc>
          <w:tcPr>
            <w:tcW w:type="dxa" w:w="964"/>
            <w:shd w:val="clear" w:color="auto" w:fill="F4F6FA"/>
          </w:tcPr>
          <w:p>
            <w:pPr>
              <w:pStyle w:val="TableText"/>
            </w:pPr>
            <w:r>
              <w:rPr>
                <w:rFonts w:ascii="Arial" w:hAnsi="Arial"/>
                <w:sz w:val="14"/>
              </w:rPr>
              <w:t>PRA-SS1-23</w:t>
            </w:r>
          </w:p>
        </w:tc>
        <w:tc>
          <w:tcPr>
            <w:tcW w:type="dxa" w:w="794"/>
            <w:shd w:val="clear" w:color="auto" w:fill="F4F6FA"/>
          </w:tcPr>
          <w:p>
            <w:pPr>
              <w:pStyle w:val="TableText"/>
            </w:pPr>
            <w:r>
              <w:rPr>
                <w:rFonts w:ascii="Arial" w:hAnsi="Arial"/>
                <w:sz w:val="14"/>
              </w:rPr>
              <w:t>PRA</w:t>
            </w:r>
          </w:p>
        </w:tc>
        <w:tc>
          <w:tcPr>
            <w:tcW w:type="dxa" w:w="2608"/>
            <w:shd w:val="clear" w:color="auto" w:fill="F4F6FA"/>
          </w:tcPr>
          <w:p>
            <w:pPr>
              <w:pStyle w:val="TableText"/>
            </w:pPr>
            <w:r>
              <w:rPr>
                <w:rFonts w:ascii="Arial" w:hAnsi="Arial"/>
                <w:sz w:val="14"/>
              </w:rPr>
              <w:t>SS1/23 — Model risk management principles for banks</w:t>
            </w:r>
          </w:p>
        </w:tc>
        <w:tc>
          <w:tcPr>
            <w:tcW w:type="dxa" w:w="2494"/>
            <w:shd w:val="clear" w:color="auto" w:fill="F4F6FA"/>
          </w:tcPr>
          <w:p>
            <w:pPr>
              <w:pStyle w:val="TableText"/>
            </w:pPr>
            <w:r>
              <w:rPr>
                <w:rFonts w:ascii="Arial" w:hAnsi="Arial"/>
                <w:sz w:val="14"/>
              </w:rPr>
              <w:t>Supervisory statement setting out PRA expectations. Not a PRA Rulebook instrument and not binding law.</w:t>
            </w:r>
          </w:p>
        </w:tc>
        <w:tc>
          <w:tcPr>
            <w:tcW w:type="dxa" w:w="2551"/>
            <w:shd w:val="clear" w:color="auto" w:fill="F4F6FA"/>
          </w:tcPr>
          <w:p>
            <w:pPr>
              <w:pStyle w:val="TableText"/>
            </w:pPr>
            <w:r>
              <w:rPr>
                <w:rFonts w:ascii="Arial" w:hAnsi="Arial"/>
                <w:sz w:val="14"/>
              </w:rPr>
              <w:t>UK-incorporated banks, building societies and PRA-designated investment firms with internal model approval to calculate regulatory capital requirements. Does not apply to insurers, credit unions, third-country branches or firms without internal model approval.</w:t>
            </w:r>
          </w:p>
        </w:tc>
      </w:tr>
      <w:tr>
        <w:tc>
          <w:tcPr>
            <w:tcW w:type="dxa" w:w="964"/>
          </w:tcPr>
          <w:p>
            <w:pPr>
              <w:pStyle w:val="TableText"/>
            </w:pPr>
            <w:r>
              <w:rPr>
                <w:rFonts w:ascii="Arial" w:hAnsi="Arial"/>
                <w:sz w:val="14"/>
              </w:rPr>
              <w:t>PRA-PS6-23</w:t>
            </w:r>
          </w:p>
        </w:tc>
        <w:tc>
          <w:tcPr>
            <w:tcW w:type="dxa" w:w="794"/>
          </w:tcPr>
          <w:p>
            <w:pPr>
              <w:pStyle w:val="TableText"/>
            </w:pPr>
            <w:r>
              <w:rPr>
                <w:rFonts w:ascii="Arial" w:hAnsi="Arial"/>
                <w:sz w:val="14"/>
              </w:rPr>
              <w:t>PRA</w:t>
            </w:r>
          </w:p>
        </w:tc>
        <w:tc>
          <w:tcPr>
            <w:tcW w:type="dxa" w:w="2608"/>
          </w:tcPr>
          <w:p>
            <w:pPr>
              <w:pStyle w:val="TableText"/>
            </w:pPr>
            <w:r>
              <w:rPr>
                <w:rFonts w:ascii="Arial" w:hAnsi="Arial"/>
                <w:sz w:val="14"/>
              </w:rPr>
              <w:t>PS6/23 — Model risk management principles for banks (Policy Statement)</w:t>
            </w:r>
          </w:p>
        </w:tc>
        <w:tc>
          <w:tcPr>
            <w:tcW w:type="dxa" w:w="2494"/>
          </w:tcPr>
          <w:p>
            <w:pPr>
              <w:pStyle w:val="TableText"/>
            </w:pPr>
            <w:r>
              <w:rPr>
                <w:rFonts w:ascii="Arial" w:hAnsi="Arial"/>
                <w:sz w:val="14"/>
              </w:rPr>
              <w:t>Policy statement. Explains the final policy and feedback; the operative expectations sit in SS1/23.</w:t>
            </w:r>
          </w:p>
        </w:tc>
        <w:tc>
          <w:tcPr>
            <w:tcW w:type="dxa" w:w="2551"/>
          </w:tcPr>
          <w:p>
            <w:pPr>
              <w:pStyle w:val="TableText"/>
            </w:pPr>
            <w:r>
              <w:rPr>
                <w:rFonts w:ascii="Arial" w:hAnsi="Arial"/>
                <w:sz w:val="14"/>
              </w:rPr>
              <w:t>As for SS1/23.</w:t>
            </w:r>
          </w:p>
        </w:tc>
      </w:tr>
      <w:tr>
        <w:tc>
          <w:tcPr>
            <w:tcW w:type="dxa" w:w="964"/>
            <w:shd w:val="clear" w:color="auto" w:fill="F4F6FA"/>
          </w:tcPr>
          <w:p>
            <w:pPr>
              <w:pStyle w:val="TableText"/>
            </w:pPr>
            <w:r>
              <w:rPr>
                <w:rFonts w:ascii="Arial" w:hAnsi="Arial"/>
                <w:sz w:val="14"/>
              </w:rPr>
              <w:t>PRA-SS3-18</w:t>
            </w:r>
          </w:p>
        </w:tc>
        <w:tc>
          <w:tcPr>
            <w:tcW w:type="dxa" w:w="794"/>
            <w:shd w:val="clear" w:color="auto" w:fill="F4F6FA"/>
          </w:tcPr>
          <w:p>
            <w:pPr>
              <w:pStyle w:val="TableText"/>
            </w:pPr>
            <w:r>
              <w:rPr>
                <w:rFonts w:ascii="Arial" w:hAnsi="Arial"/>
                <w:sz w:val="14"/>
              </w:rPr>
              <w:t>PRA</w:t>
            </w:r>
          </w:p>
        </w:tc>
        <w:tc>
          <w:tcPr>
            <w:tcW w:type="dxa" w:w="2608"/>
            <w:shd w:val="clear" w:color="auto" w:fill="F4F6FA"/>
          </w:tcPr>
          <w:p>
            <w:pPr>
              <w:pStyle w:val="TableText"/>
            </w:pPr>
            <w:r>
              <w:rPr>
                <w:rFonts w:ascii="Arial" w:hAnsi="Arial"/>
                <w:sz w:val="14"/>
              </w:rPr>
              <w:t>SS3/18 — Model risk management principles for stress testing</w:t>
            </w:r>
          </w:p>
        </w:tc>
        <w:tc>
          <w:tcPr>
            <w:tcW w:type="dxa" w:w="2494"/>
            <w:shd w:val="clear" w:color="auto" w:fill="F4F6FA"/>
          </w:tcPr>
          <w:p>
            <w:pPr>
              <w:pStyle w:val="TableText"/>
            </w:pPr>
            <w:r>
              <w:rPr>
                <w:rFonts w:ascii="Arial" w:hAnsi="Arial"/>
                <w:sz w:val="14"/>
              </w:rPr>
              <w:t>Supervisory statement. PRA expectations, not binding law.</w:t>
            </w:r>
          </w:p>
        </w:tc>
        <w:tc>
          <w:tcPr>
            <w:tcW w:type="dxa" w:w="2551"/>
            <w:shd w:val="clear" w:color="auto" w:fill="F4F6FA"/>
          </w:tcPr>
          <w:p>
            <w:pPr>
              <w:pStyle w:val="TableText"/>
            </w:pPr>
            <w:r>
              <w:rPr>
                <w:rFonts w:ascii="Arial" w:hAnsi="Arial"/>
                <w:sz w:val="14"/>
              </w:rPr>
              <w:t>Firms in scope of the PRA's stress testing framework.</w:t>
            </w:r>
          </w:p>
        </w:tc>
      </w:tr>
      <w:tr>
        <w:tc>
          <w:tcPr>
            <w:tcW w:type="dxa" w:w="964"/>
          </w:tcPr>
          <w:p>
            <w:pPr>
              <w:pStyle w:val="TableText"/>
            </w:pPr>
            <w:r>
              <w:rPr>
                <w:rFonts w:ascii="Arial" w:hAnsi="Arial"/>
                <w:sz w:val="14"/>
              </w:rPr>
              <w:t>OSFI-E23</w:t>
            </w:r>
          </w:p>
        </w:tc>
        <w:tc>
          <w:tcPr>
            <w:tcW w:type="dxa" w:w="794"/>
          </w:tcPr>
          <w:p>
            <w:pPr>
              <w:pStyle w:val="TableText"/>
            </w:pPr>
            <w:r>
              <w:rPr>
                <w:rFonts w:ascii="Arial" w:hAnsi="Arial"/>
                <w:sz w:val="14"/>
              </w:rPr>
              <w:t>OSFI</w:t>
            </w:r>
          </w:p>
        </w:tc>
        <w:tc>
          <w:tcPr>
            <w:tcW w:type="dxa" w:w="2608"/>
          </w:tcPr>
          <w:p>
            <w:pPr>
              <w:pStyle w:val="TableText"/>
            </w:pPr>
            <w:r>
              <w:rPr>
                <w:rFonts w:ascii="Arial" w:hAnsi="Arial"/>
                <w:sz w:val="14"/>
              </w:rPr>
              <w:t>Guideline E-23 — Model Risk Management (2027)</w:t>
            </w:r>
          </w:p>
        </w:tc>
        <w:tc>
          <w:tcPr>
            <w:tcW w:type="dxa" w:w="2494"/>
          </w:tcPr>
          <w:p>
            <w:pPr>
              <w:pStyle w:val="TableText"/>
            </w:pPr>
            <w:r>
              <w:rPr>
                <w:rFonts w:ascii="Arial" w:hAnsi="Arial"/>
                <w:sz w:val="14"/>
              </w:rPr>
              <w:t>Final supervisory guideline. Not yet in effect at the as-of date. Sound Business and Financial Practices category.</w:t>
            </w:r>
          </w:p>
        </w:tc>
        <w:tc>
          <w:tcPr>
            <w:tcW w:type="dxa" w:w="2551"/>
          </w:tcPr>
          <w:p>
            <w:pPr>
              <w:pStyle w:val="TableText"/>
            </w:pPr>
            <w:r>
              <w:rPr>
                <w:rFonts w:ascii="Arial" w:hAnsi="Arial"/>
                <w:sz w:val="14"/>
              </w:rPr>
              <w:t>Banks, foreign bank branches, life insurance and fraternal companies, property and casualty companies, and trust and loan companies. Does not apply to federally regulated pension plans.</w:t>
            </w:r>
          </w:p>
        </w:tc>
      </w:tr>
      <w:tr>
        <w:tc>
          <w:tcPr>
            <w:tcW w:type="dxa" w:w="964"/>
            <w:shd w:val="clear" w:color="auto" w:fill="F4F6FA"/>
          </w:tcPr>
          <w:p>
            <w:pPr>
              <w:pStyle w:val="TableText"/>
            </w:pPr>
            <w:r>
              <w:rPr>
                <w:rFonts w:ascii="Arial" w:hAnsi="Arial"/>
                <w:sz w:val="14"/>
              </w:rPr>
              <w:t>OSFI-E23-2017</w:t>
            </w:r>
          </w:p>
        </w:tc>
        <w:tc>
          <w:tcPr>
            <w:tcW w:type="dxa" w:w="794"/>
            <w:shd w:val="clear" w:color="auto" w:fill="F4F6FA"/>
          </w:tcPr>
          <w:p>
            <w:pPr>
              <w:pStyle w:val="TableText"/>
            </w:pPr>
            <w:r>
              <w:rPr>
                <w:rFonts w:ascii="Arial" w:hAnsi="Arial"/>
                <w:sz w:val="14"/>
              </w:rPr>
              <w:t>OSFI</w:t>
            </w:r>
          </w:p>
        </w:tc>
        <w:tc>
          <w:tcPr>
            <w:tcW w:type="dxa" w:w="2608"/>
            <w:shd w:val="clear" w:color="auto" w:fill="F4F6FA"/>
          </w:tcPr>
          <w:p>
            <w:pPr>
              <w:pStyle w:val="TableText"/>
            </w:pPr>
            <w:r>
              <w:rPr>
                <w:rFonts w:ascii="Arial" w:hAnsi="Arial"/>
                <w:sz w:val="14"/>
              </w:rPr>
              <w:t>Guideline E-23 — Enterprise-Wide Model Risk Management for Deposit-Taking Institutions (2017)</w:t>
            </w:r>
          </w:p>
        </w:tc>
        <w:tc>
          <w:tcPr>
            <w:tcW w:type="dxa" w:w="2494"/>
            <w:shd w:val="clear" w:color="auto" w:fill="F4F6FA"/>
          </w:tcPr>
          <w:p>
            <w:pPr>
              <w:pStyle w:val="TableText"/>
            </w:pPr>
            <w:r>
              <w:rPr>
                <w:rFonts w:ascii="Arial" w:hAnsi="Arial"/>
                <w:sz w:val="14"/>
              </w:rPr>
              <w:t>Supervisory guideline, superseded by the 2027 guideline with effect from 1 May 2027.</w:t>
            </w:r>
          </w:p>
        </w:tc>
        <w:tc>
          <w:tcPr>
            <w:tcW w:type="dxa" w:w="2551"/>
            <w:shd w:val="clear" w:color="auto" w:fill="F4F6FA"/>
          </w:tcPr>
          <w:p>
            <w:pPr>
              <w:pStyle w:val="TableText"/>
            </w:pPr>
            <w:r>
              <w:rPr>
                <w:rFonts w:ascii="Arial" w:hAnsi="Arial"/>
                <w:sz w:val="14"/>
              </w:rPr>
              <w:t>Federally regulated deposit-taking institutions only.</w:t>
            </w:r>
          </w:p>
        </w:tc>
      </w:tr>
      <w:tr>
        <w:tc>
          <w:tcPr>
            <w:tcW w:type="dxa" w:w="964"/>
          </w:tcPr>
          <w:p>
            <w:pPr>
              <w:pStyle w:val="TableText"/>
            </w:pPr>
            <w:r>
              <w:rPr>
                <w:rFonts w:ascii="Arial" w:hAnsi="Arial"/>
                <w:sz w:val="14"/>
              </w:rPr>
              <w:t>OSFI-B10</w:t>
            </w:r>
          </w:p>
        </w:tc>
        <w:tc>
          <w:tcPr>
            <w:tcW w:type="dxa" w:w="794"/>
          </w:tcPr>
          <w:p>
            <w:pPr>
              <w:pStyle w:val="TableText"/>
            </w:pPr>
            <w:r>
              <w:rPr>
                <w:rFonts w:ascii="Arial" w:hAnsi="Arial"/>
                <w:sz w:val="14"/>
              </w:rPr>
              <w:t>OSFI</w:t>
            </w:r>
          </w:p>
        </w:tc>
        <w:tc>
          <w:tcPr>
            <w:tcW w:type="dxa" w:w="2608"/>
          </w:tcPr>
          <w:p>
            <w:pPr>
              <w:pStyle w:val="TableText"/>
            </w:pPr>
            <w:r>
              <w:rPr>
                <w:rFonts w:ascii="Arial" w:hAnsi="Arial"/>
                <w:sz w:val="14"/>
              </w:rPr>
              <w:t>Guideline B-10 — Third-Party Risk Management</w:t>
            </w:r>
          </w:p>
        </w:tc>
        <w:tc>
          <w:tcPr>
            <w:tcW w:type="dxa" w:w="2494"/>
          </w:tcPr>
          <w:p>
            <w:pPr>
              <w:pStyle w:val="TableText"/>
            </w:pPr>
            <w:r>
              <w:rPr>
                <w:rFonts w:ascii="Arial" w:hAnsi="Arial"/>
                <w:sz w:val="14"/>
              </w:rPr>
              <w:t>Supervisory guideline.</w:t>
            </w:r>
          </w:p>
        </w:tc>
        <w:tc>
          <w:tcPr>
            <w:tcW w:type="dxa" w:w="2551"/>
          </w:tcPr>
          <w:p>
            <w:pPr>
              <w:pStyle w:val="TableText"/>
            </w:pPr>
            <w:r>
              <w:rPr>
                <w:rFonts w:ascii="Arial" w:hAnsi="Arial"/>
                <w:sz w:val="14"/>
              </w:rPr>
              <w:t>Federally regulated financial institutions.</w:t>
            </w:r>
          </w:p>
        </w:tc>
      </w:tr>
      <w:tr>
        <w:tc>
          <w:tcPr>
            <w:tcW w:type="dxa" w:w="964"/>
            <w:shd w:val="clear" w:color="auto" w:fill="F4F6FA"/>
          </w:tcPr>
          <w:p>
            <w:pPr>
              <w:pStyle w:val="TableText"/>
            </w:pPr>
            <w:r>
              <w:rPr>
                <w:rFonts w:ascii="Arial" w:hAnsi="Arial"/>
                <w:sz w:val="14"/>
              </w:rPr>
              <w:t>ECB-GIM</w:t>
            </w:r>
          </w:p>
        </w:tc>
        <w:tc>
          <w:tcPr>
            <w:tcW w:type="dxa" w:w="794"/>
            <w:shd w:val="clear" w:color="auto" w:fill="F4F6FA"/>
          </w:tcPr>
          <w:p>
            <w:pPr>
              <w:pStyle w:val="TableText"/>
            </w:pPr>
            <w:r>
              <w:rPr>
                <w:rFonts w:ascii="Arial" w:hAnsi="Arial"/>
                <w:sz w:val="14"/>
              </w:rPr>
              <w:t>ECB</w:t>
            </w:r>
          </w:p>
        </w:tc>
        <w:tc>
          <w:tcPr>
            <w:tcW w:type="dxa" w:w="2608"/>
            <w:shd w:val="clear" w:color="auto" w:fill="F4F6FA"/>
          </w:tcPr>
          <w:p>
            <w:pPr>
              <w:pStyle w:val="TableText"/>
            </w:pPr>
            <w:r>
              <w:rPr>
                <w:rFonts w:ascii="Arial" w:hAnsi="Arial"/>
                <w:sz w:val="14"/>
              </w:rPr>
              <w:t>ECB Guide to internal models</w:t>
            </w:r>
          </w:p>
        </w:tc>
        <w:tc>
          <w:tcPr>
            <w:tcW w:type="dxa" w:w="2494"/>
            <w:shd w:val="clear" w:color="auto" w:fill="F4F6FA"/>
          </w:tcPr>
          <w:p>
            <w:pPr>
              <w:pStyle w:val="TableText"/>
            </w:pPr>
            <w:r>
              <w:rPr>
                <w:rFonts w:ascii="Arial" w:hAnsi="Arial"/>
                <w:sz w:val="14"/>
              </w:rPr>
              <w:t>Supervisory guide. Sets out how the ECB understands and applies binding EU law; the guide itself is not a legal act and does not create obligations beyond the CRR.</w:t>
            </w:r>
          </w:p>
        </w:tc>
        <w:tc>
          <w:tcPr>
            <w:tcW w:type="dxa" w:w="2551"/>
            <w:shd w:val="clear" w:color="auto" w:fill="F4F6FA"/>
          </w:tcPr>
          <w:p>
            <w:pPr>
              <w:pStyle w:val="TableText"/>
            </w:pPr>
            <w:r>
              <w:rPr>
                <w:rFonts w:ascii="Arial" w:hAnsi="Arial"/>
                <w:sz w:val="14"/>
              </w:rPr>
              <w:t>Significant institutions directly supervised by the ECB that use internal models for regulatory capital.</w:t>
            </w:r>
          </w:p>
        </w:tc>
      </w:tr>
      <w:tr>
        <w:tc>
          <w:tcPr>
            <w:tcW w:type="dxa" w:w="964"/>
          </w:tcPr>
          <w:p>
            <w:pPr>
              <w:pStyle w:val="TableText"/>
            </w:pPr>
            <w:r>
              <w:rPr>
                <w:rFonts w:ascii="Arial" w:hAnsi="Arial"/>
                <w:sz w:val="14"/>
              </w:rPr>
              <w:t>ECB-CRR</w:t>
            </w:r>
          </w:p>
        </w:tc>
        <w:tc>
          <w:tcPr>
            <w:tcW w:type="dxa" w:w="794"/>
          </w:tcPr>
          <w:p>
            <w:pPr>
              <w:pStyle w:val="TableText"/>
            </w:pPr>
            <w:r>
              <w:rPr>
                <w:rFonts w:ascii="Arial" w:hAnsi="Arial"/>
                <w:sz w:val="14"/>
              </w:rPr>
              <w:t>EU</w:t>
            </w:r>
          </w:p>
        </w:tc>
        <w:tc>
          <w:tcPr>
            <w:tcW w:type="dxa" w:w="2608"/>
          </w:tcPr>
          <w:p>
            <w:pPr>
              <w:pStyle w:val="TableText"/>
            </w:pPr>
            <w:r>
              <w:rPr>
                <w:rFonts w:ascii="Arial" w:hAnsi="Arial"/>
                <w:sz w:val="14"/>
              </w:rPr>
              <w:t>Regulation (EU) No 575/2013 (Capital Requirements Regulation), internal model provisions: Article 174 Use of models, Article 179 Overall requirements for estimation, Article 185 Validation of internal estimates, Article 188 Validation and documentation, Article 189 Corporate governance, Article 191 Internal audit</w:t>
            </w:r>
          </w:p>
        </w:tc>
        <w:tc>
          <w:tcPr>
            <w:tcW w:type="dxa" w:w="2494"/>
          </w:tcPr>
          <w:p>
            <w:pPr>
              <w:pStyle w:val="TableText"/>
            </w:pPr>
            <w:r>
              <w:rPr>
                <w:rFonts w:ascii="Arial" w:hAnsi="Arial"/>
                <w:sz w:val="14"/>
              </w:rPr>
              <w:t>Binding EU regulation, directly applicable in Member States. This is the binding law that the ECB guide interprets.</w:t>
            </w:r>
          </w:p>
        </w:tc>
        <w:tc>
          <w:tcPr>
            <w:tcW w:type="dxa" w:w="2551"/>
          </w:tcPr>
          <w:p>
            <w:pPr>
              <w:pStyle w:val="TableText"/>
            </w:pPr>
            <w:r>
              <w:rPr>
                <w:rFonts w:ascii="Arial" w:hAnsi="Arial"/>
                <w:sz w:val="14"/>
              </w:rPr>
              <w:t>Credit institutions and investment firms in the European Union.</w:t>
            </w:r>
          </w:p>
        </w:tc>
      </w:tr>
      <w:tr>
        <w:tc>
          <w:tcPr>
            <w:tcW w:type="dxa" w:w="964"/>
            <w:shd w:val="clear" w:color="auto" w:fill="F4F6FA"/>
          </w:tcPr>
          <w:p>
            <w:pPr>
              <w:pStyle w:val="TableText"/>
            </w:pPr>
            <w:r>
              <w:rPr>
                <w:rFonts w:ascii="Arial" w:hAnsi="Arial"/>
                <w:sz w:val="14"/>
              </w:rPr>
              <w:t>ECB-RDARR</w:t>
            </w:r>
          </w:p>
        </w:tc>
        <w:tc>
          <w:tcPr>
            <w:tcW w:type="dxa" w:w="794"/>
            <w:shd w:val="clear" w:color="auto" w:fill="F4F6FA"/>
          </w:tcPr>
          <w:p>
            <w:pPr>
              <w:pStyle w:val="TableText"/>
            </w:pPr>
            <w:r>
              <w:rPr>
                <w:rFonts w:ascii="Arial" w:hAnsi="Arial"/>
                <w:sz w:val="14"/>
              </w:rPr>
              <w:t>ECB</w:t>
            </w:r>
          </w:p>
        </w:tc>
        <w:tc>
          <w:tcPr>
            <w:tcW w:type="dxa" w:w="2608"/>
            <w:shd w:val="clear" w:color="auto" w:fill="F4F6FA"/>
          </w:tcPr>
          <w:p>
            <w:pPr>
              <w:pStyle w:val="TableText"/>
            </w:pPr>
            <w:r>
              <w:rPr>
                <w:rFonts w:ascii="Arial" w:hAnsi="Arial"/>
                <w:sz w:val="14"/>
              </w:rPr>
              <w:t>Guide on effective risk data aggregation and risk reporting</w:t>
            </w:r>
          </w:p>
        </w:tc>
        <w:tc>
          <w:tcPr>
            <w:tcW w:type="dxa" w:w="2494"/>
            <w:shd w:val="clear" w:color="auto" w:fill="F4F6FA"/>
          </w:tcPr>
          <w:p>
            <w:pPr>
              <w:pStyle w:val="TableText"/>
            </w:pPr>
            <w:r>
              <w:rPr>
                <w:rFonts w:ascii="Arial" w:hAnsi="Arial"/>
                <w:sz w:val="14"/>
              </w:rPr>
              <w:t>Supervisory guide. Sets out ECB expectations; not a legal act.</w:t>
            </w:r>
          </w:p>
        </w:tc>
        <w:tc>
          <w:tcPr>
            <w:tcW w:type="dxa" w:w="2551"/>
            <w:shd w:val="clear" w:color="auto" w:fill="F4F6FA"/>
          </w:tcPr>
          <w:p>
            <w:pPr>
              <w:pStyle w:val="TableText"/>
            </w:pPr>
            <w:r>
              <w:rPr>
                <w:rFonts w:ascii="Arial" w:hAnsi="Arial"/>
                <w:sz w:val="14"/>
              </w:rPr>
              <w:t>Significant institutions directly supervised by the ECB.</w:t>
            </w:r>
          </w:p>
        </w:tc>
      </w:tr>
      <w:tr>
        <w:tc>
          <w:tcPr>
            <w:tcW w:type="dxa" w:w="964"/>
          </w:tcPr>
          <w:p>
            <w:pPr>
              <w:pStyle w:val="TableText"/>
            </w:pPr>
            <w:r>
              <w:rPr>
                <w:rFonts w:ascii="Arial" w:hAnsi="Arial"/>
                <w:sz w:val="14"/>
              </w:rPr>
              <w:t>MAS-AIMRM-2024</w:t>
            </w:r>
          </w:p>
        </w:tc>
        <w:tc>
          <w:tcPr>
            <w:tcW w:type="dxa" w:w="794"/>
          </w:tcPr>
          <w:p>
            <w:pPr>
              <w:pStyle w:val="TableText"/>
            </w:pPr>
            <w:r>
              <w:rPr>
                <w:rFonts w:ascii="Arial" w:hAnsi="Arial"/>
                <w:sz w:val="14"/>
              </w:rPr>
              <w:t>MAS</w:t>
            </w:r>
          </w:p>
        </w:tc>
        <w:tc>
          <w:tcPr>
            <w:tcW w:type="dxa" w:w="2608"/>
          </w:tcPr>
          <w:p>
            <w:pPr>
              <w:pStyle w:val="TableText"/>
            </w:pPr>
            <w:r>
              <w:rPr>
                <w:rFonts w:ascii="Arial" w:hAnsi="Arial"/>
                <w:sz w:val="14"/>
              </w:rPr>
              <w:t>Artificial Intelligence Model Risk Management — Observations from a Thematic Review</w:t>
            </w:r>
          </w:p>
        </w:tc>
        <w:tc>
          <w:tcPr>
            <w:tcW w:type="dxa" w:w="2494"/>
          </w:tcPr>
          <w:p>
            <w:pPr>
              <w:pStyle w:val="TableText"/>
            </w:pPr>
            <w:r>
              <w:rPr>
                <w:rFonts w:ascii="Arial" w:hAnsi="Arial"/>
                <w:sz w:val="14"/>
              </w:rPr>
              <w:t>Information paper describing observed good practices. Not mandatory guidelines and not a Notice.</w:t>
            </w:r>
          </w:p>
        </w:tc>
        <w:tc>
          <w:tcPr>
            <w:tcW w:type="dxa" w:w="2551"/>
          </w:tcPr>
          <w:p>
            <w:pPr>
              <w:pStyle w:val="TableText"/>
            </w:pPr>
            <w:r>
              <w:rPr>
                <w:rFonts w:ascii="Arial" w:hAnsi="Arial"/>
                <w:sz w:val="14"/>
              </w:rPr>
              <w:t>Banks selected for the MAS thematic review; of general interest more broadly.</w:t>
            </w:r>
          </w:p>
        </w:tc>
      </w:tr>
      <w:tr>
        <w:tc>
          <w:tcPr>
            <w:tcW w:type="dxa" w:w="964"/>
            <w:shd w:val="clear" w:color="auto" w:fill="F4F6FA"/>
          </w:tcPr>
          <w:p>
            <w:pPr>
              <w:pStyle w:val="TableText"/>
            </w:pPr>
            <w:r>
              <w:rPr>
                <w:rFonts w:ascii="Arial" w:hAnsi="Arial"/>
                <w:sz w:val="14"/>
              </w:rPr>
              <w:t>MAS-FEAT</w:t>
            </w:r>
          </w:p>
        </w:tc>
        <w:tc>
          <w:tcPr>
            <w:tcW w:type="dxa" w:w="794"/>
            <w:shd w:val="clear" w:color="auto" w:fill="F4F6FA"/>
          </w:tcPr>
          <w:p>
            <w:pPr>
              <w:pStyle w:val="TableText"/>
            </w:pPr>
            <w:r>
              <w:rPr>
                <w:rFonts w:ascii="Arial" w:hAnsi="Arial"/>
                <w:sz w:val="14"/>
              </w:rPr>
              <w:t>MAS</w:t>
            </w:r>
          </w:p>
        </w:tc>
        <w:tc>
          <w:tcPr>
            <w:tcW w:type="dxa" w:w="2608"/>
            <w:shd w:val="clear" w:color="auto" w:fill="F4F6FA"/>
          </w:tcPr>
          <w:p>
            <w:pPr>
              <w:pStyle w:val="TableText"/>
            </w:pPr>
            <w:r>
              <w:rPr>
                <w:rFonts w:ascii="Arial" w:hAnsi="Arial"/>
                <w:sz w:val="14"/>
              </w:rPr>
              <w:t>Principles to Promote Fairness, Ethics, Accountability and Transparency (FEAT) in the Use of Artificial Intelligence and Data Analytics in Singapore's Financial Sector</w:t>
            </w:r>
          </w:p>
        </w:tc>
        <w:tc>
          <w:tcPr>
            <w:tcW w:type="dxa" w:w="2494"/>
            <w:shd w:val="clear" w:color="auto" w:fill="F4F6FA"/>
          </w:tcPr>
          <w:p>
            <w:pPr>
              <w:pStyle w:val="TableText"/>
            </w:pPr>
            <w:r>
              <w:rPr>
                <w:rFonts w:ascii="Arial" w:hAnsi="Arial"/>
                <w:sz w:val="14"/>
              </w:rPr>
              <w:t>Voluntary principles. Not binding.</w:t>
            </w:r>
          </w:p>
        </w:tc>
        <w:tc>
          <w:tcPr>
            <w:tcW w:type="dxa" w:w="2551"/>
            <w:shd w:val="clear" w:color="auto" w:fill="F4F6FA"/>
          </w:tcPr>
          <w:p>
            <w:pPr>
              <w:pStyle w:val="TableText"/>
            </w:pPr>
            <w:r>
              <w:rPr>
                <w:rFonts w:ascii="Arial" w:hAnsi="Arial"/>
                <w:sz w:val="14"/>
              </w:rPr>
              <w:t>Financial institutions in Singapore, on a voluntary basis.</w:t>
            </w:r>
          </w:p>
        </w:tc>
      </w:tr>
      <w:tr>
        <w:tc>
          <w:tcPr>
            <w:tcW w:type="dxa" w:w="964"/>
          </w:tcPr>
          <w:p>
            <w:pPr>
              <w:pStyle w:val="TableText"/>
            </w:pPr>
            <w:r>
              <w:rPr>
                <w:rFonts w:ascii="Arial" w:hAnsi="Arial"/>
                <w:sz w:val="14"/>
              </w:rPr>
              <w:t>MAS-NOTICE637</w:t>
            </w:r>
          </w:p>
        </w:tc>
        <w:tc>
          <w:tcPr>
            <w:tcW w:type="dxa" w:w="794"/>
          </w:tcPr>
          <w:p>
            <w:pPr>
              <w:pStyle w:val="TableText"/>
            </w:pPr>
            <w:r>
              <w:rPr>
                <w:rFonts w:ascii="Arial" w:hAnsi="Arial"/>
                <w:sz w:val="14"/>
              </w:rPr>
              <w:t>MAS</w:t>
            </w:r>
          </w:p>
        </w:tc>
        <w:tc>
          <w:tcPr>
            <w:tcW w:type="dxa" w:w="2608"/>
          </w:tcPr>
          <w:p>
            <w:pPr>
              <w:pStyle w:val="TableText"/>
            </w:pPr>
            <w:r>
              <w:rPr>
                <w:rFonts w:ascii="Arial" w:hAnsi="Arial"/>
                <w:sz w:val="14"/>
              </w:rPr>
              <w:t>MAS Notice 637 — Risk Based Capital Adequacy Requirements for Banks Incorporated in Singapore</w:t>
            </w:r>
          </w:p>
        </w:tc>
        <w:tc>
          <w:tcPr>
            <w:tcW w:type="dxa" w:w="2494"/>
          </w:tcPr>
          <w:p>
            <w:pPr>
              <w:pStyle w:val="TableText"/>
            </w:pPr>
            <w:r>
              <w:rPr>
                <w:rFonts w:ascii="Arial" w:hAnsi="Arial"/>
                <w:sz w:val="14"/>
              </w:rPr>
              <w:t>Binding Notice issued under the Banking Act. Legally enforceable in Singapore.</w:t>
            </w:r>
          </w:p>
        </w:tc>
        <w:tc>
          <w:tcPr>
            <w:tcW w:type="dxa" w:w="2551"/>
          </w:tcPr>
          <w:p>
            <w:pPr>
              <w:pStyle w:val="TableText"/>
            </w:pPr>
            <w:r>
              <w:rPr>
                <w:rFonts w:ascii="Arial" w:hAnsi="Arial"/>
                <w:sz w:val="14"/>
              </w:rPr>
              <w:t>Banks incorporated in Singapore.</w:t>
            </w:r>
          </w:p>
        </w:tc>
      </w:tr>
      <w:tr>
        <w:tc>
          <w:tcPr>
            <w:tcW w:type="dxa" w:w="964"/>
            <w:shd w:val="clear" w:color="auto" w:fill="F4F6FA"/>
          </w:tcPr>
          <w:p>
            <w:pPr>
              <w:pStyle w:val="TableText"/>
            </w:pPr>
            <w:r>
              <w:rPr>
                <w:rFonts w:ascii="Arial" w:hAnsi="Arial"/>
                <w:sz w:val="14"/>
              </w:rPr>
              <w:t>BCBS-239</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Principles for effective risk data aggregation and risk reporting (BCBS 239)</w:t>
            </w:r>
          </w:p>
        </w:tc>
        <w:tc>
          <w:tcPr>
            <w:tcW w:type="dxa" w:w="2494"/>
            <w:shd w:val="clear" w:color="auto" w:fill="F4F6FA"/>
          </w:tcPr>
          <w:p>
            <w:pPr>
              <w:pStyle w:val="TableText"/>
            </w:pPr>
            <w:r>
              <w:rPr>
                <w:rFonts w:ascii="Arial" w:hAnsi="Arial"/>
                <w:sz w:val="14"/>
              </w:rPr>
              <w:t>International standard. Not directly binding; effect depends on domestic implementation by national authorities.</w:t>
            </w:r>
          </w:p>
        </w:tc>
        <w:tc>
          <w:tcPr>
            <w:tcW w:type="dxa" w:w="2551"/>
            <w:shd w:val="clear" w:color="auto" w:fill="F4F6FA"/>
          </w:tcPr>
          <w:p>
            <w:pPr>
              <w:pStyle w:val="TableText"/>
            </w:pPr>
            <w:r>
              <w:rPr>
                <w:rFonts w:ascii="Arial" w:hAnsi="Arial"/>
                <w:sz w:val="14"/>
              </w:rPr>
              <w:t>Global systemically important banks, and domestic systemically important banks at national discretion.</w:t>
            </w:r>
          </w:p>
        </w:tc>
      </w:tr>
      <w:tr>
        <w:tc>
          <w:tcPr>
            <w:tcW w:type="dxa" w:w="964"/>
          </w:tcPr>
          <w:p>
            <w:pPr>
              <w:pStyle w:val="TableText"/>
            </w:pPr>
            <w:r>
              <w:rPr>
                <w:rFonts w:ascii="Arial" w:hAnsi="Arial"/>
                <w:sz w:val="14"/>
              </w:rPr>
              <w:t>BCBS-STRESS</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Stress testing principles</w:t>
            </w:r>
          </w:p>
        </w:tc>
        <w:tc>
          <w:tcPr>
            <w:tcW w:type="dxa" w:w="2494"/>
          </w:tcPr>
          <w:p>
            <w:pPr>
              <w:pStyle w:val="TableText"/>
            </w:pPr>
            <w:r>
              <w:rPr>
                <w:rFonts w:ascii="Arial" w:hAnsi="Arial"/>
                <w:sz w:val="14"/>
              </w:rPr>
              <w:t>International principles. Effect depends on domestic implementation.</w:t>
            </w:r>
          </w:p>
        </w:tc>
        <w:tc>
          <w:tcPr>
            <w:tcW w:type="dxa" w:w="2551"/>
          </w:tcPr>
          <w:p>
            <w:pPr>
              <w:pStyle w:val="TableText"/>
            </w:pPr>
            <w:r>
              <w:rPr>
                <w:rFonts w:ascii="Arial" w:hAnsi="Arial"/>
                <w:sz w:val="14"/>
              </w:rPr>
              <w:t>Banks and supervisors, applied proportionately.</w:t>
            </w:r>
          </w:p>
        </w:tc>
      </w:tr>
      <w:tr>
        <w:tc>
          <w:tcPr>
            <w:tcW w:type="dxa" w:w="964"/>
            <w:shd w:val="clear" w:color="auto" w:fill="F4F6FA"/>
          </w:tcPr>
          <w:p>
            <w:pPr>
              <w:pStyle w:val="TableText"/>
            </w:pPr>
            <w:r>
              <w:rPr>
                <w:rFonts w:ascii="Arial" w:hAnsi="Arial"/>
                <w:sz w:val="14"/>
              </w:rPr>
              <w:t>BCBS-FVP</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Supervisory guidance for assessing banks' financial instrument fair value practices</w:t>
            </w:r>
          </w:p>
        </w:tc>
        <w:tc>
          <w:tcPr>
            <w:tcW w:type="dxa" w:w="2494"/>
            <w:shd w:val="clear" w:color="auto" w:fill="F4F6FA"/>
          </w:tcPr>
          <w:p>
            <w:pPr>
              <w:pStyle w:val="TableText"/>
            </w:pPr>
            <w:r>
              <w:rPr>
                <w:rFonts w:ascii="Arial" w:hAnsi="Arial"/>
                <w:sz w:val="14"/>
              </w:rPr>
              <w:t>Supervisory guidance. Effect depends on domestic implementation.</w:t>
            </w:r>
          </w:p>
        </w:tc>
        <w:tc>
          <w:tcPr>
            <w:tcW w:type="dxa" w:w="2551"/>
            <w:shd w:val="clear" w:color="auto" w:fill="F4F6FA"/>
          </w:tcPr>
          <w:p>
            <w:pPr>
              <w:pStyle w:val="TableText"/>
            </w:pPr>
            <w:r>
              <w:rPr>
                <w:rFonts w:ascii="Arial" w:hAnsi="Arial"/>
                <w:sz w:val="14"/>
              </w:rPr>
              <w:t>Banks and supervisors.</w:t>
            </w:r>
          </w:p>
        </w:tc>
      </w:tr>
      <w:tr>
        <w:tc>
          <w:tcPr>
            <w:tcW w:type="dxa" w:w="964"/>
          </w:tcPr>
          <w:p>
            <w:pPr>
              <w:pStyle w:val="TableText"/>
            </w:pPr>
            <w:r>
              <w:rPr>
                <w:rFonts w:ascii="Arial" w:hAnsi="Arial"/>
                <w:sz w:val="14"/>
              </w:rPr>
              <w:t>BCBS-DIGI</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Digitalisation of finance</w:t>
            </w:r>
          </w:p>
        </w:tc>
        <w:tc>
          <w:tcPr>
            <w:tcW w:type="dxa" w:w="2494"/>
          </w:tcPr>
          <w:p>
            <w:pPr>
              <w:pStyle w:val="TableText"/>
            </w:pPr>
            <w:r>
              <w:rPr>
                <w:rFonts w:ascii="Arial" w:hAnsi="Arial"/>
                <w:sz w:val="14"/>
              </w:rPr>
              <w:t>Analytical report. Not a standard and not binding.</w:t>
            </w:r>
          </w:p>
        </w:tc>
        <w:tc>
          <w:tcPr>
            <w:tcW w:type="dxa" w:w="2551"/>
          </w:tcPr>
          <w:p>
            <w:pPr>
              <w:pStyle w:val="TableText"/>
            </w:pPr>
            <w:r>
              <w:rPr>
                <w:rFonts w:ascii="Arial" w:hAnsi="Arial"/>
                <w:sz w:val="14"/>
              </w:rPr>
              <w:t>Banks and supervisors.</w:t>
            </w:r>
          </w:p>
        </w:tc>
      </w:tr>
      <w:tr>
        <w:tc>
          <w:tcPr>
            <w:tcW w:type="dxa" w:w="964"/>
            <w:shd w:val="clear" w:color="auto" w:fill="F4F6FA"/>
          </w:tcPr>
          <w:p>
            <w:pPr>
              <w:pStyle w:val="TableText"/>
            </w:pPr>
            <w:r>
              <w:rPr>
                <w:rFonts w:ascii="Arial" w:hAnsi="Arial"/>
                <w:sz w:val="14"/>
              </w:rPr>
              <w:t>BCBS-AIML</w:t>
            </w:r>
          </w:p>
        </w:tc>
        <w:tc>
          <w:tcPr>
            <w:tcW w:type="dxa" w:w="794"/>
            <w:shd w:val="clear" w:color="auto" w:fill="F4F6FA"/>
          </w:tcPr>
          <w:p>
            <w:pPr>
              <w:pStyle w:val="TableText"/>
            </w:pPr>
            <w:r>
              <w:rPr>
                <w:rFonts w:ascii="Arial" w:hAnsi="Arial"/>
                <w:sz w:val="14"/>
              </w:rPr>
              <w:t>BCBS</w:t>
            </w:r>
          </w:p>
        </w:tc>
        <w:tc>
          <w:tcPr>
            <w:tcW w:type="dxa" w:w="2608"/>
            <w:shd w:val="clear" w:color="auto" w:fill="F4F6FA"/>
          </w:tcPr>
          <w:p>
            <w:pPr>
              <w:pStyle w:val="TableText"/>
            </w:pPr>
            <w:r>
              <w:rPr>
                <w:rFonts w:ascii="Arial" w:hAnsi="Arial"/>
                <w:sz w:val="14"/>
              </w:rPr>
              <w:t>Newsletter on artificial intelligence and machine learning</w:t>
            </w:r>
          </w:p>
        </w:tc>
        <w:tc>
          <w:tcPr>
            <w:tcW w:type="dxa" w:w="2494"/>
            <w:shd w:val="clear" w:color="auto" w:fill="F4F6FA"/>
          </w:tcPr>
          <w:p>
            <w:pPr>
              <w:pStyle w:val="TableText"/>
            </w:pPr>
            <w:r>
              <w:rPr>
                <w:rFonts w:ascii="Arial" w:hAnsi="Arial"/>
                <w:sz w:val="14"/>
              </w:rPr>
              <w:t>Supervisory newsletter. Not a standard.</w:t>
            </w:r>
          </w:p>
        </w:tc>
        <w:tc>
          <w:tcPr>
            <w:tcW w:type="dxa" w:w="2551"/>
            <w:shd w:val="clear" w:color="auto" w:fill="F4F6FA"/>
          </w:tcPr>
          <w:p>
            <w:pPr>
              <w:pStyle w:val="TableText"/>
            </w:pPr>
            <w:r>
              <w:rPr>
                <w:rFonts w:ascii="Arial" w:hAnsi="Arial"/>
                <w:sz w:val="14"/>
              </w:rPr>
              <w:t>Banks and supervisors.</w:t>
            </w:r>
          </w:p>
        </w:tc>
      </w:tr>
      <w:tr>
        <w:tc>
          <w:tcPr>
            <w:tcW w:type="dxa" w:w="964"/>
          </w:tcPr>
          <w:p>
            <w:pPr>
              <w:pStyle w:val="TableText"/>
            </w:pPr>
            <w:r>
              <w:rPr>
                <w:rFonts w:ascii="Arial" w:hAnsi="Arial"/>
                <w:sz w:val="14"/>
              </w:rPr>
              <w:t>BCBS-TPRM</w:t>
            </w:r>
          </w:p>
        </w:tc>
        <w:tc>
          <w:tcPr>
            <w:tcW w:type="dxa" w:w="794"/>
          </w:tcPr>
          <w:p>
            <w:pPr>
              <w:pStyle w:val="TableText"/>
            </w:pPr>
            <w:r>
              <w:rPr>
                <w:rFonts w:ascii="Arial" w:hAnsi="Arial"/>
                <w:sz w:val="14"/>
              </w:rPr>
              <w:t>BCBS</w:t>
            </w:r>
          </w:p>
        </w:tc>
        <w:tc>
          <w:tcPr>
            <w:tcW w:type="dxa" w:w="2608"/>
          </w:tcPr>
          <w:p>
            <w:pPr>
              <w:pStyle w:val="TableText"/>
            </w:pPr>
            <w:r>
              <w:rPr>
                <w:rFonts w:ascii="Arial" w:hAnsi="Arial"/>
                <w:sz w:val="14"/>
              </w:rPr>
              <w:t>Principles for the sound management of third-party risk (BCBS d605)</w:t>
            </w:r>
          </w:p>
        </w:tc>
        <w:tc>
          <w:tcPr>
            <w:tcW w:type="dxa" w:w="2494"/>
          </w:tcPr>
          <w:p>
            <w:pPr>
              <w:pStyle w:val="TableText"/>
            </w:pPr>
            <w:r>
              <w:rPr>
                <w:rFonts w:ascii="Arial" w:hAnsi="Arial"/>
                <w:sz w:val="14"/>
              </w:rPr>
              <w:t>International principles. Effect depends on domestic implementation.</w:t>
            </w:r>
          </w:p>
        </w:tc>
        <w:tc>
          <w:tcPr>
            <w:tcW w:type="dxa" w:w="2551"/>
          </w:tcPr>
          <w:p>
            <w:pPr>
              <w:pStyle w:val="TableText"/>
            </w:pPr>
            <w:r>
              <w:rPr>
                <w:rFonts w:ascii="Arial" w:hAnsi="Arial"/>
                <w:sz w:val="14"/>
              </w:rPr>
              <w:t>Primarily internationally active banks and their supervisors.</w:t>
            </w:r>
          </w:p>
        </w:tc>
      </w:tr>
      <w:tr>
        <w:tc>
          <w:tcPr>
            <w:tcW w:type="dxa" w:w="964"/>
            <w:shd w:val="clear" w:color="auto" w:fill="F4F6FA"/>
          </w:tcPr>
          <w:p>
            <w:pPr>
              <w:pStyle w:val="TableText"/>
            </w:pPr>
            <w:r>
              <w:rPr>
                <w:rFonts w:ascii="Arial" w:hAnsi="Arial"/>
                <w:sz w:val="14"/>
              </w:rPr>
              <w:t>FSB-AI-2024</w:t>
            </w:r>
          </w:p>
        </w:tc>
        <w:tc>
          <w:tcPr>
            <w:tcW w:type="dxa" w:w="794"/>
            <w:shd w:val="clear" w:color="auto" w:fill="F4F6FA"/>
          </w:tcPr>
          <w:p>
            <w:pPr>
              <w:pStyle w:val="TableText"/>
            </w:pPr>
            <w:r>
              <w:rPr>
                <w:rFonts w:ascii="Arial" w:hAnsi="Arial"/>
                <w:sz w:val="14"/>
              </w:rPr>
              <w:t>FSB</w:t>
            </w:r>
          </w:p>
        </w:tc>
        <w:tc>
          <w:tcPr>
            <w:tcW w:type="dxa" w:w="2608"/>
            <w:shd w:val="clear" w:color="auto" w:fill="F4F6FA"/>
          </w:tcPr>
          <w:p>
            <w:pPr>
              <w:pStyle w:val="TableText"/>
            </w:pPr>
            <w:r>
              <w:rPr>
                <w:rFonts w:ascii="Arial" w:hAnsi="Arial"/>
                <w:sz w:val="14"/>
              </w:rPr>
              <w:t>The Financial Stability Implications of Artificial Intelligence</w:t>
            </w:r>
          </w:p>
        </w:tc>
        <w:tc>
          <w:tcPr>
            <w:tcW w:type="dxa" w:w="2494"/>
            <w:shd w:val="clear" w:color="auto" w:fill="F4F6FA"/>
          </w:tcPr>
          <w:p>
            <w:pPr>
              <w:pStyle w:val="TableText"/>
            </w:pPr>
            <w:r>
              <w:rPr>
                <w:rFonts w:ascii="Arial" w:hAnsi="Arial"/>
                <w:sz w:val="14"/>
              </w:rPr>
              <w:t>Analytical report. Expressly not a standard.</w:t>
            </w:r>
          </w:p>
        </w:tc>
        <w:tc>
          <w:tcPr>
            <w:tcW w:type="dxa" w:w="2551"/>
            <w:shd w:val="clear" w:color="auto" w:fill="F4F6FA"/>
          </w:tcPr>
          <w:p>
            <w:pPr>
              <w:pStyle w:val="TableText"/>
            </w:pPr>
            <w:r>
              <w:rPr>
                <w:rFonts w:ascii="Arial" w:hAnsi="Arial"/>
                <w:sz w:val="14"/>
              </w:rPr>
              <w:t>The global financial system.</w:t>
            </w:r>
          </w:p>
        </w:tc>
      </w:tr>
      <w:tr>
        <w:tc>
          <w:tcPr>
            <w:tcW w:type="dxa" w:w="964"/>
          </w:tcPr>
          <w:p>
            <w:pPr>
              <w:pStyle w:val="TableText"/>
            </w:pPr>
            <w:r>
              <w:rPr>
                <w:rFonts w:ascii="Arial" w:hAnsi="Arial"/>
                <w:sz w:val="14"/>
              </w:rPr>
              <w:t>FSB-AI-2017</w:t>
            </w:r>
          </w:p>
        </w:tc>
        <w:tc>
          <w:tcPr>
            <w:tcW w:type="dxa" w:w="794"/>
          </w:tcPr>
          <w:p>
            <w:pPr>
              <w:pStyle w:val="TableText"/>
            </w:pPr>
            <w:r>
              <w:rPr>
                <w:rFonts w:ascii="Arial" w:hAnsi="Arial"/>
                <w:sz w:val="14"/>
              </w:rPr>
              <w:t>FSB</w:t>
            </w:r>
          </w:p>
        </w:tc>
        <w:tc>
          <w:tcPr>
            <w:tcW w:type="dxa" w:w="2608"/>
          </w:tcPr>
          <w:p>
            <w:pPr>
              <w:pStyle w:val="TableText"/>
            </w:pPr>
            <w:r>
              <w:rPr>
                <w:rFonts w:ascii="Arial" w:hAnsi="Arial"/>
                <w:sz w:val="14"/>
              </w:rPr>
              <w:t>Artificial intelligence and machine learning in financial services</w:t>
            </w:r>
          </w:p>
        </w:tc>
        <w:tc>
          <w:tcPr>
            <w:tcW w:type="dxa" w:w="2494"/>
          </w:tcPr>
          <w:p>
            <w:pPr>
              <w:pStyle w:val="TableText"/>
            </w:pPr>
            <w:r>
              <w:rPr>
                <w:rFonts w:ascii="Arial" w:hAnsi="Arial"/>
                <w:sz w:val="14"/>
              </w:rPr>
              <w:t>Analytical report. Not a standard.</w:t>
            </w:r>
          </w:p>
        </w:tc>
        <w:tc>
          <w:tcPr>
            <w:tcW w:type="dxa" w:w="2551"/>
          </w:tcPr>
          <w:p>
            <w:pPr>
              <w:pStyle w:val="TableText"/>
            </w:pPr>
            <w:r>
              <w:rPr>
                <w:rFonts w:ascii="Arial" w:hAnsi="Arial"/>
                <w:sz w:val="14"/>
              </w:rPr>
              <w:t>The global financial system.</w:t>
            </w:r>
          </w:p>
        </w:tc>
      </w:tr>
      <w:tr>
        <w:tc>
          <w:tcPr>
            <w:tcW w:type="dxa" w:w="964"/>
            <w:shd w:val="clear" w:color="auto" w:fill="F4F6FA"/>
          </w:tcPr>
          <w:p>
            <w:pPr>
              <w:pStyle w:val="TableText"/>
            </w:pPr>
            <w:r>
              <w:rPr>
                <w:rFonts w:ascii="Arial" w:hAnsi="Arial"/>
                <w:sz w:val="14"/>
              </w:rPr>
              <w:t>APRA-CPS220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220 Risk Management</w:t>
            </w:r>
          </w:p>
        </w:tc>
        <w:tc>
          <w:tcPr>
            <w:tcW w:type="dxa" w:w="2494"/>
            <w:shd w:val="clear" w:color="auto" w:fill="F4F6FA"/>
          </w:tcPr>
          <w:p>
            <w:pPr>
              <w:pStyle w:val="TableText"/>
            </w:pPr>
            <w:r>
              <w:rPr>
                <w:rFonts w:ascii="Arial" w:hAnsi="Arial"/>
                <w:sz w:val="14"/>
              </w:rPr>
              <w:t>Binding cross-industry prudential standard.</w:t>
            </w:r>
          </w:p>
        </w:tc>
        <w:tc>
          <w:tcPr>
            <w:tcW w:type="dxa" w:w="2551"/>
            <w:shd w:val="clear" w:color="auto" w:fill="F4F6FA"/>
          </w:tcPr>
          <w:p>
            <w:pPr>
              <w:pStyle w:val="TableText"/>
            </w:pPr>
            <w:r>
              <w:rPr>
                <w:rFonts w:ascii="Arial" w:hAnsi="Arial"/>
                <w:sz w:val="14"/>
              </w:rPr>
              <w:t>APRA-regulated entities as defined in CPS 220. SPS 220 is the RSE licensee counterpart.</w:t>
            </w:r>
          </w:p>
        </w:tc>
      </w:tr>
      <w:tr>
        <w:tc>
          <w:tcPr>
            <w:tcW w:type="dxa" w:w="964"/>
          </w:tcPr>
          <w:p>
            <w:pPr>
              <w:pStyle w:val="TableText"/>
            </w:pPr>
            <w:r>
              <w:rPr>
                <w:rFonts w:ascii="Arial" w:hAnsi="Arial"/>
                <w:sz w:val="14"/>
              </w:rPr>
              <w:t>APRA-SPS220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SPS 220 Risk Management</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RSE licensees.</w:t>
            </w:r>
          </w:p>
        </w:tc>
      </w:tr>
      <w:tr>
        <w:tc>
          <w:tcPr>
            <w:tcW w:type="dxa" w:w="964"/>
            <w:shd w:val="clear" w:color="auto" w:fill="F4F6FA"/>
          </w:tcPr>
          <w:p>
            <w:pPr>
              <w:pStyle w:val="TableText"/>
            </w:pPr>
            <w:r>
              <w:rPr>
                <w:rFonts w:ascii="Arial" w:hAnsi="Arial"/>
                <w:sz w:val="14"/>
              </w:rPr>
              <w:t>APRA-CPS230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230 Operational Risk Management</w:t>
            </w:r>
          </w:p>
        </w:tc>
        <w:tc>
          <w:tcPr>
            <w:tcW w:type="dxa" w:w="2494"/>
            <w:shd w:val="clear" w:color="auto" w:fill="F4F6FA"/>
          </w:tcPr>
          <w:p>
            <w:pPr>
              <w:pStyle w:val="TableText"/>
            </w:pPr>
            <w:r>
              <w:rPr>
                <w:rFonts w:ascii="Arial" w:hAnsi="Arial"/>
                <w:sz w:val="14"/>
              </w:rPr>
              <w:t>Binding cross-industry prudential standard.</w:t>
            </w:r>
          </w:p>
        </w:tc>
        <w:tc>
          <w:tcPr>
            <w:tcW w:type="dxa" w:w="2551"/>
            <w:shd w:val="clear" w:color="auto" w:fill="F4F6FA"/>
          </w:tcPr>
          <w:p>
            <w:pPr>
              <w:pStyle w:val="TableText"/>
            </w:pPr>
            <w:r>
              <w:rPr>
                <w:rFonts w:ascii="Arial" w:hAnsi="Arial"/>
                <w:sz w:val="14"/>
              </w:rPr>
              <w:t>APRA-regulated entities as defined in CPS 230.</w:t>
            </w:r>
          </w:p>
        </w:tc>
      </w:tr>
      <w:tr>
        <w:tc>
          <w:tcPr>
            <w:tcW w:type="dxa" w:w="964"/>
          </w:tcPr>
          <w:p>
            <w:pPr>
              <w:pStyle w:val="TableText"/>
            </w:pPr>
            <w:r>
              <w:rPr>
                <w:rFonts w:ascii="Arial" w:hAnsi="Arial"/>
                <w:sz w:val="14"/>
              </w:rPr>
              <w:t>APRA-CPS234</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CPS 234 Information Security</w:t>
            </w:r>
          </w:p>
        </w:tc>
        <w:tc>
          <w:tcPr>
            <w:tcW w:type="dxa" w:w="2494"/>
          </w:tcPr>
          <w:p>
            <w:pPr>
              <w:pStyle w:val="TableText"/>
            </w:pPr>
            <w:r>
              <w:rPr>
                <w:rFonts w:ascii="Arial" w:hAnsi="Arial"/>
                <w:sz w:val="14"/>
              </w:rPr>
              <w:t>Binding cross-industry prudential standard.</w:t>
            </w:r>
          </w:p>
        </w:tc>
        <w:tc>
          <w:tcPr>
            <w:tcW w:type="dxa" w:w="2551"/>
          </w:tcPr>
          <w:p>
            <w:pPr>
              <w:pStyle w:val="TableText"/>
            </w:pPr>
            <w:r>
              <w:rPr>
                <w:rFonts w:ascii="Arial" w:hAnsi="Arial"/>
                <w:sz w:val="14"/>
              </w:rPr>
              <w:t>APRA-regulated entities as defined in CPS 234.</w:t>
            </w:r>
          </w:p>
        </w:tc>
      </w:tr>
      <w:tr>
        <w:tc>
          <w:tcPr>
            <w:tcW w:type="dxa" w:w="964"/>
            <w:shd w:val="clear" w:color="auto" w:fill="F4F6FA"/>
          </w:tcPr>
          <w:p>
            <w:pPr>
              <w:pStyle w:val="TableText"/>
            </w:pPr>
            <w:r>
              <w:rPr>
                <w:rFonts w:ascii="Arial" w:hAnsi="Arial"/>
                <w:sz w:val="14"/>
              </w:rPr>
              <w:t>APRA-CPG235</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Practice Guide CPG 235 Managing Data Risk</w:t>
            </w:r>
          </w:p>
        </w:tc>
        <w:tc>
          <w:tcPr>
            <w:tcW w:type="dxa" w:w="2494"/>
            <w:shd w:val="clear" w:color="auto" w:fill="F4F6FA"/>
          </w:tcPr>
          <w:p>
            <w:pPr>
              <w:pStyle w:val="TableText"/>
            </w:pPr>
            <w:r>
              <w:rPr>
                <w:rFonts w:ascii="Arial" w:hAnsi="Arial"/>
                <w:sz w:val="14"/>
              </w:rPr>
              <w:t>Prudential practice guide. Non-enforceable guidance.</w:t>
            </w:r>
          </w:p>
        </w:tc>
        <w:tc>
          <w:tcPr>
            <w:tcW w:type="dxa" w:w="2551"/>
            <w:shd w:val="clear" w:color="auto" w:fill="F4F6FA"/>
          </w:tcPr>
          <w:p>
            <w:pPr>
              <w:pStyle w:val="TableText"/>
            </w:pPr>
            <w:r>
              <w:rPr>
                <w:rFonts w:ascii="Arial" w:hAnsi="Arial"/>
                <w:sz w:val="14"/>
              </w:rPr>
              <w:t>APRA-regulated entities.</w:t>
            </w:r>
          </w:p>
        </w:tc>
      </w:tr>
      <w:tr>
        <w:tc>
          <w:tcPr>
            <w:tcW w:type="dxa" w:w="964"/>
          </w:tcPr>
          <w:p>
            <w:pPr>
              <w:pStyle w:val="TableText"/>
            </w:pPr>
            <w:r>
              <w:rPr>
                <w:rFonts w:ascii="Arial" w:hAnsi="Arial"/>
                <w:sz w:val="14"/>
              </w:rPr>
              <w:t>APRA-APS113</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APS 113 Capital Adequacy: Internal Ratings-based Approach to Credit Risk</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ADIs approved by APRA to use the internal ratings-based approach.</w:t>
            </w:r>
          </w:p>
        </w:tc>
      </w:tr>
      <w:tr>
        <w:tc>
          <w:tcPr>
            <w:tcW w:type="dxa" w:w="964"/>
            <w:shd w:val="clear" w:color="auto" w:fill="F4F6FA"/>
          </w:tcPr>
          <w:p>
            <w:pPr>
              <w:pStyle w:val="TableText"/>
            </w:pPr>
            <w:r>
              <w:rPr>
                <w:rFonts w:ascii="Arial" w:hAnsi="Arial"/>
                <w:sz w:val="14"/>
              </w:rPr>
              <w:t>APRA-CPS320</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CPS 320 Actuarial and Related Matters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Insurers as defined in the standard.</w:t>
            </w:r>
          </w:p>
        </w:tc>
      </w:tr>
      <w:tr>
        <w:tc>
          <w:tcPr>
            <w:tcW w:type="dxa" w:w="964"/>
          </w:tcPr>
          <w:p>
            <w:pPr>
              <w:pStyle w:val="TableText"/>
            </w:pPr>
            <w:r>
              <w:rPr>
                <w:rFonts w:ascii="Arial" w:hAnsi="Arial"/>
                <w:sz w:val="14"/>
              </w:rPr>
              <w:t>APRA-SPS530</w:t>
            </w:r>
          </w:p>
        </w:tc>
        <w:tc>
          <w:tcPr>
            <w:tcW w:type="dxa" w:w="794"/>
          </w:tcPr>
          <w:p>
            <w:pPr>
              <w:pStyle w:val="TableText"/>
            </w:pPr>
            <w:r>
              <w:rPr>
                <w:rFonts w:ascii="Arial" w:hAnsi="Arial"/>
                <w:sz w:val="14"/>
              </w:rPr>
              <w:t>APRA</w:t>
            </w:r>
          </w:p>
        </w:tc>
        <w:tc>
          <w:tcPr>
            <w:tcW w:type="dxa" w:w="2608"/>
          </w:tcPr>
          <w:p>
            <w:pPr>
              <w:pStyle w:val="TableText"/>
            </w:pPr>
            <w:r>
              <w:rPr>
                <w:rFonts w:ascii="Arial" w:hAnsi="Arial"/>
                <w:sz w:val="14"/>
              </w:rPr>
              <w:t>Prudential Standard SPS 530 Investment Governance</w:t>
            </w:r>
          </w:p>
        </w:tc>
        <w:tc>
          <w:tcPr>
            <w:tcW w:type="dxa" w:w="2494"/>
          </w:tcPr>
          <w:p>
            <w:pPr>
              <w:pStyle w:val="TableText"/>
            </w:pPr>
            <w:r>
              <w:rPr>
                <w:rFonts w:ascii="Arial" w:hAnsi="Arial"/>
                <w:sz w:val="14"/>
              </w:rPr>
              <w:t>Binding prudential standard.</w:t>
            </w:r>
          </w:p>
        </w:tc>
        <w:tc>
          <w:tcPr>
            <w:tcW w:type="dxa" w:w="2551"/>
          </w:tcPr>
          <w:p>
            <w:pPr>
              <w:pStyle w:val="TableText"/>
            </w:pPr>
            <w:r>
              <w:rPr>
                <w:rFonts w:ascii="Arial" w:hAnsi="Arial"/>
                <w:sz w:val="14"/>
              </w:rPr>
              <w:t>RSE licensees.</w:t>
            </w:r>
          </w:p>
        </w:tc>
      </w:tr>
      <w:tr>
        <w:tc>
          <w:tcPr>
            <w:tcW w:type="dxa" w:w="964"/>
            <w:shd w:val="clear" w:color="auto" w:fill="F4F6FA"/>
          </w:tcPr>
          <w:p>
            <w:pPr>
              <w:pStyle w:val="TableText"/>
            </w:pPr>
            <w:r>
              <w:rPr>
                <w:rFonts w:ascii="Arial" w:hAnsi="Arial"/>
                <w:sz w:val="14"/>
              </w:rPr>
              <w:t>APRA-SPS515</w:t>
            </w:r>
          </w:p>
        </w:tc>
        <w:tc>
          <w:tcPr>
            <w:tcW w:type="dxa" w:w="794"/>
            <w:shd w:val="clear" w:color="auto" w:fill="F4F6FA"/>
          </w:tcPr>
          <w:p>
            <w:pPr>
              <w:pStyle w:val="TableText"/>
            </w:pPr>
            <w:r>
              <w:rPr>
                <w:rFonts w:ascii="Arial" w:hAnsi="Arial"/>
                <w:sz w:val="14"/>
              </w:rPr>
              <w:t>APRA</w:t>
            </w:r>
          </w:p>
        </w:tc>
        <w:tc>
          <w:tcPr>
            <w:tcW w:type="dxa" w:w="2608"/>
            <w:shd w:val="clear" w:color="auto" w:fill="F4F6FA"/>
          </w:tcPr>
          <w:p>
            <w:pPr>
              <w:pStyle w:val="TableText"/>
            </w:pPr>
            <w:r>
              <w:rPr>
                <w:rFonts w:ascii="Arial" w:hAnsi="Arial"/>
                <w:sz w:val="14"/>
              </w:rPr>
              <w:t>Prudential Standard SPS 515 Strategic Planning and Member Outcomes</w:t>
            </w:r>
          </w:p>
        </w:tc>
        <w:tc>
          <w:tcPr>
            <w:tcW w:type="dxa" w:w="2494"/>
            <w:shd w:val="clear" w:color="auto" w:fill="F4F6FA"/>
          </w:tcPr>
          <w:p>
            <w:pPr>
              <w:pStyle w:val="TableText"/>
            </w:pPr>
            <w:r>
              <w:rPr>
                <w:rFonts w:ascii="Arial" w:hAnsi="Arial"/>
                <w:sz w:val="14"/>
              </w:rPr>
              <w:t>Binding prudential standard.</w:t>
            </w:r>
          </w:p>
        </w:tc>
        <w:tc>
          <w:tcPr>
            <w:tcW w:type="dxa" w:w="2551"/>
            <w:shd w:val="clear" w:color="auto" w:fill="F4F6FA"/>
          </w:tcPr>
          <w:p>
            <w:pPr>
              <w:pStyle w:val="TableText"/>
            </w:pPr>
            <w:r>
              <w:rPr>
                <w:rFonts w:ascii="Arial" w:hAnsi="Arial"/>
                <w:sz w:val="14"/>
              </w:rPr>
              <w:t>RSE licensees.</w:t>
            </w:r>
          </w:p>
        </w:tc>
      </w:tr>
    </w:tbl>
    <w:sectPr w:rsidR="00FC693F" w:rsidRPr="0006063C" w:rsidSect="00034616">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tabs>
        <w:tab w:pos="9411" w:val="left"/>
      </w:tabs>
      <w:jc w:val="left"/>
    </w:pPr>
    <w:r>
      <w:rPr>
        <w:rFonts w:ascii="Arial" w:hAnsi="Arial"/>
        <w:color w:val="595959"/>
        <w:sz w:val="16"/>
      </w:rPr>
    </w:r>
    <w:r>
      <w:rPr>
        <w:rFonts w:ascii="Arial" w:hAnsi="Arial"/>
        <w:color w:val="595959"/>
        <w:sz w:val="16"/>
      </w:rPr>
      <w:t>Australian Prudential Regulation Authority</w:t>
      <w:tab/>
    </w:r>
    <w:r>
      <w:rPr>
        <w:rFonts w:ascii="Arial" w:hAnsi="Arial"/>
        <w:color w:val="595959"/>
        <w:sz w:val="16"/>
      </w:rPr>
      <w:t xml:space="preserve">Page </w:t>
    </w:r>
    <w:r>
      <w:rPr>
        <w:rFonts w:ascii="Arial" w:hAnsi="Arial"/>
        <w:color w:val="595959"/>
        <w:sz w:val="16"/>
      </w:rPr>
      <w:fldChar w:fldCharType="begin"/>
      <w:instrText xml:space="preserve"> PAGE </w:instrText>
      <w:fldChar w:fldCharType="end"/>
    </w:r>
    <w:r>
      <w:rPr>
        <w:rFonts w:ascii="Arial" w:hAnsi="Arial"/>
        <w:color w:val="595959"/>
        <w:sz w:val="16"/>
      </w:rPr>
      <w:t xml:space="preserve"> of </w:t>
    </w:r>
    <w:r>
      <w:rPr>
        <w:rFonts w:ascii="Arial" w:hAnsi="Arial"/>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jc w:val="right"/>
      <w:pBdr>
        <w:bottom w:val="single" w:sz="4" w:space="4" w:color="C7D0DF"/>
      </w:pBdr>
    </w:pPr>
    <w:r/>
    <w:r>
      <w:rPr>
        <w:rFonts w:ascii="Arial" w:hAnsi="Arial"/>
        <w:color w:val="595959"/>
        <w:sz w:val="16"/>
      </w:rPr>
      <w:t>CPG 240 Model Risk Management — POLICY DEVELOPMENT DRAFT — NOT IN FORCE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4" w:lineRule="auto"/>
      <w:outlineLvl w:val="0"/>
      <w:outlineLvl w:val="0"/>
      <w:keepNext/>
      <w:keepLines/>
    </w:pPr>
    <w:rPr>
      <w:rFonts w:ascii="Arial" w:hAnsi="Arial" w:eastAsia="Arial" w:cs="Arial"/>
      <w:b/>
      <w:bCs/>
      <w:i w:val="0"/>
      <w:color w:val="1B335F"/>
      <w:sz w:val="30"/>
      <w:szCs w:val="28"/>
    </w:rPr>
  </w:style>
  <w:style w:type="paragraph" w:styleId="Heading2">
    <w:name w:val="heading 2"/>
    <w:basedOn w:val="Normal"/>
    <w:next w:val="Normal"/>
    <w:link w:val="Heading2Char"/>
    <w:uiPriority w:val="9"/>
    <w:unhideWhenUsed/>
    <w:qFormat/>
    <w:rsid w:val="00FC693F"/>
    <w:pPr>
      <w:keepNext/>
      <w:keepLines/>
      <w:spacing w:before="220" w:after="80" w:line="254" w:lineRule="auto"/>
      <w:outlineLvl w:val="1"/>
      <w:outlineLvl w:val="1"/>
      <w:keepNext/>
      <w:keepLines/>
    </w:pPr>
    <w:rPr>
      <w:rFonts w:ascii="Arial" w:hAnsi="Arial" w:eastAsia="Arial" w:cs="Arial"/>
      <w:b/>
      <w:bCs/>
      <w:i w:val="0"/>
      <w:color w:val="2F5497"/>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4" w:lineRule="auto"/>
      <w:outlineLvl w:val="2"/>
      <w:outlineLvl w:val="2"/>
      <w:keepNext/>
      <w:keepLines/>
    </w:pPr>
    <w:rPr>
      <w:rFonts w:ascii="Arial" w:hAnsi="Arial" w:eastAsia="Arial" w:cs="Arial"/>
      <w:b/>
      <w:bCs/>
      <w:i w:val="0"/>
      <w:color w:val="2F54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40" w:after="160"/>
    </w:pPr>
    <w:rPr>
      <w:rFonts w:ascii="Arial" w:hAnsi="Arial" w:eastAsia="Arial" w:cs="Arial"/>
      <w:b w:val="0"/>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40" w:line="254" w:lineRule="auto"/>
    </w:pPr>
    <w:rPr>
      <w:rFonts w:ascii="Arial" w:hAnsi="Arial" w:eastAsia="Arial" w:cs="Arial"/>
      <w:b/>
      <w:i w:val="0"/>
      <w:color w:val="1B335F"/>
      <w:sz w:val="52"/>
    </w:rPr>
  </w:style>
  <w:style w:type="paragraph" w:customStyle="1" w:styleId="DocSubtitle">
    <w:name w:val="DocSubtitle"/>
    <w:basedOn w:val="Normal"/>
    <w:pPr>
      <w:spacing w:before="0" w:after="40" w:line="254" w:lineRule="auto"/>
    </w:pPr>
    <w:rPr>
      <w:rFonts w:ascii="Arial" w:hAnsi="Arial" w:eastAsia="Arial" w:cs="Arial"/>
      <w:b w:val="0"/>
      <w:i w:val="0"/>
      <w:color w:val="2F5497"/>
      <w:sz w:val="26"/>
    </w:rPr>
  </w:style>
  <w:style w:type="paragraph" w:customStyle="1" w:styleId="DocMeta">
    <w:name w:val="DocMeta"/>
    <w:basedOn w:val="Normal"/>
    <w:pPr>
      <w:spacing w:before="0" w:after="40" w:line="254" w:lineRule="auto"/>
    </w:pPr>
    <w:rPr>
      <w:rFonts w:ascii="Arial" w:hAnsi="Arial" w:eastAsia="Arial" w:cs="Arial"/>
      <w:b w:val="0"/>
      <w:i w:val="0"/>
      <w:color w:val="595959"/>
      <w:sz w:val="18"/>
    </w:rPr>
  </w:style>
  <w:style w:type="paragraph" w:customStyle="1" w:styleId="Requirement">
    <w:name w:val="Requirement"/>
    <w:basedOn w:val="Normal"/>
    <w:pPr>
      <w:spacing w:before="60" w:after="120" w:line="254" w:lineRule="auto"/>
      <w:keepNext/>
      <w:keepLines/>
    </w:pPr>
    <w:rPr>
      <w:rFonts w:ascii="Arial" w:hAnsi="Arial" w:eastAsia="Arial" w:cs="Arial"/>
      <w:b/>
      <w:i w:val="0"/>
      <w:sz w:val="20"/>
    </w:rPr>
  </w:style>
  <w:style w:type="paragraph" w:customStyle="1" w:styleId="Guidance">
    <w:name w:val="Guidance"/>
    <w:basedOn w:val="Normal"/>
    <w:pPr>
      <w:spacing w:before="0" w:after="120" w:line="254" w:lineRule="auto"/>
    </w:pPr>
    <w:rPr>
      <w:rFonts w:ascii="Arial" w:hAnsi="Arial" w:eastAsia="Arial" w:cs="Arial"/>
      <w:b w:val="0"/>
      <w:i w:val="0"/>
      <w:sz w:val="20"/>
    </w:rPr>
  </w:style>
  <w:style w:type="paragraph" w:customStyle="1" w:styleId="ContentsHead">
    <w:name w:val="ContentsHead"/>
    <w:basedOn w:val="Normal"/>
    <w:pPr>
      <w:spacing w:before="80" w:after="40" w:line="254" w:lineRule="auto"/>
    </w:pPr>
    <w:rPr>
      <w:rFonts w:ascii="Arial" w:hAnsi="Arial" w:eastAsia="Arial" w:cs="Arial"/>
      <w:b/>
      <w:i w:val="0"/>
      <w:color w:val="1B335F"/>
      <w:sz w:val="20"/>
    </w:rPr>
  </w:style>
  <w:style w:type="paragraph" w:customStyle="1" w:styleId="ContentsItem">
    <w:name w:val="ContentsItem"/>
    <w:basedOn w:val="Normal"/>
    <w:pPr>
      <w:spacing w:before="0" w:after="20" w:line="254" w:lineRule="auto"/>
      <w:ind w:left="340"/>
    </w:pPr>
    <w:rPr>
      <w:rFonts w:ascii="Arial" w:hAnsi="Arial" w:eastAsia="Arial" w:cs="Arial"/>
      <w:b w:val="0"/>
      <w:i w:val="0"/>
      <w:sz w:val="20"/>
    </w:rPr>
  </w:style>
  <w:style w:type="paragraph" w:customStyle="1" w:styleId="CrossRef">
    <w:name w:val="CrossRef"/>
    <w:basedOn w:val="Normal"/>
    <w:pPr>
      <w:spacing w:before="0" w:after="160" w:line="254" w:lineRule="auto"/>
    </w:pPr>
    <w:rPr>
      <w:rFonts w:ascii="Arial" w:hAnsi="Arial" w:eastAsia="Arial" w:cs="Arial"/>
      <w:b w:val="0"/>
      <w:i/>
      <w:color w:val="2F5497"/>
      <w:sz w:val="18"/>
    </w:rPr>
  </w:style>
  <w:style w:type="paragraph" w:customStyle="1" w:styleId="SourceNote">
    <w:name w:val="SourceNote"/>
    <w:basedOn w:val="Normal"/>
    <w:pPr>
      <w:spacing w:before="0" w:after="80" w:line="254" w:lineRule="auto"/>
    </w:pPr>
    <w:rPr>
      <w:rFonts w:ascii="Arial" w:hAnsi="Arial" w:eastAsia="Arial" w:cs="Arial"/>
      <w:b w:val="0"/>
      <w:i/>
      <w:color w:val="595959"/>
      <w:sz w:val="18"/>
    </w:rPr>
  </w:style>
  <w:style w:type="paragraph" w:customStyle="1" w:styleId="Verification">
    <w:name w:val="Verification"/>
    <w:basedOn w:val="Normal"/>
    <w:pPr>
      <w:spacing w:before="0" w:after="160" w:line="254" w:lineRule="auto"/>
    </w:pPr>
    <w:rPr>
      <w:rFonts w:ascii="Arial" w:hAnsi="Arial" w:eastAsia="Arial" w:cs="Arial"/>
      <w:b w:val="0"/>
      <w:i w:val="0"/>
      <w:color w:val="9C6300"/>
      <w:sz w:val="18"/>
    </w:rPr>
  </w:style>
  <w:style w:type="paragraph" w:customStyle="1" w:styleId="Bullet">
    <w:name w:val="Bullet"/>
    <w:basedOn w:val="Normal"/>
    <w:pPr>
      <w:spacing w:before="0" w:after="60" w:line="254" w:lineRule="auto"/>
      <w:ind w:left="312"/>
    </w:pPr>
    <w:rPr>
      <w:rFonts w:ascii="Arial" w:hAnsi="Arial" w:eastAsia="Arial" w:cs="Arial"/>
      <w:b w:val="0"/>
      <w:i w:val="0"/>
      <w:sz w:val="20"/>
    </w:rPr>
  </w:style>
  <w:style w:type="paragraph" w:customStyle="1" w:styleId="TableText">
    <w:name w:val="TableText"/>
    <w:basedOn w:val="Normal"/>
    <w:pPr>
      <w:spacing w:before="20" w:after="20" w:line="254" w:lineRule="auto"/>
    </w:pPr>
    <w:rPr>
      <w:rFonts w:ascii="Arial" w:hAnsi="Arial" w:eastAsia="Arial" w:cs="Arial"/>
      <w:b w:val="0"/>
      <w:i w:val="0"/>
      <w:sz w:val="17"/>
    </w:rPr>
  </w:style>
  <w:style w:type="paragraph" w:customStyle="1" w:styleId="TableHead">
    <w:name w:val="TableHead"/>
    <w:basedOn w:val="Normal"/>
    <w:pPr>
      <w:spacing w:before="20" w:after="20" w:line="254" w:lineRule="auto"/>
    </w:pPr>
    <w:rPr>
      <w:rFonts w:ascii="Arial" w:hAnsi="Arial" w:eastAsia="Arial" w:cs="Arial"/>
      <w:b/>
      <w:i w:val="0"/>
      <w:color w:val="FFFFFF"/>
      <w:sz w:val="17"/>
    </w:rPr>
  </w:style>
  <w:style w:type="paragraph" w:customStyle="1" w:styleId="GuideBody">
    <w:name w:val="GuideBody"/>
    <w:basedOn w:val="Normal"/>
    <w:pPr>
      <w:spacing w:before="0" w:after="120" w:line="254" w:lineRule="auto"/>
    </w:pPr>
    <w:rPr>
      <w:rFonts w:ascii="Arial" w:hAnsi="Arial" w:eastAsia="Arial" w:cs="Arial"/>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