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240</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240'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240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Terms defined in Annex A have the meaning given in that Annex.</w:t>
      </w:r>
    </w:p>
    <w:p>
      <w:pPr>
        <w:pStyle w:val="Heading1"/>
      </w:pPr>
      <w:r>
        <w:t>Contents</w:t>
      </w:r>
    </w:p>
    <w:p>
      <w:pPr>
        <w:pStyle w:val="ContentsHead"/>
      </w:pPr>
      <w:r>
        <w:t>Part A — Application and interpretation</w:t>
      </w:r>
    </w:p>
    <w:p>
      <w:pPr>
        <w:pStyle w:val="ContentsItem"/>
      </w:pPr>
      <w:r>
        <w:t>1. Application and scope  (M01–M03)</w:t>
      </w:r>
    </w:p>
    <w:p>
      <w:pPr>
        <w:pStyle w:val="ContentsItem"/>
      </w:pPr>
      <w:r>
        <w:t>2. Proportionality  (M04)</w:t>
      </w:r>
    </w:p>
    <w:p>
      <w:pPr>
        <w:pStyle w:val="ContentsHead"/>
      </w:pPr>
      <w:r>
        <w:t>Part B — Governance and accountability</w:t>
      </w:r>
    </w:p>
    <w:p>
      <w:pPr>
        <w:pStyle w:val="ContentsItem"/>
      </w:pPr>
      <w:r>
        <w:t>3. Board and senior management  (M05–M07)</w:t>
      </w:r>
    </w:p>
    <w:p>
      <w:pPr>
        <w:pStyle w:val="ContentsItem"/>
      </w:pPr>
      <w:r>
        <w:t>4. Capability and independence  (M08)</w:t>
      </w:r>
    </w:p>
    <w:p>
      <w:pPr>
        <w:pStyle w:val="ContentsHead"/>
      </w:pPr>
      <w:r>
        <w:t>Part C — Framework, appetite and policy</w:t>
      </w:r>
    </w:p>
    <w:p>
      <w:pPr>
        <w:pStyle w:val="ContentsItem"/>
      </w:pPr>
      <w:r>
        <w:t>5. Model risk management framework  (M09–M11)</w:t>
      </w:r>
    </w:p>
    <w:p>
      <w:pPr>
        <w:pStyle w:val="ContentsItem"/>
      </w:pPr>
      <w:r>
        <w:t>6. Reporting and escalation  (M12)</w:t>
      </w:r>
    </w:p>
    <w:p>
      <w:pPr>
        <w:pStyle w:val="ContentsHead"/>
      </w:pPr>
      <w:r>
        <w:t>Part D — Identification, inventory and tiering</w:t>
      </w:r>
    </w:p>
    <w:p>
      <w:pPr>
        <w:pStyle w:val="ContentsItem"/>
      </w:pPr>
      <w:r>
        <w:t>7. Inventory  (M13)</w:t>
      </w:r>
    </w:p>
    <w:p>
      <w:pPr>
        <w:pStyle w:val="ContentsItem"/>
      </w:pPr>
      <w:r>
        <w:t>8. Tiering  (M14–M15)</w:t>
      </w:r>
    </w:p>
    <w:p>
      <w:pPr>
        <w:pStyle w:val="ContentsHead"/>
      </w:pPr>
      <w:r>
        <w:t>Part E — Development, data and documentation</w:t>
      </w:r>
    </w:p>
    <w:p>
      <w:pPr>
        <w:pStyle w:val="ContentsItem"/>
      </w:pPr>
      <w:r>
        <w:t>9. Development  (M16)</w:t>
      </w:r>
    </w:p>
    <w:p>
      <w:pPr>
        <w:pStyle w:val="ContentsItem"/>
      </w:pPr>
      <w:r>
        <w:t>10. Data  (M17)</w:t>
      </w:r>
    </w:p>
    <w:p>
      <w:pPr>
        <w:pStyle w:val="ContentsItem"/>
      </w:pPr>
      <w:r>
        <w:t>11. Documentation  (M18)</w:t>
      </w:r>
    </w:p>
    <w:p>
      <w:pPr>
        <w:pStyle w:val="ContentsHead"/>
      </w:pPr>
      <w:r>
        <w:t>Part F — Testing, validation and approval</w:t>
      </w:r>
    </w:p>
    <w:p>
      <w:pPr>
        <w:pStyle w:val="ContentsItem"/>
      </w:pPr>
      <w:r>
        <w:t>12. Testing before use  (M19)</w:t>
      </w:r>
    </w:p>
    <w:p>
      <w:pPr>
        <w:pStyle w:val="ContentsItem"/>
      </w:pPr>
      <w:r>
        <w:t>13. Independent validation  (M20–M22)</w:t>
      </w:r>
    </w:p>
    <w:p>
      <w:pPr>
        <w:pStyle w:val="ContentsItem"/>
      </w:pPr>
      <w:r>
        <w:t>14. Approval  (M23)</w:t>
      </w:r>
    </w:p>
    <w:p>
      <w:pPr>
        <w:pStyle w:val="ContentsHead"/>
      </w:pPr>
      <w:r>
        <w:t>Part G — Implementation, use and change</w:t>
      </w:r>
    </w:p>
    <w:p>
      <w:pPr>
        <w:pStyle w:val="ContentsItem"/>
      </w:pPr>
      <w:r>
        <w:t>15. Implementation  (M24)</w:t>
      </w:r>
    </w:p>
    <w:p>
      <w:pPr>
        <w:pStyle w:val="ContentsItem"/>
      </w:pPr>
      <w:r>
        <w:t>16. Change  (M25)</w:t>
      </w:r>
    </w:p>
    <w:p>
      <w:pPr>
        <w:pStyle w:val="ContentsItem"/>
      </w:pPr>
      <w:r>
        <w:t>17. Use  (M26–M27)</w:t>
      </w:r>
    </w:p>
    <w:p>
      <w:pPr>
        <w:pStyle w:val="ContentsItem"/>
      </w:pPr>
      <w:r>
        <w:t>18. Monitoring  (M28–M29)</w:t>
      </w:r>
    </w:p>
    <w:p>
      <w:pPr>
        <w:pStyle w:val="ContentsItem"/>
      </w:pPr>
      <w:r>
        <w:t>19. Retirement  (M30)</w:t>
      </w:r>
    </w:p>
    <w:p>
      <w:pPr>
        <w:pStyle w:val="ContentsHead"/>
      </w:pPr>
      <w:r>
        <w:t>Part H — Third-party and AI models</w:t>
      </w:r>
    </w:p>
    <w:p>
      <w:pPr>
        <w:pStyle w:val="ContentsItem"/>
      </w:pPr>
      <w:r>
        <w:t>20. Third-party models  (M31–M32)</w:t>
      </w:r>
    </w:p>
    <w:p>
      <w:pPr>
        <w:pStyle w:val="ContentsItem"/>
      </w:pPr>
      <w:r>
        <w:t>21. AI and machine learning models  (M33–M34)</w:t>
      </w:r>
    </w:p>
    <w:p>
      <w:pPr>
        <w:pStyle w:val="ContentsHead"/>
      </w:pPr>
      <w:r>
        <w:t>Part I — Specialist model classes</w:t>
      </w:r>
    </w:p>
    <w:p>
      <w:pPr>
        <w:pStyle w:val="ContentsItem"/>
      </w:pPr>
      <w:r>
        <w:t>22. Regulatory capital models  (M35)</w:t>
      </w:r>
    </w:p>
    <w:p>
      <w:pPr>
        <w:pStyle w:val="ContentsItem"/>
      </w:pPr>
      <w:r>
        <w:t>23. Valuation and financial reporting models  (M36)</w:t>
      </w:r>
    </w:p>
    <w:p>
      <w:pPr>
        <w:pStyle w:val="ContentsItem"/>
      </w:pPr>
      <w:r>
        <w:t>24. Actuarial and insurance models  (M37)</w:t>
      </w:r>
    </w:p>
    <w:p>
      <w:pPr>
        <w:pStyle w:val="ContentsItem"/>
      </w:pPr>
      <w:r>
        <w:t>25. Superannuation models  (M38)</w:t>
      </w:r>
    </w:p>
    <w:p>
      <w:pPr>
        <w:pStyle w:val="ContentsItem"/>
      </w:pPr>
      <w:r>
        <w:t>26. Stress testing and scenario models  (M39)</w:t>
      </w:r>
    </w:p>
    <w:p>
      <w:pPr>
        <w:pStyle w:val="ContentsHead"/>
      </w:pPr>
      <w:r>
        <w:t>Part J — Aggregate risk, records and assurance</w:t>
      </w:r>
    </w:p>
    <w:p>
      <w:pPr>
        <w:pStyle w:val="ContentsItem"/>
      </w:pPr>
      <w:r>
        <w:t>27. Aggregate model risk  (M40)</w:t>
      </w:r>
    </w:p>
    <w:p>
      <w:pPr>
        <w:pStyle w:val="ContentsItem"/>
      </w:pPr>
      <w:r>
        <w:t>28. Records  (M41)</w:t>
      </w:r>
    </w:p>
    <w:p>
      <w:pPr>
        <w:pStyle w:val="ContentsItem"/>
      </w:pPr>
      <w:r>
        <w:t>29. Assurance  (M42)</w:t>
      </w:r>
    </w:p>
    <w:p>
      <w:pPr>
        <w:pStyle w:val="ContentsItem"/>
      </w:pPr>
      <w:r>
        <w:t>30. APRA engagement  (M43)</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compliance and human resources — and across all purposes, whether or not the model produces a regulatory number.</w:t>
      </w:r>
    </w:p>
    <w:p>
      <w:pPr>
        <w:pStyle w:val="CrossRef"/>
      </w:pPr>
      <w:r>
        <w:rPr>
          <w:i/>
        </w:rPr>
        <w:t>→ Guidance: CPG 240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240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240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and must document, time-bound, approve at an authority commensurate with the risk, and periodically review any exception to or reduction of the controls otherwise required.</w:t>
      </w:r>
    </w:p>
    <w:p>
      <w:pPr>
        <w:pStyle w:val="Guidance"/>
      </w:pPr>
      <w:r>
        <w:t>Proportionality changes the depth, frequency and formality of controls. It does not change whether a model must be identified, owned, classified or capable of being explained to the Board and to APRA.</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240 paragraphs 17, 22–23.</w:t>
      </w:r>
    </w:p>
    <w:p>
      <w:pPr>
        <w:pStyle w:val="Heading1"/>
      </w:pPr>
      <w:r>
        <w:t>Part B — Governance and accountability</w:t>
      </w:r>
    </w:p>
    <w:p>
      <w:pPr>
        <w:pStyle w:val="Heading2"/>
      </w:pPr>
      <w:r>
        <w:t>3. Board and senior management</w:t>
      </w:r>
    </w:p>
    <w:p>
      <w:pPr>
        <w:pStyle w:val="Heading3"/>
      </w:pPr>
      <w:r>
        <w:t>M05 — Board oversight of model risk</w:t>
      </w:r>
    </w:p>
    <w:p>
      <w:pPr>
        <w:pStyle w:val="Requirement"/>
      </w:pPr>
      <w:r>
        <w:rPr>
          <w:b/>
        </w:rPr>
        <w:t>M05.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240 paragraphs 26–27, 29.</w:t>
      </w:r>
    </w:p>
    <w:p>
      <w:pPr>
        <w:pStyle w:val="Heading3"/>
      </w:pPr>
      <w:r>
        <w:t>M06 — Senior accountability for the framework</w:t>
      </w:r>
    </w:p>
    <w:p>
      <w:pPr>
        <w:pStyle w:val="Requirement"/>
      </w:pPr>
      <w:r>
        <w:rPr>
          <w:b/>
        </w:rPr>
        <w:t>M06.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240 paragraphs 30–31.</w:t>
      </w:r>
    </w:p>
    <w:p>
      <w:pPr>
        <w:pStyle w:val="Heading3"/>
      </w:pPr>
      <w:r>
        <w:t>M07 — Model ownership and defined lifecycle roles</w:t>
      </w:r>
    </w:p>
    <w:p>
      <w:pPr>
        <w:pStyle w:val="Requirement"/>
      </w:pPr>
      <w:r>
        <w:rPr>
          <w:b/>
        </w:rPr>
        <w:t>M07. An APRA-regulated entity must assign, for each model, a model owner accountable for the model throughout its lifecycle, and must define the roles, responsibilities and required independence of developers, validators, approvers, users and those responsible for monitoring.</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240 paragraphs 32–33.</w:t>
      </w:r>
    </w:p>
    <w:p>
      <w:pPr>
        <w:pStyle w:val="Heading2"/>
      </w:pPr>
      <w:r>
        <w:t>4. Capability and independence</w:t>
      </w:r>
    </w:p>
    <w:p>
      <w:pPr>
        <w:pStyle w:val="Heading3"/>
      </w:pPr>
      <w:r>
        <w:t>M08 — Capability, resourcing and independence</w:t>
      </w:r>
    </w:p>
    <w:p>
      <w:pPr>
        <w:pStyle w:val="Requirement"/>
      </w:pPr>
      <w:r>
        <w:rPr>
          <w:b/>
        </w:rPr>
        <w:t>M08.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240 paragraphs 34–36.</w:t>
      </w:r>
    </w:p>
    <w:p>
      <w:pPr>
        <w:pStyle w:val="Heading1"/>
      </w:pPr>
      <w:r>
        <w:t>Part C — Framework, appetite and policy</w:t>
      </w:r>
    </w:p>
    <w:p>
      <w:pPr>
        <w:pStyle w:val="Heading2"/>
      </w:pPr>
      <w:r>
        <w:t>5. Model risk management framework</w:t>
      </w:r>
    </w:p>
    <w:p>
      <w:pPr>
        <w:pStyle w:val="Heading3"/>
      </w:pPr>
      <w:r>
        <w:t>M09 — Integrated model risk management framework</w:t>
      </w:r>
    </w:p>
    <w:p>
      <w:pPr>
        <w:pStyle w:val="Requirement"/>
      </w:pPr>
      <w:r>
        <w:rPr>
          <w:b/>
        </w:rPr>
        <w:t>M09.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240 paragraphs 37–38.</w:t>
      </w:r>
    </w:p>
    <w:p>
      <w:pPr>
        <w:pStyle w:val="Heading3"/>
      </w:pPr>
      <w:r>
        <w:t>M10 — Model risk appetite and limits</w:t>
      </w:r>
    </w:p>
    <w:p>
      <w:pPr>
        <w:pStyle w:val="Requirement"/>
      </w:pPr>
      <w:r>
        <w:rPr>
          <w:b/>
        </w:rPr>
        <w:t>M10.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240 paragraphs 39–41.</w:t>
      </w:r>
    </w:p>
    <w:p>
      <w:pPr>
        <w:pStyle w:val="Heading3"/>
      </w:pPr>
      <w:r>
        <w:t>M11 — Policy, standards and consistency of application</w:t>
      </w:r>
    </w:p>
    <w:p>
      <w:pPr>
        <w:pStyle w:val="Requirement"/>
      </w:pPr>
      <w:r>
        <w:rPr>
          <w:b/>
        </w:rPr>
        <w:t>M11.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240 paragraphs 42–43.</w:t>
      </w:r>
    </w:p>
    <w:p>
      <w:pPr>
        <w:pStyle w:val="Heading2"/>
      </w:pPr>
      <w:r>
        <w:t>6. Reporting and escalation</w:t>
      </w:r>
    </w:p>
    <w:p>
      <w:pPr>
        <w:pStyle w:val="Heading3"/>
      </w:pPr>
      <w:r>
        <w:t>M12 — Management information and escalation</w:t>
      </w:r>
    </w:p>
    <w:p>
      <w:pPr>
        <w:pStyle w:val="Requirement"/>
      </w:pPr>
      <w:r>
        <w:rPr>
          <w:b/>
        </w:rPr>
        <w:t>M12.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240 paragraphs 27–28, 81.</w:t>
      </w:r>
    </w:p>
    <w:p>
      <w:pPr>
        <w:pStyle w:val="Heading1"/>
      </w:pPr>
      <w:r>
        <w:t>Part D — Identification, inventory and tiering</w:t>
      </w:r>
    </w:p>
    <w:p>
      <w:pPr>
        <w:pStyle w:val="Heading2"/>
      </w:pPr>
      <w:r>
        <w:t>7. Inventory</w:t>
      </w:r>
    </w:p>
    <w:p>
      <w:pPr>
        <w:pStyle w:val="Heading3"/>
      </w:pPr>
      <w:r>
        <w:t>M13 — Model identification and enterprise inventory</w:t>
      </w:r>
    </w:p>
    <w:p>
      <w:pPr>
        <w:pStyle w:val="Requirement"/>
      </w:pPr>
      <w:r>
        <w:rPr>
          <w:b/>
        </w:rPr>
        <w:t>M13. An APRA-regulated entity must maintain a complete, accurate and current enterprise-wide inventory of its models, including models supplied by third parties, models embedded in acquired systems, models under development and models that have been retired but whose outputs remain in use.</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240 paragraphs 44–48.</w:t>
      </w:r>
    </w:p>
    <w:p>
      <w:pPr>
        <w:pStyle w:val="Heading2"/>
      </w:pPr>
      <w:r>
        <w:t>8. Tiering</w:t>
      </w:r>
    </w:p>
    <w:p>
      <w:pPr>
        <w:pStyle w:val="Heading3"/>
      </w:pPr>
      <w:r>
        <w:t>M14 — Model risk tiering</w:t>
      </w:r>
    </w:p>
    <w:p>
      <w:pPr>
        <w:pStyle w:val="Requirement"/>
      </w:pPr>
      <w:r>
        <w:rPr>
          <w:b/>
        </w:rPr>
        <w:t>M14.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240 paragraphs 17–21.</w:t>
      </w:r>
    </w:p>
    <w:p>
      <w:pPr>
        <w:pStyle w:val="Heading3"/>
      </w:pPr>
      <w:r>
        <w:t>M15 — Reassessment and trigger events</w:t>
      </w:r>
    </w:p>
    <w:p>
      <w:pPr>
        <w:pStyle w:val="Requirement"/>
      </w:pPr>
      <w:r>
        <w:rPr>
          <w:b/>
        </w:rPr>
        <w:t>M15.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240 paragraphs 24–25.</w:t>
      </w:r>
    </w:p>
    <w:p>
      <w:pPr>
        <w:pStyle w:val="Heading1"/>
      </w:pPr>
      <w:r>
        <w:t>Part E — Development, data and documentation</w:t>
      </w:r>
    </w:p>
    <w:p>
      <w:pPr>
        <w:pStyle w:val="Heading2"/>
      </w:pPr>
      <w:r>
        <w:t>9. Development</w:t>
      </w:r>
    </w:p>
    <w:p>
      <w:pPr>
        <w:pStyle w:val="Heading3"/>
      </w:pPr>
      <w:r>
        <w:t>M16 — Conceptual soundness and development standards</w:t>
      </w:r>
    </w:p>
    <w:p>
      <w:pPr>
        <w:pStyle w:val="Requirement"/>
      </w:pPr>
      <w:r>
        <w:rPr>
          <w:b/>
        </w:rPr>
        <w:t>M16.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240 paragraphs 49–52.</w:t>
      </w:r>
    </w:p>
    <w:p>
      <w:pPr>
        <w:pStyle w:val="Heading2"/>
      </w:pPr>
      <w:r>
        <w:t>10. Data</w:t>
      </w:r>
    </w:p>
    <w:p>
      <w:pPr>
        <w:pStyle w:val="Heading3"/>
      </w:pPr>
      <w:r>
        <w:t>M17 — Data quality, provenance and appropriateness</w:t>
      </w:r>
    </w:p>
    <w:p>
      <w:pPr>
        <w:pStyle w:val="Requirement"/>
      </w:pPr>
      <w:r>
        <w:rPr>
          <w:b/>
        </w:rPr>
        <w:t>M17.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240 paragraphs 53–56.</w:t>
      </w:r>
    </w:p>
    <w:p>
      <w:pPr>
        <w:pStyle w:val="Heading2"/>
      </w:pPr>
      <w:r>
        <w:t>11. Documentation</w:t>
      </w:r>
    </w:p>
    <w:p>
      <w:pPr>
        <w:pStyle w:val="Heading3"/>
      </w:pPr>
      <w:r>
        <w:t>M18 — Documentation sufficient for independent reconstruction</w:t>
      </w:r>
    </w:p>
    <w:p>
      <w:pPr>
        <w:pStyle w:val="Requirement"/>
      </w:pPr>
      <w:r>
        <w:rPr>
          <w:b/>
        </w:rPr>
        <w:t>M18.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240 paragraphs 57–58.</w:t>
      </w:r>
    </w:p>
    <w:p>
      <w:pPr>
        <w:pStyle w:val="Heading1"/>
      </w:pPr>
      <w:r>
        <w:t>Part F — Testing, validation and approval</w:t>
      </w:r>
    </w:p>
    <w:p>
      <w:pPr>
        <w:pStyle w:val="Heading2"/>
      </w:pPr>
      <w:r>
        <w:t>12. Testing before use</w:t>
      </w:r>
    </w:p>
    <w:p>
      <w:pPr>
        <w:pStyle w:val="Heading3"/>
      </w:pPr>
      <w:r>
        <w:t>M19 — Pre-implementation testing</w:t>
      </w:r>
    </w:p>
    <w:p>
      <w:pPr>
        <w:pStyle w:val="Requirement"/>
      </w:pPr>
      <w:r>
        <w:rPr>
          <w:b/>
        </w:rPr>
        <w:t>M19.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240 paragraphs 59–61.</w:t>
      </w:r>
    </w:p>
    <w:p>
      <w:pPr>
        <w:pStyle w:val="Heading2"/>
      </w:pPr>
      <w:r>
        <w:t>13. Independent validation</w:t>
      </w:r>
    </w:p>
    <w:p>
      <w:pPr>
        <w:pStyle w:val="Heading3"/>
      </w:pPr>
      <w:r>
        <w:t>M20 — Independent validation</w:t>
      </w:r>
    </w:p>
    <w:p>
      <w:pPr>
        <w:pStyle w:val="Requirement"/>
      </w:pPr>
      <w:r>
        <w:rPr>
          <w:b/>
        </w:rPr>
        <w:t>M20.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240 paragraphs 69.</w:t>
      </w:r>
    </w:p>
    <w:p>
      <w:pPr>
        <w:pStyle w:val="Heading3"/>
      </w:pPr>
      <w:r>
        <w:t>M21 — Scope of validation</w:t>
      </w:r>
    </w:p>
    <w:p>
      <w:pPr>
        <w:pStyle w:val="Requirement"/>
      </w:pPr>
      <w:r>
        <w:rPr>
          <w:b/>
        </w:rPr>
        <w:t>M21. Validation of a model must address conceptual soundness, outcomes analysis comparing model outputs with corresponding actual outcomes, and ongoing model monitoring, and must reach an explicit conclusion on the model's fitness for its intended use together with any conditions or limitations.</w:t>
      </w:r>
    </w:p>
    <w:p>
      <w:pPr>
        <w:pStyle w:val="Guidance"/>
      </w:pPr>
      <w:r>
        <w:t>These three elements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240 paragraphs 62–65.</w:t>
      </w:r>
    </w:p>
    <w:p>
      <w:pPr>
        <w:pStyle w:val="Heading3"/>
      </w:pPr>
      <w:r>
        <w:t>M22 — Effective challenge</w:t>
      </w:r>
    </w:p>
    <w:p>
      <w:pPr>
        <w:pStyle w:val="Requirement"/>
      </w:pPr>
      <w:r>
        <w:rPr>
          <w:b/>
        </w:rPr>
        <w:t>M22.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Effective challenge depends on three things together: the challenger must know enough to find the problem, must be senior and independent enough for the finding to carry weight, and must be rewarded for raising it rather than for clearing models. Removing any one of the three defeats the control.</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240 paragraphs 66–68.</w:t>
      </w:r>
    </w:p>
    <w:p>
      <w:pPr>
        <w:pStyle w:val="Heading2"/>
      </w:pPr>
      <w:r>
        <w:t>14. Approval</w:t>
      </w:r>
    </w:p>
    <w:p>
      <w:pPr>
        <w:pStyle w:val="Heading3"/>
      </w:pPr>
      <w:r>
        <w:t>M23 — Approval and conditions of use</w:t>
      </w:r>
    </w:p>
    <w:p>
      <w:pPr>
        <w:pStyle w:val="Requirement"/>
      </w:pPr>
      <w:r>
        <w:rPr>
          <w:b/>
        </w:rPr>
        <w:t>M23.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240 paragraphs 70–72.</w:t>
      </w:r>
    </w:p>
    <w:p>
      <w:pPr>
        <w:pStyle w:val="Heading1"/>
      </w:pPr>
      <w:r>
        <w:t>Part G — Implementation, use and change</w:t>
      </w:r>
    </w:p>
    <w:p>
      <w:pPr>
        <w:pStyle w:val="Heading2"/>
      </w:pPr>
      <w:r>
        <w:t>15. Implementation</w:t>
      </w:r>
    </w:p>
    <w:p>
      <w:pPr>
        <w:pStyle w:val="Heading3"/>
      </w:pPr>
      <w:r>
        <w:t>M24 — Implementation controls</w:t>
      </w:r>
    </w:p>
    <w:p>
      <w:pPr>
        <w:pStyle w:val="Requirement"/>
      </w:pPr>
      <w:r>
        <w:rPr>
          <w:b/>
        </w:rPr>
        <w:t>M24.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240 paragraphs 64, 73–74.</w:t>
      </w:r>
    </w:p>
    <w:p>
      <w:pPr>
        <w:pStyle w:val="Heading2"/>
      </w:pPr>
      <w:r>
        <w:t>16. Change</w:t>
      </w:r>
    </w:p>
    <w:p>
      <w:pPr>
        <w:pStyle w:val="Heading3"/>
      </w:pPr>
      <w:r>
        <w:t>M25 — Change management and re-approval</w:t>
      </w:r>
    </w:p>
    <w:p>
      <w:pPr>
        <w:pStyle w:val="Requirement"/>
      </w:pPr>
      <w:r>
        <w:rPr>
          <w:b/>
        </w:rPr>
        <w:t>M25.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240 paragraphs 75–76, 99.</w:t>
      </w:r>
    </w:p>
    <w:p>
      <w:pPr>
        <w:pStyle w:val="Heading2"/>
      </w:pPr>
      <w:r>
        <w:t>17. Use</w:t>
      </w:r>
    </w:p>
    <w:p>
      <w:pPr>
        <w:pStyle w:val="Heading3"/>
      </w:pPr>
      <w:r>
        <w:t>M26 — Use consistent with approved purpose</w:t>
      </w:r>
    </w:p>
    <w:p>
      <w:pPr>
        <w:pStyle w:val="Requirement"/>
      </w:pPr>
      <w:r>
        <w:rPr>
          <w:b/>
        </w:rPr>
        <w:t>M26.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240 paragraphs 77–78.</w:t>
      </w:r>
    </w:p>
    <w:p>
      <w:pPr>
        <w:pStyle w:val="Heading3"/>
      </w:pPr>
      <w:r>
        <w:t>M27 — Overlays, adjustments and expert judgement</w:t>
      </w:r>
    </w:p>
    <w:p>
      <w:pPr>
        <w:pStyle w:val="Requirement"/>
      </w:pPr>
      <w:r>
        <w:rPr>
          <w:b/>
        </w:rPr>
        <w:t>M27.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240 paragraphs 79–81.</w:t>
      </w:r>
    </w:p>
    <w:p>
      <w:pPr>
        <w:pStyle w:val="Heading2"/>
      </w:pPr>
      <w:r>
        <w:t>18. Monitoring</w:t>
      </w:r>
    </w:p>
    <w:p>
      <w:pPr>
        <w:pStyle w:val="Heading3"/>
      </w:pPr>
      <w:r>
        <w:t>M28 — Ongoing performance monitoring</w:t>
      </w:r>
    </w:p>
    <w:p>
      <w:pPr>
        <w:pStyle w:val="Requirement"/>
      </w:pPr>
      <w:r>
        <w:rPr>
          <w:b/>
        </w:rPr>
        <w:t>M28.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240 paragraphs 82–84.</w:t>
      </w:r>
    </w:p>
    <w:p>
      <w:pPr>
        <w:pStyle w:val="Heading3"/>
      </w:pPr>
      <w:r>
        <w:t>M29 — Limitations, compensating controls and remediation</w:t>
      </w:r>
    </w:p>
    <w:p>
      <w:pPr>
        <w:pStyle w:val="Requirement"/>
      </w:pPr>
      <w:r>
        <w:rPr>
          <w:b/>
        </w:rPr>
        <w:t>M29. An APRA-regulated entity must record known model limitations and deficiencies, apply compensating controls where a limitation is material and not immediately resolvable, track remediation to completion against owners and dates, and escalate overdue or unresolved material findings.</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240 paragraphs 72, 85–86.</w:t>
      </w:r>
    </w:p>
    <w:p>
      <w:pPr>
        <w:pStyle w:val="Heading2"/>
      </w:pPr>
      <w:r>
        <w:t>19. Retirement</w:t>
      </w:r>
    </w:p>
    <w:p>
      <w:pPr>
        <w:pStyle w:val="Heading3"/>
      </w:pPr>
      <w:r>
        <w:t>M30 — Restriction, suspension and decommissioning</w:t>
      </w:r>
    </w:p>
    <w:p>
      <w:pPr>
        <w:pStyle w:val="Requirement"/>
      </w:pPr>
      <w:r>
        <w:rPr>
          <w:b/>
        </w:rPr>
        <w:t>M30. An APRA-regulated entity must be able to restrict, suspend, replace or decommission a model that is unfit for its purpose, and must manage decommissioning so that dependent processes, downstream models and outputs that remain in force are addressed and records are retained.</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240 paragraphs 87–88.</w:t>
      </w:r>
    </w:p>
    <w:p>
      <w:pPr>
        <w:pStyle w:val="Heading1"/>
      </w:pPr>
      <w:r>
        <w:t>Part H — Third-party and AI models</w:t>
      </w:r>
    </w:p>
    <w:p>
      <w:pPr>
        <w:pStyle w:val="Heading2"/>
      </w:pPr>
      <w:r>
        <w:t>20. Third-party models</w:t>
      </w:r>
    </w:p>
    <w:p>
      <w:pPr>
        <w:pStyle w:val="Heading3"/>
      </w:pPr>
      <w:r>
        <w:t>M31 — Vendor and externally developed models</w:t>
      </w:r>
    </w:p>
    <w:p>
      <w:pPr>
        <w:pStyle w:val="Requirement"/>
      </w:pPr>
      <w:r>
        <w:rPr>
          <w:b/>
        </w:rPr>
        <w:t>M31. An APRA-regulated entity must apply this Prudential Standard to models supplied, hosted or operated by third parties, and must obtain information sufficient to understand the model's design, data, assumptions, limitations and performance, or implement compensating controls where that information cannot be obtained.</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240 paragraphs 15, 69, 89–91.</w:t>
      </w:r>
    </w:p>
    <w:p>
      <w:pPr>
        <w:pStyle w:val="Heading3"/>
      </w:pPr>
      <w:r>
        <w:t>M32 — Information rights, concentration and substitutability</w:t>
      </w:r>
    </w:p>
    <w:p>
      <w:pPr>
        <w:pStyle w:val="Requirement"/>
      </w:pPr>
      <w:r>
        <w:rPr>
          <w:b/>
        </w:rPr>
        <w:t>M32.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arising from common models, data sources, platforms and providers.</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240 paragraphs 92–94.</w:t>
      </w:r>
    </w:p>
    <w:p>
      <w:pPr>
        <w:pStyle w:val="Heading2"/>
      </w:pPr>
      <w:r>
        <w:t>21. AI and machine learning models</w:t>
      </w:r>
    </w:p>
    <w:p>
      <w:pPr>
        <w:pStyle w:val="Heading3"/>
      </w:pPr>
      <w:r>
        <w:t>M33 — Additional controls for AI and machine learning models</w:t>
      </w:r>
    </w:p>
    <w:p>
      <w:pPr>
        <w:pStyle w:val="Requirement"/>
      </w:pPr>
      <w:r>
        <w:rPr>
          <w:b/>
        </w:rPr>
        <w:t>M33. Where a model uses artificial intelligence or machine learning techniques, an APRA-regulated entity must address the additional risks arising from those techniques, including limited explainability, sensitivity to data drift, instability under retraining, feature leakage, potential for biased outcomes,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240 paragraphs 56, 95–100.</w:t>
      </w:r>
    </w:p>
    <w:p>
      <w:pPr>
        <w:pStyle w:val="Heading3"/>
      </w:pPr>
      <w:r>
        <w:t>M34 — Boundary with the AI risk management framework</w:t>
      </w:r>
    </w:p>
    <w:p>
      <w:pPr>
        <w:pStyle w:val="Requirement"/>
      </w:pPr>
      <w:r>
        <w:rPr>
          <w:b/>
        </w:rPr>
        <w:t>M34. An APRA-regulated entity must apply this Prudential Standard to any artificial intelligence system that meets the definition of a model, must apply its AI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240 paragraphs 101–103.</w:t>
      </w:r>
    </w:p>
    <w:p>
      <w:pPr>
        <w:pStyle w:val="Heading1"/>
      </w:pPr>
      <w:r>
        <w:t>Part I — Specialist model classes</w:t>
      </w:r>
    </w:p>
    <w:p>
      <w:pPr>
        <w:pStyle w:val="Heading2"/>
      </w:pPr>
      <w:r>
        <w:t>22. Regulatory capital models</w:t>
      </w:r>
    </w:p>
    <w:p>
      <w:pPr>
        <w:pStyle w:val="Heading3"/>
      </w:pPr>
      <w:r>
        <w:t>M35 — Models used to determine regulatory capital</w:t>
      </w:r>
    </w:p>
    <w:p>
      <w:pPr>
        <w:pStyle w:val="Requirement"/>
      </w:pPr>
      <w:r>
        <w:rPr>
          <w:b/>
        </w:rPr>
        <w:t>M35.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standard so requires, and must ensure the model is used in the entity's internal risk management.</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240 paragraphs 104–105.</w:t>
      </w:r>
    </w:p>
    <w:p>
      <w:pPr>
        <w:pStyle w:val="Heading2"/>
      </w:pPr>
      <w:r>
        <w:t>23. Valuation and financial reporting models</w:t>
      </w:r>
    </w:p>
    <w:p>
      <w:pPr>
        <w:pStyle w:val="Heading3"/>
      </w:pPr>
      <w:r>
        <w:t>M36 — Valuation and financial reporting models</w:t>
      </w:r>
    </w:p>
    <w:p>
      <w:pPr>
        <w:pStyle w:val="Requirement"/>
      </w:pPr>
      <w:r>
        <w:rPr>
          <w:b/>
        </w:rPr>
        <w:t>M36.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240 paragraphs 106–107.</w:t>
      </w:r>
    </w:p>
    <w:p>
      <w:pPr>
        <w:pStyle w:val="Heading2"/>
      </w:pPr>
      <w:r>
        <w:t>24. Actuarial and insurance models</w:t>
      </w:r>
    </w:p>
    <w:p>
      <w:pPr>
        <w:pStyle w:val="Heading3"/>
      </w:pPr>
      <w:r>
        <w:t>M37 — Actuarial, reserving and insurance liability models</w:t>
      </w:r>
    </w:p>
    <w:p>
      <w:pPr>
        <w:pStyle w:val="Requirement"/>
      </w:pPr>
      <w:r>
        <w:rPr>
          <w:b/>
        </w:rPr>
        <w:t>M37. An APRA-regulated insurer must apply this Prudential Standard to models used to determine insurance liabilities, premiums, reinsurance recoveries and capital, and must ensure that the role of the Appointed Actuary and this Prudential Standard's validation requirements operate together without gaps in independent review.</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240 paragraphs 108–109.</w:t>
      </w:r>
    </w:p>
    <w:p>
      <w:pPr>
        <w:pStyle w:val="Heading2"/>
      </w:pPr>
      <w:r>
        <w:t>25. Superannuation models</w:t>
      </w:r>
    </w:p>
    <w:p>
      <w:pPr>
        <w:pStyle w:val="Heading3"/>
      </w:pPr>
      <w:r>
        <w:t>M38 — Models used by RSE licensees</w:t>
      </w:r>
    </w:p>
    <w:p>
      <w:pPr>
        <w:pStyle w:val="Requirement"/>
      </w:pPr>
      <w:r>
        <w:rPr>
          <w:b/>
        </w:rPr>
        <w:t>M38.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240 paragraphs 110–111.</w:t>
      </w:r>
    </w:p>
    <w:p>
      <w:pPr>
        <w:pStyle w:val="Heading2"/>
      </w:pPr>
      <w:r>
        <w:t>26. Stress testing and scenario models</w:t>
      </w:r>
    </w:p>
    <w:p>
      <w:pPr>
        <w:pStyle w:val="Heading3"/>
      </w:pPr>
      <w:r>
        <w:t>M39 — Stress testing, scenario and capital planning models</w:t>
      </w:r>
    </w:p>
    <w:p>
      <w:pPr>
        <w:pStyle w:val="Requirement"/>
      </w:pPr>
      <w:r>
        <w:rPr>
          <w:b/>
        </w:rPr>
        <w:t>M39.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240 paragraphs 112–113.</w:t>
      </w:r>
    </w:p>
    <w:p>
      <w:pPr>
        <w:pStyle w:val="Heading1"/>
      </w:pPr>
      <w:r>
        <w:t>Part J — Aggregate risk, records and assurance</w:t>
      </w:r>
    </w:p>
    <w:p>
      <w:pPr>
        <w:pStyle w:val="Heading2"/>
      </w:pPr>
      <w:r>
        <w:t>27. Aggregate model risk</w:t>
      </w:r>
    </w:p>
    <w:p>
      <w:pPr>
        <w:pStyle w:val="Heading3"/>
      </w:pPr>
      <w:r>
        <w:t>M40 — Aggregate assessment of model risk</w:t>
      </w:r>
    </w:p>
    <w:p>
      <w:pPr>
        <w:pStyle w:val="Requirement"/>
      </w:pPr>
      <w:r>
        <w:rPr>
          <w:b/>
        </w:rPr>
        <w:t>M40. An APRA-regulated entity must assess model risk in aggregate across its model portfolio, must consider the effect of that aggregate risk in its internal capital assessment,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240 paragraphs 41, 114–116.</w:t>
      </w:r>
    </w:p>
    <w:p>
      <w:pPr>
        <w:pStyle w:val="Heading2"/>
      </w:pPr>
      <w:r>
        <w:t>28. Records</w:t>
      </w:r>
    </w:p>
    <w:p>
      <w:pPr>
        <w:pStyle w:val="Heading3"/>
      </w:pPr>
      <w:r>
        <w:t>M41 — Records and reconstructability</w:t>
      </w:r>
    </w:p>
    <w:p>
      <w:pPr>
        <w:pStyle w:val="Requirement"/>
      </w:pPr>
      <w:r>
        <w:rPr>
          <w:b/>
        </w:rPr>
        <w:t>M41.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240 paragraphs 117–118.</w:t>
      </w:r>
    </w:p>
    <w:p>
      <w:pPr>
        <w:pStyle w:val="Heading2"/>
      </w:pPr>
      <w:r>
        <w:t>29. Assurance</w:t>
      </w:r>
    </w:p>
    <w:p>
      <w:pPr>
        <w:pStyle w:val="Heading3"/>
      </w:pPr>
      <w:r>
        <w:t>M42 — Internal audit and independent assurance</w:t>
      </w:r>
    </w:p>
    <w:p>
      <w:pPr>
        <w:pStyle w:val="Requirement"/>
      </w:pPr>
      <w:r>
        <w:rPr>
          <w:b/>
        </w:rPr>
        <w:t>M42.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240 paragraphs 68, 119–120.</w:t>
      </w:r>
    </w:p>
    <w:p>
      <w:pPr>
        <w:pStyle w:val="Heading2"/>
      </w:pPr>
      <w:r>
        <w:t>30. APRA engagement</w:t>
      </w:r>
    </w:p>
    <w:p>
      <w:pPr>
        <w:pStyle w:val="Heading3"/>
      </w:pPr>
      <w:r>
        <w:t>M43 — Notification and provision of information to APRA</w:t>
      </w:r>
    </w:p>
    <w:p>
      <w:pPr>
        <w:pStyle w:val="Requirement"/>
      </w:pPr>
      <w:r>
        <w:rPr>
          <w:b/>
        </w:rPr>
        <w:t>M43. An APRA-regulated entity must notify APRA of a model failure or model risk event that has, or is likely to have, a material impact on its financial position, its regulatory reporting or its ability to meet its prudential obligations, and must provide APRA with information relating to its models and model risk management on request.</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240 paragraphs 121–122.</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 A model comprises an information input component, a processing component and a reporting component.</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whose failure or misuse could have a non-negligible effect on the entity's financial position, regulatory obligations, customers, beneficiaries or critical operations.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analysis by parties with the competence to identify deficiencies, the standing for their findings to carry weight, and incentives that reward raising issues.</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An APRA-regulated entity's model inventory must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a price or an employment outcome.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240)</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Firms set their own definition; Principle 1.1 requires one, and requires consideration of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Model inventory</w:t>
            </w:r>
          </w:p>
        </w:tc>
        <w:tc>
          <w:tcPr>
            <w:tcW w:type="dxa" w:w="1757"/>
            <w:shd w:val="clear" w:color="auto" w:fill="F4F6FA"/>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shd w:val="clear" w:color="auto" w:fill="F4F6FA"/>
          </w:tcPr>
          <w:p>
            <w:pPr>
              <w:pStyle w:val="TableText"/>
            </w:pPr>
            <w:r>
              <w:rPr>
                <w:rFonts w:ascii="Arial" w:hAnsi="Arial"/>
                <w:sz w:val="14"/>
              </w:rPr>
              <w:t>Described as common industry practice rather than an expectation.</w:t>
            </w:r>
          </w:p>
        </w:tc>
        <w:tc>
          <w:tcPr>
            <w:tcW w:type="dxa" w:w="1701"/>
            <w:shd w:val="clear" w:color="auto" w:fill="F4F6FA"/>
          </w:tcPr>
          <w:p>
            <w:pPr>
              <w:pStyle w:val="TableText"/>
            </w:pPr>
            <w:r>
              <w:rPr>
                <w:rFonts w:ascii="Arial" w:hAnsi="Arial"/>
                <w:sz w:val="14"/>
              </w:rPr>
              <w:t>Principle 1.2 requires a model inventory.</w:t>
            </w:r>
          </w:p>
        </w:tc>
        <w:tc>
          <w:tcPr>
            <w:tcW w:type="dxa" w:w="1701"/>
            <w:shd w:val="clear" w:color="auto" w:fill="F4F6FA"/>
          </w:tcPr>
          <w:p>
            <w:pPr>
              <w:pStyle w:val="TableText"/>
            </w:pPr>
            <w:r>
              <w:rPr>
                <w:rFonts w:ascii="Arial" w:hAnsi="Arial"/>
                <w:sz w:val="14"/>
              </w:rPr>
              <w:t>Principle 2.1 requires identification and tracking of all models in use or recently decommissioned.</w:t>
            </w:r>
          </w:p>
        </w:tc>
        <w:tc>
          <w:tcPr>
            <w:tcW w:type="dxa" w:w="1701"/>
            <w:shd w:val="clear" w:color="auto" w:fill="F4F6FA"/>
          </w:tcPr>
          <w:p>
            <w:pPr>
              <w:pStyle w:val="TableText"/>
            </w:pPr>
            <w:r>
              <w:rPr>
                <w:rFonts w:ascii="Arial" w:hAnsi="Arial"/>
                <w:sz w:val="14"/>
              </w:rPr>
              <w:t>Model register expected for internal models.</w:t>
            </w:r>
          </w:p>
        </w:tc>
        <w:tc>
          <w:tcPr>
            <w:tcW w:type="dxa" w:w="1644"/>
            <w:shd w:val="clear" w:color="auto" w:fill="F4F6FA"/>
          </w:tcPr>
          <w:p>
            <w:pPr>
              <w:pStyle w:val="TableText"/>
            </w:pPr>
            <w:r>
              <w:rPr>
                <w:rFonts w:ascii="Arial" w:hAnsi="Arial"/>
                <w:sz w:val="14"/>
              </w:rPr>
              <w:t>Expected for capital models; inventories observed in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of AI identified as a sound practice.</w:t>
            </w:r>
          </w:p>
        </w:tc>
      </w:tr>
      <w:tr>
        <w:tc>
          <w:tcPr>
            <w:tcW w:type="dxa" w:w="1417"/>
          </w:tcPr>
          <w:p>
            <w:pPr>
              <w:pStyle w:val="TableText"/>
            </w:pPr>
            <w:r>
              <w:rPr>
                <w:rFonts w:ascii="Arial" w:hAnsi="Arial"/>
                <w:sz w:val="14"/>
              </w:rPr>
              <w:t>Risk tiering</w:t>
            </w:r>
          </w:p>
        </w:tc>
        <w:tc>
          <w:tcPr>
            <w:tcW w:type="dxa" w:w="1757"/>
          </w:tcPr>
          <w:p>
            <w:pPr>
              <w:pStyle w:val="TableText"/>
            </w:pPr>
            <w:r>
              <w:rPr>
                <w:rFonts w:ascii="Arial" w:hAnsi="Arial"/>
                <w:sz w:val="14"/>
              </w:rPr>
              <w:t>Documented tiering on quantitative and qualitative factors, driving validation, monitoring, approval and reporting intensity.</w:t>
            </w:r>
          </w:p>
        </w:tc>
        <w:tc>
          <w:tcPr>
            <w:tcW w:type="dxa" w:w="1701"/>
          </w:tcPr>
          <w:p>
            <w:pPr>
              <w:pStyle w:val="TableText"/>
            </w:pPr>
            <w:r>
              <w:rPr>
                <w:rFonts w:ascii="Arial" w:hAnsi="Arial"/>
                <w:sz w:val="14"/>
              </w:rPr>
              <w:t>Model risk framed as inherent risk in the context of materiality, itself a function of exposure and purpose.</w:t>
            </w:r>
          </w:p>
        </w:tc>
        <w:tc>
          <w:tcPr>
            <w:tcW w:type="dxa" w:w="1701"/>
          </w:tcPr>
          <w:p>
            <w:pPr>
              <w:pStyle w:val="TableText"/>
            </w:pPr>
            <w:r>
              <w:rPr>
                <w:rFonts w:ascii="Arial" w:hAnsi="Arial"/>
                <w:sz w:val="14"/>
              </w:rPr>
              <w:t>Principle 1.3 model tiering.</w:t>
            </w:r>
          </w:p>
        </w:tc>
        <w:tc>
          <w:tcPr>
            <w:tcW w:type="dxa" w:w="1701"/>
          </w:tcPr>
          <w:p>
            <w:pPr>
              <w:pStyle w:val="TableText"/>
            </w:pPr>
            <w:r>
              <w:rPr>
                <w:rFonts w:ascii="Arial" w:hAnsi="Arial"/>
                <w:sz w:val="14"/>
              </w:rPr>
              <w:t>Principle 2.2 requires a model risk rating approach assessing key dimensions.</w:t>
            </w:r>
          </w:p>
        </w:tc>
        <w:tc>
          <w:tcPr>
            <w:tcW w:type="dxa" w:w="1701"/>
          </w:tcPr>
          <w:p>
            <w:pPr>
              <w:pStyle w:val="TableText"/>
            </w:pPr>
            <w:r>
              <w:rPr>
                <w:rFonts w:ascii="Arial" w:hAnsi="Arial"/>
                <w:sz w:val="14"/>
              </w:rPr>
              <w:t>Materiality assessment within the internal model framework.</w:t>
            </w:r>
          </w:p>
        </w:tc>
        <w:tc>
          <w:tcPr>
            <w:tcW w:type="dxa" w:w="1644"/>
          </w:tcPr>
          <w:p>
            <w:pPr>
              <w:pStyle w:val="TableText"/>
            </w:pPr>
            <w:r>
              <w:rPr>
                <w:rFonts w:ascii="Arial" w:hAnsi="Arial"/>
                <w:sz w:val="14"/>
              </w:rPr>
              <w:t>Risk materiality assessment central to AI control intensity.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Materiality and risk assessment at inception and thereafter.</w:t>
            </w:r>
          </w:p>
        </w:tc>
      </w:tr>
      <w:tr>
        <w:tc>
          <w:tcPr>
            <w:tcW w:type="dxa" w:w="1417"/>
            <w:shd w:val="clear" w:color="auto" w:fill="F4F6FA"/>
          </w:tcPr>
          <w:p>
            <w:pPr>
              <w:pStyle w:val="TableText"/>
            </w:pPr>
            <w:r>
              <w:rPr>
                <w:rFonts w:ascii="Arial" w:hAnsi="Arial"/>
                <w:sz w:val="14"/>
              </w:rPr>
              <w:t>Board and senior accountability</w:t>
            </w:r>
          </w:p>
        </w:tc>
        <w:tc>
          <w:tcPr>
            <w:tcW w:type="dxa" w:w="1757"/>
            <w:shd w:val="clear" w:color="auto" w:fill="F4F6FA"/>
          </w:tcPr>
          <w:p>
            <w:pPr>
              <w:pStyle w:val="TableText"/>
            </w:pPr>
            <w:r>
              <w:rPr>
                <w:rFonts w:ascii="Arial" w:hAnsi="Arial"/>
                <w:sz w:val="14"/>
              </w:rPr>
              <w:t>Board approves the framework and appetite; a named senior executive is accountable for the framework; every model has a named owner.</w:t>
            </w:r>
          </w:p>
        </w:tc>
        <w:tc>
          <w:tcPr>
            <w:tcW w:type="dxa" w:w="1701"/>
            <w:shd w:val="clear" w:color="auto" w:fill="F4F6FA"/>
          </w:tcPr>
          <w:p>
            <w:pPr>
              <w:pStyle w:val="TableText"/>
            </w:pPr>
            <w:r>
              <w:rPr>
                <w:rFonts w:ascii="Arial" w:hAnsi="Arial"/>
                <w:sz w:val="14"/>
              </w:rPr>
              <w:t>Roles and responsibilities with defined accountability, including conflicts between development and validation.</w:t>
            </w:r>
          </w:p>
        </w:tc>
        <w:tc>
          <w:tcPr>
            <w:tcW w:type="dxa" w:w="1701"/>
            <w:shd w:val="clear" w:color="auto" w:fill="F4F6FA"/>
          </w:tcPr>
          <w:p>
            <w:pPr>
              <w:pStyle w:val="TableText"/>
            </w:pPr>
            <w:r>
              <w:rPr>
                <w:rFonts w:ascii="Arial" w:hAnsi="Arial"/>
                <w:sz w:val="14"/>
              </w:rPr>
              <w:t>Principle 2.1 Board responsibilities and 2.2 SMF accountability for the framework.</w:t>
            </w:r>
          </w:p>
        </w:tc>
        <w:tc>
          <w:tcPr>
            <w:tcW w:type="dxa" w:w="1701"/>
            <w:shd w:val="clear" w:color="auto" w:fill="F4F6FA"/>
          </w:tcPr>
          <w:p>
            <w:pPr>
              <w:pStyle w:val="TableText"/>
            </w:pPr>
            <w:r>
              <w:rPr>
                <w:rFonts w:ascii="Arial" w:hAnsi="Arial"/>
                <w:sz w:val="14"/>
              </w:rPr>
              <w:t>Principle 1.1 on reporting structures and resourcing.</w:t>
            </w:r>
          </w:p>
        </w:tc>
        <w:tc>
          <w:tcPr>
            <w:tcW w:type="dxa" w:w="1701"/>
            <w:shd w:val="clear" w:color="auto" w:fill="F4F6FA"/>
          </w:tcPr>
          <w:p>
            <w:pPr>
              <w:pStyle w:val="TableText"/>
            </w:pPr>
            <w:r>
              <w:rPr>
                <w:rFonts w:ascii="Arial" w:hAnsi="Arial"/>
                <w:sz w:val="14"/>
              </w:rPr>
              <w:t>Section 5 identification of management body and senior management.</w:t>
            </w:r>
          </w:p>
        </w:tc>
        <w:tc>
          <w:tcPr>
            <w:tcW w:type="dxa" w:w="1644"/>
            <w:shd w:val="clear" w:color="auto" w:fill="F4F6FA"/>
          </w:tcPr>
          <w:p>
            <w:pPr>
              <w:pStyle w:val="TableText"/>
            </w:pPr>
            <w:r>
              <w:rPr>
                <w:rFonts w:ascii="Arial" w:hAnsi="Arial"/>
                <w:sz w:val="14"/>
              </w:rPr>
              <w:t>Board and senior management oversight in observed AI practice.</w:t>
            </w:r>
          </w:p>
        </w:tc>
        <w:tc>
          <w:tcPr>
            <w:tcW w:type="dxa" w:w="1531"/>
            <w:shd w:val="clear" w:color="auto" w:fill="F4F6FA"/>
          </w:tcPr>
          <w:p>
            <w:pPr>
              <w:pStyle w:val="TableText"/>
            </w:pPr>
            <w:r>
              <w:rPr>
                <w:rFonts w:ascii="Arial" w:hAnsi="Arial"/>
                <w:sz w:val="14"/>
              </w:rPr>
              <w:t>Governance is BCBS 239 Principle 1.</w:t>
            </w:r>
          </w:p>
        </w:tc>
        <w:tc>
          <w:tcPr>
            <w:tcW w:type="dxa" w:w="1417"/>
            <w:shd w:val="clear" w:color="auto" w:fill="F4F6FA"/>
          </w:tcPr>
          <w:p>
            <w:pPr>
              <w:pStyle w:val="TableText"/>
            </w:pPr>
            <w:r>
              <w:rPr>
                <w:rFonts w:ascii="Arial" w:hAnsi="Arial"/>
                <w:sz w:val="14"/>
              </w:rPr>
              <w:t>Sound Practices 1 and 2 on strategic direction, oversight, governance and accountability.</w:t>
            </w:r>
          </w:p>
        </w:tc>
      </w:tr>
      <w:tr>
        <w:tc>
          <w:tcPr>
            <w:tcW w:type="dxa" w:w="1417"/>
          </w:tcPr>
          <w:p>
            <w:pPr>
              <w:pStyle w:val="TableText"/>
            </w:pPr>
            <w:r>
              <w:rPr>
                <w:rFonts w:ascii="Arial" w:hAnsi="Arial"/>
                <w:sz w:val="14"/>
              </w:rPr>
              <w:t>Development and conceptual soundness</w:t>
            </w:r>
          </w:p>
        </w:tc>
        <w:tc>
          <w:tcPr>
            <w:tcW w:type="dxa" w:w="1757"/>
          </w:tcPr>
          <w:p>
            <w:pPr>
              <w:pStyle w:val="TableText"/>
            </w:pPr>
            <w:r>
              <w:rPr>
                <w:rFonts w:ascii="Arial" w:hAnsi="Arial"/>
                <w:sz w:val="14"/>
              </w:rPr>
              <w:t>Documented development standards, conceptual soundness, consideration of alternatives, and recorded limitations for all material models.</w:t>
            </w:r>
          </w:p>
        </w:tc>
        <w:tc>
          <w:tcPr>
            <w:tcW w:type="dxa" w:w="1701"/>
          </w:tcPr>
          <w:p>
            <w:pPr>
              <w:pStyle w:val="TableText"/>
            </w:pPr>
            <w:r>
              <w:rPr>
                <w:rFonts w:ascii="Arial" w:hAnsi="Arial"/>
                <w:sz w:val="14"/>
              </w:rPr>
              <w:t>Section IV on model development, including purpose statement, user input and testing.</w:t>
            </w:r>
          </w:p>
        </w:tc>
        <w:tc>
          <w:tcPr>
            <w:tcW w:type="dxa" w:w="1701"/>
          </w:tcPr>
          <w:p>
            <w:pPr>
              <w:pStyle w:val="TableText"/>
            </w:pPr>
            <w:r>
              <w:rPr>
                <w:rFonts w:ascii="Arial" w:hAnsi="Arial"/>
                <w:sz w:val="14"/>
              </w:rPr>
              <w:t>Principle 3.1 model purpose and design; 3.3 development testing.</w:t>
            </w:r>
          </w:p>
        </w:tc>
        <w:tc>
          <w:tcPr>
            <w:tcW w:type="dxa" w:w="1701"/>
          </w:tcPr>
          <w:p>
            <w:pPr>
              <w:pStyle w:val="TableText"/>
            </w:pPr>
            <w:r>
              <w:rPr>
                <w:rFonts w:ascii="Arial" w:hAnsi="Arial"/>
                <w:sz w:val="14"/>
              </w:rPr>
              <w:t>Principle 3.3 on development processes with clear standards.</w:t>
            </w:r>
          </w:p>
        </w:tc>
        <w:tc>
          <w:tcPr>
            <w:tcW w:type="dxa" w:w="1701"/>
          </w:tcPr>
          <w:p>
            <w:pPr>
              <w:pStyle w:val="TableText"/>
            </w:pPr>
            <w:r>
              <w:rPr>
                <w:rFonts w:ascii="Arial" w:hAnsi="Arial"/>
                <w:sz w:val="14"/>
              </w:rPr>
              <w:t>Documentation and data governance sections of the overarching principles chapter.</w:t>
            </w:r>
          </w:p>
        </w:tc>
        <w:tc>
          <w:tcPr>
            <w:tcW w:type="dxa" w:w="1644"/>
          </w:tcPr>
          <w:p>
            <w:pPr>
              <w:pStyle w:val="TableText"/>
            </w:pPr>
            <w:r>
              <w:rPr>
                <w:rFonts w:ascii="Arial" w:hAnsi="Arial"/>
                <w:sz w:val="14"/>
              </w:rPr>
              <w:t>Notice 637 for capital models.</w:t>
            </w:r>
          </w:p>
        </w:tc>
        <w:tc>
          <w:tcPr>
            <w:tcW w:type="dxa" w:w="1531"/>
          </w:tcPr>
          <w:p>
            <w:pPr>
              <w:pStyle w:val="TableText"/>
            </w:pPr>
            <w:r>
              <w:rPr>
                <w:rFonts w:ascii="Arial" w:hAnsi="Arial"/>
                <w:sz w:val="14"/>
              </w:rPr>
              <w:t>Not addressed directly.</w:t>
            </w:r>
          </w:p>
        </w:tc>
        <w:tc>
          <w:tcPr>
            <w:tcW w:type="dxa" w:w="1417"/>
          </w:tcPr>
          <w:p>
            <w:pPr>
              <w:pStyle w:val="TableText"/>
            </w:pPr>
            <w:r>
              <w:rPr>
                <w:rFonts w:ascii="Arial" w:hAnsi="Arial"/>
                <w:sz w:val="14"/>
              </w:rPr>
              <w:t>Sound Practice 6 on selection.</w:t>
            </w:r>
          </w:p>
        </w:tc>
      </w:tr>
      <w:tr>
        <w:tc>
          <w:tcPr>
            <w:tcW w:type="dxa" w:w="1417"/>
            <w:shd w:val="clear" w:color="auto" w:fill="F4F6FA"/>
          </w:tcPr>
          <w:p>
            <w:pPr>
              <w:pStyle w:val="TableText"/>
            </w:pPr>
            <w:r>
              <w:rPr>
                <w:rFonts w:ascii="Arial" w:hAnsi="Arial"/>
                <w:sz w:val="14"/>
              </w:rPr>
              <w:t>Data</w:t>
            </w:r>
          </w:p>
        </w:tc>
        <w:tc>
          <w:tcPr>
            <w:tcW w:type="dxa" w:w="1757"/>
            <w:shd w:val="clear" w:color="auto" w:fill="F4F6FA"/>
          </w:tcPr>
          <w:p>
            <w:pPr>
              <w:pStyle w:val="TableText"/>
            </w:pPr>
            <w:r>
              <w:rPr>
                <w:rFonts w:ascii="Arial" w:hAnsi="Arial"/>
                <w:sz w:val="14"/>
              </w:rPr>
              <w:t>Data appropriateness as well as quality, lineage to source, and documented treatment of proxy, external and synthetic data.</w:t>
            </w:r>
          </w:p>
        </w:tc>
        <w:tc>
          <w:tcPr>
            <w:tcW w:type="dxa" w:w="1701"/>
            <w:shd w:val="clear" w:color="auto" w:fill="F4F6FA"/>
          </w:tcPr>
          <w:p>
            <w:pPr>
              <w:pStyle w:val="TableText"/>
            </w:pPr>
            <w:r>
              <w:rPr>
                <w:rFonts w:ascii="Arial" w:hAnsi="Arial"/>
                <w:sz w:val="14"/>
              </w:rPr>
              <w:t>Data quality, relevance and inputs assessed within development testing.</w:t>
            </w:r>
          </w:p>
        </w:tc>
        <w:tc>
          <w:tcPr>
            <w:tcW w:type="dxa" w:w="1701"/>
            <w:shd w:val="clear" w:color="auto" w:fill="F4F6FA"/>
          </w:tcPr>
          <w:p>
            <w:pPr>
              <w:pStyle w:val="TableText"/>
            </w:pPr>
            <w:r>
              <w:rPr>
                <w:rFonts w:ascii="Arial" w:hAnsi="Arial"/>
                <w:sz w:val="14"/>
              </w:rPr>
              <w:t>Principle 3.2 the use of data.</w:t>
            </w:r>
          </w:p>
        </w:tc>
        <w:tc>
          <w:tcPr>
            <w:tcW w:type="dxa" w:w="1701"/>
            <w:shd w:val="clear" w:color="auto" w:fill="F4F6FA"/>
          </w:tcPr>
          <w:p>
            <w:pPr>
              <w:pStyle w:val="TableText"/>
            </w:pPr>
            <w:r>
              <w:rPr>
                <w:rFonts w:ascii="Arial" w:hAnsi="Arial"/>
                <w:sz w:val="14"/>
              </w:rPr>
              <w:t>Principle 3.2 requires data suitable for the intended use.</w:t>
            </w:r>
          </w:p>
        </w:tc>
        <w:tc>
          <w:tcPr>
            <w:tcW w:type="dxa" w:w="1701"/>
            <w:shd w:val="clear" w:color="auto" w:fill="F4F6FA"/>
          </w:tcPr>
          <w:p>
            <w:pPr>
              <w:pStyle w:val="TableText"/>
            </w:pPr>
            <w:r>
              <w:rPr>
                <w:rFonts w:ascii="Arial" w:hAnsi="Arial"/>
                <w:sz w:val="14"/>
              </w:rPr>
              <w:t>Section 3 data governance; separate guide on risk data aggregation and reporting.</w:t>
            </w:r>
          </w:p>
        </w:tc>
        <w:tc>
          <w:tcPr>
            <w:tcW w:type="dxa" w:w="1644"/>
            <w:shd w:val="clear" w:color="auto" w:fill="F4F6FA"/>
          </w:tcPr>
          <w:p>
            <w:pPr>
              <w:pStyle w:val="TableText"/>
            </w:pPr>
            <w:r>
              <w:rPr>
                <w:rFonts w:ascii="Arial" w:hAnsi="Arial"/>
                <w:sz w:val="14"/>
              </w:rPr>
              <w:t>Data quality and representativeness prominent in AI practice.</w:t>
            </w:r>
          </w:p>
        </w:tc>
        <w:tc>
          <w:tcPr>
            <w:tcW w:type="dxa" w:w="1531"/>
            <w:shd w:val="clear" w:color="auto" w:fill="F4F6FA"/>
          </w:tcPr>
          <w:p>
            <w:pPr>
              <w:pStyle w:val="TableText"/>
            </w:pPr>
            <w:r>
              <w:rPr>
                <w:rFonts w:ascii="Arial" w:hAnsi="Arial"/>
                <w:sz w:val="14"/>
              </w:rPr>
              <w:t>BCBS 239 sets fourteen principles on risk data aggregation and reporting.</w:t>
            </w:r>
          </w:p>
        </w:tc>
        <w:tc>
          <w:tcPr>
            <w:tcW w:type="dxa" w:w="1417"/>
            <w:shd w:val="clear" w:color="auto" w:fill="F4F6FA"/>
          </w:tcPr>
          <w:p>
            <w:pPr>
              <w:pStyle w:val="TableText"/>
            </w:pPr>
            <w:r>
              <w:rPr>
                <w:rFonts w:ascii="Arial" w:hAnsi="Arial"/>
                <w:sz w:val="14"/>
              </w:rPr>
              <w:t>Sound Practice 7 on data governance.</w:t>
            </w:r>
          </w:p>
        </w:tc>
      </w:tr>
      <w:tr>
        <w:tc>
          <w:tcPr>
            <w:tcW w:type="dxa" w:w="1417"/>
          </w:tcPr>
          <w:p>
            <w:pPr>
              <w:pStyle w:val="TableText"/>
            </w:pPr>
            <w:r>
              <w:rPr>
                <w:rFonts w:ascii="Arial" w:hAnsi="Arial"/>
                <w:sz w:val="14"/>
              </w:rPr>
              <w:t>Documentation</w:t>
            </w:r>
          </w:p>
        </w:tc>
        <w:tc>
          <w:tcPr>
            <w:tcW w:type="dxa" w:w="1757"/>
          </w:tcPr>
          <w:p>
            <w:pPr>
              <w:pStyle w:val="TableText"/>
            </w:pPr>
            <w:r>
              <w:rPr>
                <w:rFonts w:ascii="Arial" w:hAnsi="Arial"/>
                <w:sz w:val="14"/>
              </w:rPr>
              <w:t>Reconstruction standard: sufficient for an independent competent person to reproduce material results.</w:t>
            </w:r>
          </w:p>
        </w:tc>
        <w:tc>
          <w:tcPr>
            <w:tcW w:type="dxa" w:w="1701"/>
          </w:tcPr>
          <w:p>
            <w:pPr>
              <w:pStyle w:val="TableText"/>
            </w:pPr>
            <w:r>
              <w:rPr>
                <w:rFonts w:ascii="Arial" w:hAnsi="Arial"/>
                <w:sz w:val="14"/>
              </w:rPr>
              <w:t>Reduced in 2026 to a statement that adequate documentation helps support model risk management.</w:t>
            </w:r>
          </w:p>
        </w:tc>
        <w:tc>
          <w:tcPr>
            <w:tcW w:type="dxa" w:w="1701"/>
          </w:tcPr>
          <w:p>
            <w:pPr>
              <w:pStyle w:val="TableText"/>
            </w:pPr>
            <w:r>
              <w:rPr>
                <w:rFonts w:ascii="Arial" w:hAnsi="Arial"/>
                <w:sz w:val="14"/>
              </w:rPr>
              <w:t>Principle 3.5 model development documentation.</w:t>
            </w:r>
          </w:p>
        </w:tc>
        <w:tc>
          <w:tcPr>
            <w:tcW w:type="dxa" w:w="1701"/>
          </w:tcPr>
          <w:p>
            <w:pPr>
              <w:pStyle w:val="TableText"/>
            </w:pPr>
            <w:r>
              <w:rPr>
                <w:rFonts w:ascii="Arial" w:hAnsi="Arial"/>
                <w:sz w:val="14"/>
              </w:rPr>
              <w:t>Principle 3.3 covers documentation standards.</w:t>
            </w:r>
          </w:p>
        </w:tc>
        <w:tc>
          <w:tcPr>
            <w:tcW w:type="dxa" w:w="1701"/>
          </w:tcPr>
          <w:p>
            <w:pPr>
              <w:pStyle w:val="TableText"/>
            </w:pPr>
            <w:r>
              <w:rPr>
                <w:rFonts w:ascii="Arial" w:hAnsi="Arial"/>
                <w:sz w:val="14"/>
              </w:rPr>
              <w:t>Section 2 documentation of internal models; CRR Article 188 makes it binding.</w:t>
            </w:r>
          </w:p>
        </w:tc>
        <w:tc>
          <w:tcPr>
            <w:tcW w:type="dxa" w:w="1644"/>
          </w:tcPr>
          <w:p>
            <w:pPr>
              <w:pStyle w:val="TableText"/>
            </w:pPr>
            <w:r>
              <w:rPr>
                <w:rFonts w:ascii="Arial" w:hAnsi="Arial"/>
                <w:sz w:val="14"/>
              </w:rPr>
              <w:t>Required for capital models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identified as a sound practice.</w:t>
            </w:r>
          </w:p>
        </w:tc>
      </w:tr>
      <w:tr>
        <w:tc>
          <w:tcPr>
            <w:tcW w:type="dxa" w:w="1417"/>
            <w:shd w:val="clear" w:color="auto" w:fill="F4F6FA"/>
          </w:tcPr>
          <w:p>
            <w:pPr>
              <w:pStyle w:val="TableText"/>
            </w:pPr>
            <w:r>
              <w:rPr>
                <w:rFonts w:ascii="Arial" w:hAnsi="Arial"/>
                <w:sz w:val="14"/>
              </w:rPr>
              <w:t>Testing before use</w:t>
            </w:r>
          </w:p>
        </w:tc>
        <w:tc>
          <w:tcPr>
            <w:tcW w:type="dxa" w:w="1757"/>
            <w:shd w:val="clear" w:color="auto" w:fill="F4F6FA"/>
          </w:tcPr>
          <w:p>
            <w:pPr>
              <w:pStyle w:val="TableText"/>
            </w:pPr>
            <w:r>
              <w:rPr>
                <w:rFonts w:ascii="Arial" w:hAnsi="Arial"/>
                <w:sz w:val="14"/>
              </w:rPr>
              <w:t>Express bar: a model must not be used for a material purpose until tested and residual limitations accepted at an appropriate authority.</w:t>
            </w:r>
          </w:p>
        </w:tc>
        <w:tc>
          <w:tcPr>
            <w:tcW w:type="dxa" w:w="1701"/>
            <w:shd w:val="clear" w:color="auto" w:fill="F4F6FA"/>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shd w:val="clear" w:color="auto" w:fill="F4F6FA"/>
          </w:tcPr>
          <w:p>
            <w:pPr>
              <w:pStyle w:val="TableText"/>
            </w:pPr>
            <w:r>
              <w:rPr>
                <w:rFonts w:ascii="Arial" w:hAnsi="Arial"/>
                <w:sz w:val="14"/>
              </w:rPr>
              <w:t>Principle 3.3 model development testing.</w:t>
            </w:r>
          </w:p>
        </w:tc>
        <w:tc>
          <w:tcPr>
            <w:tcW w:type="dxa" w:w="1701"/>
            <w:shd w:val="clear" w:color="auto" w:fill="F4F6FA"/>
          </w:tcPr>
          <w:p>
            <w:pPr>
              <w:pStyle w:val="TableText"/>
            </w:pPr>
            <w:r>
              <w:rPr>
                <w:rFonts w:ascii="Arial" w:hAnsi="Arial"/>
                <w:sz w:val="14"/>
              </w:rPr>
              <w:t>Within the model review and approval lifecycle stages.</w:t>
            </w:r>
          </w:p>
        </w:tc>
        <w:tc>
          <w:tcPr>
            <w:tcW w:type="dxa" w:w="1701"/>
            <w:shd w:val="clear" w:color="auto" w:fill="F4F6FA"/>
          </w:tcPr>
          <w:p>
            <w:pPr>
              <w:pStyle w:val="TableText"/>
            </w:pPr>
            <w:r>
              <w:rPr>
                <w:rFonts w:ascii="Arial" w:hAnsi="Arial"/>
                <w:sz w:val="14"/>
              </w:rPr>
              <w:t>Pre-approval assessment by the supervisor for capital models.</w:t>
            </w:r>
          </w:p>
        </w:tc>
        <w:tc>
          <w:tcPr>
            <w:tcW w:type="dxa" w:w="1644"/>
            <w:shd w:val="clear" w:color="auto" w:fill="F4F6FA"/>
          </w:tcPr>
          <w:p>
            <w:pPr>
              <w:pStyle w:val="TableText"/>
            </w:pPr>
            <w:r>
              <w:rPr>
                <w:rFonts w:ascii="Arial" w:hAnsi="Arial"/>
                <w:sz w:val="14"/>
              </w:rPr>
              <w:t>Pre-deployment validation expected for higher-risk AI.</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assessment proportionate to risk.</w:t>
            </w:r>
          </w:p>
        </w:tc>
      </w:tr>
      <w:tr>
        <w:tc>
          <w:tcPr>
            <w:tcW w:type="dxa" w:w="1417"/>
          </w:tcPr>
          <w:p>
            <w:pPr>
              <w:pStyle w:val="TableText"/>
            </w:pPr>
            <w:r>
              <w:rPr>
                <w:rFonts w:ascii="Arial" w:hAnsi="Arial"/>
                <w:sz w:val="14"/>
              </w:rPr>
              <w:t>Independent validation</w:t>
            </w:r>
          </w:p>
        </w:tc>
        <w:tc>
          <w:tcPr>
            <w:tcW w:type="dxa" w:w="1757"/>
          </w:tcPr>
          <w:p>
            <w:pPr>
              <w:pStyle w:val="TableText"/>
            </w:pPr>
            <w:r>
              <w:rPr>
                <w:rFonts w:ascii="Arial" w:hAnsi="Arial"/>
                <w:sz w:val="14"/>
              </w:rPr>
              <w:t>Independent validation required for material models, with vendor or sponsor validation expressly insufficient.</w:t>
            </w:r>
          </w:p>
        </w:tc>
        <w:tc>
          <w:tcPr>
            <w:tcW w:type="dxa" w:w="1701"/>
          </w:tcPr>
          <w:p>
            <w:pPr>
              <w:pStyle w:val="TableText"/>
            </w:pPr>
            <w:r>
              <w:rPr>
                <w:rFonts w:ascii="Arial" w:hAnsi="Arial"/>
                <w:sz w:val="14"/>
              </w:rPr>
              <w:t>Quality of validation depends on the rigour of the review rather than on organisational structure — a softening from the 2011 text.</w:t>
            </w:r>
          </w:p>
        </w:tc>
        <w:tc>
          <w:tcPr>
            <w:tcW w:type="dxa" w:w="1701"/>
          </w:tcPr>
          <w:p>
            <w:pPr>
              <w:pStyle w:val="TableText"/>
            </w:pPr>
            <w:r>
              <w:rPr>
                <w:rFonts w:ascii="Arial" w:hAnsi="Arial"/>
                <w:sz w:val="14"/>
              </w:rPr>
              <w:t>Principle 4 independent model validation, with five sub-principles.</w:t>
            </w:r>
          </w:p>
        </w:tc>
        <w:tc>
          <w:tcPr>
            <w:tcW w:type="dxa" w:w="1701"/>
          </w:tcPr>
          <w:p>
            <w:pPr>
              <w:pStyle w:val="TableText"/>
            </w:pPr>
            <w:r>
              <w:rPr>
                <w:rFonts w:ascii="Arial" w:hAnsi="Arial"/>
                <w:sz w:val="14"/>
              </w:rPr>
              <w:t>Principle 3.4 requires a process to independently assess conceptual soundness and performance.</w:t>
            </w:r>
          </w:p>
        </w:tc>
        <w:tc>
          <w:tcPr>
            <w:tcW w:type="dxa" w:w="1701"/>
          </w:tcPr>
          <w:p>
            <w:pPr>
              <w:pStyle w:val="TableText"/>
            </w:pPr>
            <w:r>
              <w:rPr>
                <w:rFonts w:ascii="Arial" w:hAnsi="Arial"/>
                <w:sz w:val="14"/>
              </w:rPr>
              <w:t>Section 6 internal validation; CRR Articles 185 and 188 make validation binding.</w:t>
            </w:r>
          </w:p>
        </w:tc>
        <w:tc>
          <w:tcPr>
            <w:tcW w:type="dxa" w:w="1644"/>
          </w:tcPr>
          <w:p>
            <w:pPr>
              <w:pStyle w:val="TableText"/>
            </w:pPr>
            <w:r>
              <w:rPr>
                <w:rFonts w:ascii="Arial" w:hAnsi="Arial"/>
                <w:sz w:val="14"/>
              </w:rPr>
              <w:t>Notice 637 paragraphs 2.5 and 2.6 on internal validation and its independent review.</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management, with independence left flexible.</w:t>
            </w:r>
          </w:p>
        </w:tc>
      </w:tr>
      <w:tr>
        <w:tc>
          <w:tcPr>
            <w:tcW w:type="dxa" w:w="1417"/>
            <w:shd w:val="clear" w:color="auto" w:fill="F4F6FA"/>
          </w:tcPr>
          <w:p>
            <w:pPr>
              <w:pStyle w:val="TableText"/>
            </w:pPr>
            <w:r>
              <w:rPr>
                <w:rFonts w:ascii="Arial" w:hAnsi="Arial"/>
                <w:sz w:val="14"/>
              </w:rPr>
              <w:t>Components of validation</w:t>
            </w:r>
          </w:p>
        </w:tc>
        <w:tc>
          <w:tcPr>
            <w:tcW w:type="dxa" w:w="1757"/>
            <w:shd w:val="clear" w:color="auto" w:fill="F4F6FA"/>
          </w:tcPr>
          <w:p>
            <w:pPr>
              <w:pStyle w:val="TableText"/>
            </w:pPr>
            <w:r>
              <w:rPr>
                <w:rFonts w:ascii="Arial" w:hAnsi="Arial"/>
                <w:sz w:val="14"/>
              </w:rPr>
              <w:t>Conceptual soundness, outcomes analysis and ongoing model monitoring, with an explicit conclusion on fitness for use.</w:t>
            </w:r>
          </w:p>
        </w:tc>
        <w:tc>
          <w:tcPr>
            <w:tcW w:type="dxa" w:w="1701"/>
            <w:shd w:val="clear" w:color="auto" w:fill="F4F6FA"/>
          </w:tcPr>
          <w:p>
            <w:pPr>
              <w:pStyle w:val="TableText"/>
            </w:pPr>
            <w:r>
              <w:rPr>
                <w:rFonts w:ascii="Arial" w:hAnsi="Arial"/>
                <w:sz w:val="14"/>
              </w:rPr>
              <w:t>Conceptual soundness, outcomes analysis, and ongoing model monitoring.</w:t>
            </w:r>
          </w:p>
        </w:tc>
        <w:tc>
          <w:tcPr>
            <w:tcW w:type="dxa" w:w="1701"/>
            <w:shd w:val="clear" w:color="auto" w:fill="F4F6FA"/>
          </w:tcPr>
          <w:p>
            <w:pPr>
              <w:pStyle w:val="TableText"/>
            </w:pPr>
            <w:r>
              <w:rPr>
                <w:rFonts w:ascii="Arial" w:hAnsi="Arial"/>
                <w:sz w:val="14"/>
              </w:rPr>
              <w:t>Principles 4.2 independent review, 4.3 process verification, 4.4 performance monitoring, 4.5 periodic revalidation.</w:t>
            </w:r>
          </w:p>
        </w:tc>
        <w:tc>
          <w:tcPr>
            <w:tcW w:type="dxa" w:w="1701"/>
            <w:shd w:val="clear" w:color="auto" w:fill="F4F6FA"/>
          </w:tcPr>
          <w:p>
            <w:pPr>
              <w:pStyle w:val="TableText"/>
            </w:pPr>
            <w:r>
              <w:rPr>
                <w:rFonts w:ascii="Arial" w:hAnsi="Arial"/>
                <w:sz w:val="14"/>
              </w:rPr>
              <w:t>Conceptual soundness and performance under Principle 3.4.</w:t>
            </w:r>
          </w:p>
        </w:tc>
        <w:tc>
          <w:tcPr>
            <w:tcW w:type="dxa" w:w="1701"/>
            <w:shd w:val="clear" w:color="auto" w:fill="F4F6FA"/>
          </w:tcPr>
          <w:p>
            <w:pPr>
              <w:pStyle w:val="TableText"/>
            </w:pPr>
            <w:r>
              <w:rPr>
                <w:rFonts w:ascii="Arial" w:hAnsi="Arial"/>
                <w:sz w:val="14"/>
              </w:rPr>
              <w:t>Validation covering methodology, data and performance.</w:t>
            </w:r>
          </w:p>
        </w:tc>
        <w:tc>
          <w:tcPr>
            <w:tcW w:type="dxa" w:w="1644"/>
            <w:shd w:val="clear" w:color="auto" w:fill="F4F6FA"/>
          </w:tcPr>
          <w:p>
            <w:pPr>
              <w:pStyle w:val="TableText"/>
            </w:pPr>
            <w:r>
              <w:rPr>
                <w:rFonts w:ascii="Arial" w:hAnsi="Arial"/>
                <w:sz w:val="14"/>
              </w:rPr>
              <w:t>Validation requirements in Section 7 of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Effective challenge</w:t>
            </w:r>
          </w:p>
        </w:tc>
        <w:tc>
          <w:tcPr>
            <w:tcW w:type="dxa" w:w="1757"/>
          </w:tcPr>
          <w:p>
            <w:pPr>
              <w:pStyle w:val="TableText"/>
            </w:pPr>
            <w:r>
              <w:rPr>
                <w:rFonts w:ascii="Arial" w:hAnsi="Arial"/>
                <w:sz w:val="14"/>
              </w:rPr>
              <w:t>Express requirement, with an expectation that entities test whether challenge is operating effectively.</w:t>
            </w:r>
          </w:p>
        </w:tc>
        <w:tc>
          <w:tcPr>
            <w:tcW w:type="dxa" w:w="1701"/>
          </w:tcPr>
          <w:p>
            <w:pPr>
              <w:pStyle w:val="TableText"/>
            </w:pPr>
            <w:r>
              <w:rPr>
                <w:rFonts w:ascii="Arial" w:hAnsi="Arial"/>
                <w:sz w:val="14"/>
              </w:rPr>
              <w:t>Retained and reformulated: expertise, sufficient independence, and organisational standing and influence to effect change.</w:t>
            </w:r>
          </w:p>
        </w:tc>
        <w:tc>
          <w:tcPr>
            <w:tcW w:type="dxa" w:w="1701"/>
          </w:tcPr>
          <w:p>
            <w:pPr>
              <w:pStyle w:val="TableText"/>
            </w:pPr>
            <w:r>
              <w:rPr>
                <w:rFonts w:ascii="Arial" w:hAnsi="Arial"/>
                <w:sz w:val="14"/>
              </w:rPr>
              <w:t>Embedded in Principle 4 as ongoing, independent and effective challenge.</w:t>
            </w:r>
          </w:p>
        </w:tc>
        <w:tc>
          <w:tcPr>
            <w:tcW w:type="dxa" w:w="1701"/>
          </w:tcPr>
          <w:p>
            <w:pPr>
              <w:pStyle w:val="TableText"/>
            </w:pPr>
            <w:r>
              <w:rPr>
                <w:rFonts w:ascii="Arial" w:hAnsi="Arial"/>
                <w:sz w:val="14"/>
              </w:rPr>
              <w:t>Implicit in the independent assessment principle.</w:t>
            </w:r>
          </w:p>
        </w:tc>
        <w:tc>
          <w:tcPr>
            <w:tcW w:type="dxa" w:w="1701"/>
          </w:tcPr>
          <w:p>
            <w:pPr>
              <w:pStyle w:val="TableText"/>
            </w:pPr>
            <w:r>
              <w:rPr>
                <w:rFonts w:ascii="Arial" w:hAnsi="Arial"/>
                <w:sz w:val="14"/>
              </w:rPr>
              <w:t>Internal validation and internal audit principles.</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Model use and misuse</w:t>
            </w:r>
          </w:p>
        </w:tc>
        <w:tc>
          <w:tcPr>
            <w:tcW w:type="dxa" w:w="1757"/>
            <w:shd w:val="clear" w:color="auto" w:fill="F4F6FA"/>
          </w:tcPr>
          <w:p>
            <w:pPr>
              <w:pStyle w:val="TableText"/>
            </w:pPr>
            <w:r>
              <w:rPr>
                <w:rFonts w:ascii="Arial" w:hAnsi="Arial"/>
                <w:sz w:val="14"/>
              </w:rPr>
              <w:t>Use confined to approved purpose and conditions, with limitations communicated to users rather than merely recorded.</w:t>
            </w:r>
          </w:p>
        </w:tc>
        <w:tc>
          <w:tcPr>
            <w:tcW w:type="dxa" w:w="1701"/>
            <w:shd w:val="clear" w:color="auto" w:fill="F4F6FA"/>
          </w:tcPr>
          <w:p>
            <w:pPr>
              <w:pStyle w:val="TableText"/>
            </w:pPr>
            <w:r>
              <w:rPr>
                <w:rFonts w:ascii="Arial" w:hAnsi="Arial"/>
                <w:sz w:val="14"/>
              </w:rPr>
              <w:t>Recognised that a sound model can carry high model risk if misapplied or misused.</w:t>
            </w:r>
          </w:p>
        </w:tc>
        <w:tc>
          <w:tcPr>
            <w:tcW w:type="dxa" w:w="1701"/>
            <w:shd w:val="clear" w:color="auto" w:fill="F4F6FA"/>
          </w:tcPr>
          <w:p>
            <w:pPr>
              <w:pStyle w:val="TableText"/>
            </w:pPr>
            <w:r>
              <w:rPr>
                <w:rFonts w:ascii="Arial" w:hAnsi="Arial"/>
                <w:sz w:val="14"/>
              </w:rPr>
              <w:t>Principle 3 covers model use.</w:t>
            </w:r>
          </w:p>
        </w:tc>
        <w:tc>
          <w:tcPr>
            <w:tcW w:type="dxa" w:w="1701"/>
            <w:shd w:val="clear" w:color="auto" w:fill="F4F6FA"/>
          </w:tcPr>
          <w:p>
            <w:pPr>
              <w:pStyle w:val="TableText"/>
            </w:pPr>
            <w:r>
              <w:rPr>
                <w:rFonts w:ascii="Arial" w:hAnsi="Arial"/>
                <w:sz w:val="14"/>
              </w:rPr>
              <w:t>Principle 1.3 models should be appropriate for their business purposes.</w:t>
            </w:r>
          </w:p>
        </w:tc>
        <w:tc>
          <w:tcPr>
            <w:tcW w:type="dxa" w:w="1701"/>
            <w:shd w:val="clear" w:color="auto" w:fill="F4F6FA"/>
          </w:tcPr>
          <w:p>
            <w:pPr>
              <w:pStyle w:val="TableText"/>
            </w:pPr>
            <w:r>
              <w:rPr>
                <w:rFonts w:ascii="Arial" w:hAnsi="Arial"/>
                <w:sz w:val="14"/>
              </w:rPr>
              <w:t>Section 6 model use; CRR Article 174 use of models is binding.</w:t>
            </w:r>
          </w:p>
        </w:tc>
        <w:tc>
          <w:tcPr>
            <w:tcW w:type="dxa" w:w="1644"/>
            <w:shd w:val="clear" w:color="auto" w:fill="F4F6FA"/>
          </w:tcPr>
          <w:p>
            <w:pPr>
              <w:pStyle w:val="TableText"/>
            </w:pPr>
            <w:r>
              <w:rPr>
                <w:rFonts w:ascii="Arial" w:hAnsi="Arial"/>
                <w:sz w:val="14"/>
              </w:rPr>
              <w:t>Use test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Human oversight sound practice.</w:t>
            </w:r>
          </w:p>
        </w:tc>
      </w:tr>
      <w:tr>
        <w:tc>
          <w:tcPr>
            <w:tcW w:type="dxa" w:w="1417"/>
          </w:tcPr>
          <w:p>
            <w:pPr>
              <w:pStyle w:val="TableText"/>
            </w:pPr>
            <w:r>
              <w:rPr>
                <w:rFonts w:ascii="Arial" w:hAnsi="Arial"/>
                <w:sz w:val="14"/>
              </w:rPr>
              <w:t>Overlays and expert judgement</w:t>
            </w:r>
          </w:p>
        </w:tc>
        <w:tc>
          <w:tcPr>
            <w:tcW w:type="dxa" w:w="1757"/>
          </w:tcPr>
          <w:p>
            <w:pPr>
              <w:pStyle w:val="TableText"/>
            </w:pPr>
            <w:r>
              <w:rPr>
                <w:rFonts w:ascii="Arial" w:hAnsi="Arial"/>
                <w:sz w:val="14"/>
              </w:rPr>
              <w:t>Governance of basis, quantification, approval, duration and removal, with aggregate reporting of overlays in force.</w:t>
            </w:r>
          </w:p>
        </w:tc>
        <w:tc>
          <w:tcPr>
            <w:tcW w:type="dxa" w:w="1701"/>
          </w:tcPr>
          <w:p>
            <w:pPr>
              <w:pStyle w:val="TableText"/>
            </w:pPr>
            <w:r>
              <w:rPr>
                <w:rFonts w:ascii="Arial" w:hAnsi="Arial"/>
                <w:sz w:val="14"/>
              </w:rPr>
              <w:t>Overlays and adjustments referenced within monitoring.</w:t>
            </w:r>
          </w:p>
        </w:tc>
        <w:tc>
          <w:tcPr>
            <w:tcW w:type="dxa" w:w="1701"/>
          </w:tcPr>
          <w:p>
            <w:pPr>
              <w:pStyle w:val="TableText"/>
            </w:pPr>
            <w:r>
              <w:rPr>
                <w:rFonts w:ascii="Arial" w:hAnsi="Arial"/>
                <w:sz w:val="14"/>
              </w:rPr>
              <w:t>Principle 3.4 model adjustments and expert judgement; Principle 5.1 post-model adjustments.</w:t>
            </w:r>
          </w:p>
        </w:tc>
        <w:tc>
          <w:tcPr>
            <w:tcW w:type="dxa" w:w="1701"/>
          </w:tcPr>
          <w:p>
            <w:pPr>
              <w:pStyle w:val="TableText"/>
            </w:pPr>
            <w:r>
              <w:rPr>
                <w:rFonts w:ascii="Arial" w:hAnsi="Arial"/>
                <w:sz w:val="14"/>
              </w:rPr>
              <w:t>Addressed within model monitoring standards.</w:t>
            </w:r>
          </w:p>
        </w:tc>
        <w:tc>
          <w:tcPr>
            <w:tcW w:type="dxa" w:w="1701"/>
          </w:tcPr>
          <w:p>
            <w:pPr>
              <w:pStyle w:val="TableText"/>
            </w:pPr>
            <w:r>
              <w:rPr>
                <w:rFonts w:ascii="Arial" w:hAnsi="Arial"/>
                <w:sz w:val="14"/>
              </w:rPr>
              <w:t>Margin of conservatism framework for internal models.</w:t>
            </w:r>
          </w:p>
        </w:tc>
        <w:tc>
          <w:tcPr>
            <w:tcW w:type="dxa" w:w="1644"/>
          </w:tcPr>
          <w:p>
            <w:pPr>
              <w:pStyle w:val="TableText"/>
            </w:pPr>
            <w:r>
              <w:rPr>
                <w:rFonts w:ascii="Arial" w:hAnsi="Arial"/>
                <w:sz w:val="14"/>
              </w:rPr>
              <w:t>Not addressed generally.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Change management</w:t>
            </w:r>
          </w:p>
        </w:tc>
        <w:tc>
          <w:tcPr>
            <w:tcW w:type="dxa" w:w="1757"/>
            <w:shd w:val="clear" w:color="auto" w:fill="F4F6FA"/>
          </w:tcPr>
          <w:p>
            <w:pPr>
              <w:pStyle w:val="TableText"/>
            </w:pPr>
            <w:r>
              <w:rPr>
                <w:rFonts w:ascii="Arial" w:hAnsi="Arial"/>
                <w:sz w:val="14"/>
              </w:rPr>
              <w:t>Materiality assessment of changes individually and cumulatively, with provider-initiated change treated as an entity change event.</w:t>
            </w:r>
          </w:p>
        </w:tc>
        <w:tc>
          <w:tcPr>
            <w:tcW w:type="dxa" w:w="1701"/>
            <w:shd w:val="clear" w:color="auto" w:fill="F4F6FA"/>
          </w:tcPr>
          <w:p>
            <w:pPr>
              <w:pStyle w:val="TableText"/>
            </w:pPr>
            <w:r>
              <w:rPr>
                <w:rFonts w:ascii="Arial" w:hAnsi="Arial"/>
                <w:sz w:val="14"/>
              </w:rPr>
              <w:t>Frequency and scope of model changes inform validation timing.</w:t>
            </w:r>
          </w:p>
        </w:tc>
        <w:tc>
          <w:tcPr>
            <w:tcW w:type="dxa" w:w="1701"/>
            <w:shd w:val="clear" w:color="auto" w:fill="F4F6FA"/>
          </w:tcPr>
          <w:p>
            <w:pPr>
              <w:pStyle w:val="TableText"/>
            </w:pPr>
            <w:r>
              <w:rPr>
                <w:rFonts w:ascii="Arial" w:hAnsi="Arial"/>
                <w:sz w:val="14"/>
              </w:rPr>
              <w:t>Within Principle 3 and Principle 4.5 periodic revalidation.</w:t>
            </w:r>
          </w:p>
        </w:tc>
        <w:tc>
          <w:tcPr>
            <w:tcW w:type="dxa" w:w="1701"/>
            <w:shd w:val="clear" w:color="auto" w:fill="F4F6FA"/>
          </w:tcPr>
          <w:p>
            <w:pPr>
              <w:pStyle w:val="TableText"/>
            </w:pPr>
            <w:r>
              <w:rPr>
                <w:rFonts w:ascii="Arial" w:hAnsi="Arial"/>
                <w:sz w:val="14"/>
              </w:rPr>
              <w:t>Principle 3.5 deployment with quality and change control processes.</w:t>
            </w:r>
          </w:p>
        </w:tc>
        <w:tc>
          <w:tcPr>
            <w:tcW w:type="dxa" w:w="1701"/>
            <w:shd w:val="clear" w:color="auto" w:fill="F4F6FA"/>
          </w:tcPr>
          <w:p>
            <w:pPr>
              <w:pStyle w:val="TableText"/>
            </w:pPr>
            <w:r>
              <w:rPr>
                <w:rFonts w:ascii="Arial" w:hAnsi="Arial"/>
                <w:sz w:val="14"/>
              </w:rPr>
              <w:t>Section 10 on implementation of a changed or extended model; a detailed model change regime.</w:t>
            </w:r>
          </w:p>
        </w:tc>
        <w:tc>
          <w:tcPr>
            <w:tcW w:type="dxa" w:w="1644"/>
            <w:shd w:val="clear" w:color="auto" w:fill="F4F6FA"/>
          </w:tcPr>
          <w:p>
            <w:pPr>
              <w:pStyle w:val="TableText"/>
            </w:pPr>
            <w:r>
              <w:rPr>
                <w:rFonts w:ascii="Arial" w:hAnsi="Arial"/>
                <w:sz w:val="14"/>
              </w:rPr>
              <w:t>Change control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Organisational adaptability sound practice.</w:t>
            </w:r>
          </w:p>
        </w:tc>
      </w:tr>
      <w:tr>
        <w:tc>
          <w:tcPr>
            <w:tcW w:type="dxa" w:w="1417"/>
          </w:tcPr>
          <w:p>
            <w:pPr>
              <w:pStyle w:val="TableText"/>
            </w:pPr>
            <w:r>
              <w:rPr>
                <w:rFonts w:ascii="Arial" w:hAnsi="Arial"/>
                <w:sz w:val="14"/>
              </w:rPr>
              <w:t>Monitoring and drift</w:t>
            </w:r>
          </w:p>
        </w:tc>
        <w:tc>
          <w:tcPr>
            <w:tcW w:type="dxa" w:w="1757"/>
          </w:tcPr>
          <w:p>
            <w:pPr>
              <w:pStyle w:val="TableText"/>
            </w:pPr>
            <w:r>
              <w:rPr>
                <w:rFonts w:ascii="Arial" w:hAnsi="Arial"/>
                <w:sz w:val="14"/>
              </w:rPr>
              <w:t>Tier-based monitoring frequency with pre-set thresholds linked to investigation, restriction, revalidation or withdrawal.</w:t>
            </w:r>
          </w:p>
        </w:tc>
        <w:tc>
          <w:tcPr>
            <w:tcW w:type="dxa" w:w="1701"/>
          </w:tcPr>
          <w:p>
            <w:pPr>
              <w:pStyle w:val="TableText"/>
            </w:pPr>
            <w:r>
              <w:rPr>
                <w:rFonts w:ascii="Arial" w:hAnsi="Arial"/>
                <w:sz w:val="14"/>
              </w:rPr>
              <w:t>Ongoing model monitoring as a named validation component.</w:t>
            </w:r>
          </w:p>
        </w:tc>
        <w:tc>
          <w:tcPr>
            <w:tcW w:type="dxa" w:w="1701"/>
          </w:tcPr>
          <w:p>
            <w:pPr>
              <w:pStyle w:val="TableText"/>
            </w:pPr>
            <w:r>
              <w:rPr>
                <w:rFonts w:ascii="Arial" w:hAnsi="Arial"/>
                <w:sz w:val="14"/>
              </w:rPr>
              <w:t>Principle 4.4 model performance monitoring.</w:t>
            </w:r>
          </w:p>
        </w:tc>
        <w:tc>
          <w:tcPr>
            <w:tcW w:type="dxa" w:w="1701"/>
          </w:tcPr>
          <w:p>
            <w:pPr>
              <w:pStyle w:val="TableText"/>
            </w:pPr>
            <w:r>
              <w:rPr>
                <w:rFonts w:ascii="Arial" w:hAnsi="Arial"/>
                <w:sz w:val="14"/>
              </w:rPr>
              <w:t>Principle 3.6 standards for model monitoring and decommission.</w:t>
            </w:r>
          </w:p>
        </w:tc>
        <w:tc>
          <w:tcPr>
            <w:tcW w:type="dxa" w:w="1701"/>
          </w:tcPr>
          <w:p>
            <w:pPr>
              <w:pStyle w:val="TableText"/>
            </w:pPr>
            <w:r>
              <w:rPr>
                <w:rFonts w:ascii="Arial" w:hAnsi="Arial"/>
                <w:sz w:val="14"/>
              </w:rPr>
              <w:t>Within internal validation and model change provisions.</w:t>
            </w:r>
          </w:p>
        </w:tc>
        <w:tc>
          <w:tcPr>
            <w:tcW w:type="dxa" w:w="1644"/>
          </w:tcPr>
          <w:p>
            <w:pPr>
              <w:pStyle w:val="TableText"/>
            </w:pPr>
            <w:r>
              <w:rPr>
                <w:rFonts w:ascii="Arial" w:hAnsi="Arial"/>
                <w:sz w:val="14"/>
              </w:rPr>
              <w:t>Post-deployment monitoring in observed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Sound Practice 9 performance management.</w:t>
            </w:r>
          </w:p>
        </w:tc>
      </w:tr>
      <w:tr>
        <w:tc>
          <w:tcPr>
            <w:tcW w:type="dxa" w:w="1417"/>
            <w:shd w:val="clear" w:color="auto" w:fill="F4F6FA"/>
          </w:tcPr>
          <w:p>
            <w:pPr>
              <w:pStyle w:val="TableText"/>
            </w:pPr>
            <w:r>
              <w:rPr>
                <w:rFonts w:ascii="Arial" w:hAnsi="Arial"/>
                <w:sz w:val="14"/>
              </w:rPr>
              <w:t>Decommissioning</w:t>
            </w:r>
          </w:p>
        </w:tc>
        <w:tc>
          <w:tcPr>
            <w:tcW w:type="dxa" w:w="1757"/>
            <w:shd w:val="clear" w:color="auto" w:fill="F4F6FA"/>
          </w:tcPr>
          <w:p>
            <w:pPr>
              <w:pStyle w:val="TableText"/>
            </w:pPr>
            <w:r>
              <w:rPr>
                <w:rFonts w:ascii="Arial" w:hAnsi="Arial"/>
                <w:sz w:val="14"/>
              </w:rPr>
              <w:t>Managed decommissioning covering downstream models, outputs still in force, records and data disposition.</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Principle 3.6 expressly covers model decommission.</w:t>
            </w:r>
          </w:p>
        </w:tc>
        <w:tc>
          <w:tcPr>
            <w:tcW w:type="dxa" w:w="1701"/>
            <w:shd w:val="clear" w:color="auto" w:fill="F4F6FA"/>
          </w:tcPr>
          <w:p>
            <w:pPr>
              <w:pStyle w:val="TableText"/>
            </w:pPr>
            <w:r>
              <w:rPr>
                <w:rFonts w:ascii="Arial" w:hAnsi="Arial"/>
                <w:sz w:val="14"/>
              </w:rPr>
              <w:t>Not separately addressed.</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Third-party and vendor models</w:t>
            </w:r>
          </w:p>
        </w:tc>
        <w:tc>
          <w:tcPr>
            <w:tcW w:type="dxa" w:w="1757"/>
          </w:tcPr>
          <w:p>
            <w:pPr>
              <w:pStyle w:val="TableText"/>
            </w:pPr>
            <w:r>
              <w:rPr>
                <w:rFonts w:ascii="Arial" w:hAnsi="Arial"/>
                <w:sz w:val="14"/>
              </w:rPr>
              <w:t>Full framework applied to third-party models, with usable information rights and compensating controls where information is unavailable.</w:t>
            </w:r>
          </w:p>
        </w:tc>
        <w:tc>
          <w:tcPr>
            <w:tcW w:type="dxa" w:w="1701"/>
          </w:tcPr>
          <w:p>
            <w:pPr>
              <w:pStyle w:val="TableText"/>
            </w:pPr>
            <w:r>
              <w:rPr>
                <w:rFonts w:ascii="Arial" w:hAnsi="Arial"/>
                <w:sz w:val="14"/>
              </w:rPr>
              <w:t>Section VII on vendor and other third-party products, including validation and ongoing monitoring of vendor models.</w:t>
            </w:r>
          </w:p>
        </w:tc>
        <w:tc>
          <w:tcPr>
            <w:tcW w:type="dxa" w:w="1701"/>
          </w:tcPr>
          <w:p>
            <w:pPr>
              <w:pStyle w:val="TableText"/>
            </w:pPr>
            <w:r>
              <w:rPr>
                <w:rFonts w:ascii="Arial" w:hAnsi="Arial"/>
                <w:sz w:val="14"/>
              </w:rPr>
              <w:t>Principle 2.6 use of externally developed models and third-party vendor products.</w:t>
            </w:r>
          </w:p>
        </w:tc>
        <w:tc>
          <w:tcPr>
            <w:tcW w:type="dxa" w:w="1701"/>
          </w:tcPr>
          <w:p>
            <w:pPr>
              <w:pStyle w:val="TableText"/>
            </w:pPr>
            <w:r>
              <w:rPr>
                <w:rFonts w:ascii="Arial" w:hAnsi="Arial"/>
                <w:sz w:val="14"/>
              </w:rPr>
              <w:t>All models in scope regardless of source; B-10 applies to the arrangement.</w:t>
            </w:r>
          </w:p>
        </w:tc>
        <w:tc>
          <w:tcPr>
            <w:tcW w:type="dxa" w:w="1701"/>
          </w:tcPr>
          <w:p>
            <w:pPr>
              <w:pStyle w:val="TableText"/>
            </w:pPr>
            <w:r>
              <w:rPr>
                <w:rFonts w:ascii="Arial" w:hAnsi="Arial"/>
                <w:sz w:val="14"/>
              </w:rPr>
              <w:t>Section 11 third-party involvement.</w:t>
            </w:r>
          </w:p>
        </w:tc>
        <w:tc>
          <w:tcPr>
            <w:tcW w:type="dxa" w:w="1644"/>
          </w:tcPr>
          <w:p>
            <w:pPr>
              <w:pStyle w:val="TableText"/>
            </w:pPr>
            <w:r>
              <w:rPr>
                <w:rFonts w:ascii="Arial" w:hAnsi="Arial"/>
                <w:sz w:val="14"/>
              </w:rPr>
              <w:t>Provider opacity and contingency prominent in AI practice.</w:t>
            </w:r>
          </w:p>
        </w:tc>
        <w:tc>
          <w:tcPr>
            <w:tcW w:type="dxa" w:w="1531"/>
          </w:tcPr>
          <w:p>
            <w:pPr>
              <w:pStyle w:val="TableText"/>
            </w:pPr>
            <w:r>
              <w:rPr>
                <w:rFonts w:ascii="Arial" w:hAnsi="Arial"/>
                <w:sz w:val="14"/>
              </w:rPr>
              <w:t>Twelve third-party risk principles covering the full lifecycle.</w:t>
            </w:r>
          </w:p>
        </w:tc>
        <w:tc>
          <w:tcPr>
            <w:tcW w:type="dxa" w:w="1417"/>
          </w:tcPr>
          <w:p>
            <w:pPr>
              <w:pStyle w:val="TableText"/>
            </w:pPr>
            <w:r>
              <w:rPr>
                <w:rFonts w:ascii="Arial" w:hAnsi="Arial"/>
                <w:sz w:val="14"/>
              </w:rPr>
              <w:t>Sound Practice 12 third-party AI risk management.</w:t>
            </w:r>
          </w:p>
        </w:tc>
      </w:tr>
      <w:tr>
        <w:tc>
          <w:tcPr>
            <w:tcW w:type="dxa" w:w="1417"/>
            <w:shd w:val="clear" w:color="auto" w:fill="F4F6FA"/>
          </w:tcPr>
          <w:p>
            <w:pPr>
              <w:pStyle w:val="TableText"/>
            </w:pPr>
            <w:r>
              <w:rPr>
                <w:rFonts w:ascii="Arial" w:hAnsi="Arial"/>
                <w:sz w:val="14"/>
              </w:rPr>
              <w:t>Concentration and substitutability</w:t>
            </w:r>
          </w:p>
        </w:tc>
        <w:tc>
          <w:tcPr>
            <w:tcW w:type="dxa" w:w="1757"/>
            <w:shd w:val="clear" w:color="auto" w:fill="F4F6FA"/>
          </w:tcPr>
          <w:p>
            <w:pPr>
              <w:pStyle w:val="TableText"/>
            </w:pPr>
            <w:r>
              <w:rPr>
                <w:rFonts w:ascii="Arial" w:hAnsi="Arial"/>
                <w:sz w:val="14"/>
              </w:rPr>
              <w:t>Entity-level concentration assessment, with support for sector-wide monitoring of common model and data dependencies.</w:t>
            </w:r>
          </w:p>
        </w:tc>
        <w:tc>
          <w:tcPr>
            <w:tcW w:type="dxa" w:w="1701"/>
            <w:shd w:val="clear" w:color="auto" w:fill="F4F6FA"/>
          </w:tcPr>
          <w:p>
            <w:pPr>
              <w:pStyle w:val="TableText"/>
            </w:pPr>
            <w:r>
              <w:rPr>
                <w:rFonts w:ascii="Arial" w:hAnsi="Arial"/>
                <w:sz w:val="14"/>
              </w:rPr>
              <w:t>Not addressed as a systemic matter.</w:t>
            </w:r>
          </w:p>
        </w:tc>
        <w:tc>
          <w:tcPr>
            <w:tcW w:type="dxa" w:w="1701"/>
            <w:shd w:val="clear" w:color="auto" w:fill="F4F6FA"/>
          </w:tcPr>
          <w:p>
            <w:pPr>
              <w:pStyle w:val="TableText"/>
            </w:pPr>
            <w:r>
              <w:rPr>
                <w:rFonts w:ascii="Arial" w:hAnsi="Arial"/>
                <w:sz w:val="14"/>
              </w:rPr>
              <w:t>Not AI-specific.</w:t>
            </w:r>
          </w:p>
        </w:tc>
        <w:tc>
          <w:tcPr>
            <w:tcW w:type="dxa" w:w="1701"/>
            <w:shd w:val="clear" w:color="auto" w:fill="F4F6FA"/>
          </w:tcPr>
          <w:p>
            <w:pPr>
              <w:pStyle w:val="TableText"/>
            </w:pPr>
            <w:r>
              <w:rPr>
                <w:rFonts w:ascii="Arial" w:hAnsi="Arial"/>
                <w:sz w:val="14"/>
              </w:rPr>
              <w:t>Interconnectedness is a proportionality factor.</w:t>
            </w:r>
          </w:p>
        </w:tc>
        <w:tc>
          <w:tcPr>
            <w:tcW w:type="dxa" w:w="1701"/>
            <w:shd w:val="clear" w:color="auto" w:fill="F4F6FA"/>
          </w:tcPr>
          <w:p>
            <w:pPr>
              <w:pStyle w:val="TableText"/>
            </w:pPr>
            <w:r>
              <w:rPr>
                <w:rFonts w:ascii="Arial" w:hAnsi="Arial"/>
                <w:sz w:val="14"/>
              </w:rPr>
              <w:t>Not addressed as a systemic matter.</w:t>
            </w:r>
          </w:p>
        </w:tc>
        <w:tc>
          <w:tcPr>
            <w:tcW w:type="dxa" w:w="1644"/>
            <w:shd w:val="clear" w:color="auto" w:fill="F4F6FA"/>
          </w:tcPr>
          <w:p>
            <w:pPr>
              <w:pStyle w:val="TableText"/>
            </w:pPr>
            <w:r>
              <w:rPr>
                <w:rFonts w:ascii="Arial" w:hAnsi="Arial"/>
                <w:sz w:val="14"/>
              </w:rPr>
              <w:t>Provider concentration highlighted in AI practice.</w:t>
            </w:r>
          </w:p>
        </w:tc>
        <w:tc>
          <w:tcPr>
            <w:tcW w:type="dxa" w:w="1531"/>
            <w:shd w:val="clear" w:color="auto" w:fill="F4F6FA"/>
          </w:tcPr>
          <w:p>
            <w:pPr>
              <w:pStyle w:val="TableText"/>
            </w:pPr>
            <w:r>
              <w:rPr>
                <w:rFonts w:ascii="Arial" w:hAnsi="Arial"/>
                <w:sz w:val="14"/>
              </w:rPr>
              <w:t>Concentration addressed in the third-party principles.</w:t>
            </w:r>
          </w:p>
        </w:tc>
        <w:tc>
          <w:tcPr>
            <w:tcW w:type="dxa" w:w="1417"/>
            <w:shd w:val="clear" w:color="auto" w:fill="F4F6FA"/>
          </w:tcPr>
          <w:p>
            <w:pPr>
              <w:pStyle w:val="TableText"/>
            </w:pPr>
            <w:r>
              <w:rPr>
                <w:rFonts w:ascii="Arial" w:hAnsi="Arial"/>
                <w:sz w:val="14"/>
              </w:rPr>
              <w:t>Third-party dependencies and service provider concentration identified as a financial stability vulnerability.</w:t>
            </w:r>
          </w:p>
        </w:tc>
      </w:tr>
      <w:tr>
        <w:tc>
          <w:tcPr>
            <w:tcW w:type="dxa" w:w="1417"/>
          </w:tcPr>
          <w:p>
            <w:pPr>
              <w:pStyle w:val="TableText"/>
            </w:pPr>
            <w:r>
              <w:rPr>
                <w:rFonts w:ascii="Arial" w:hAnsi="Arial"/>
                <w:sz w:val="14"/>
              </w:rPr>
              <w:t>AI and machine learning models</w:t>
            </w:r>
          </w:p>
        </w:tc>
        <w:tc>
          <w:tcPr>
            <w:tcW w:type="dxa" w:w="1757"/>
          </w:tcPr>
          <w:p>
            <w:pPr>
              <w:pStyle w:val="TableText"/>
            </w:pPr>
            <w:r>
              <w:rPr>
                <w:rFonts w:ascii="Arial" w:hAnsi="Arial"/>
                <w:sz w:val="14"/>
              </w:rPr>
              <w:t>AI models within the framework as a model class, with an express boundary rule against the separate AI instrument.</w:t>
            </w:r>
          </w:p>
        </w:tc>
        <w:tc>
          <w:tcPr>
            <w:tcW w:type="dxa" w:w="1701"/>
          </w:tcPr>
          <w:p>
            <w:pPr>
              <w:pStyle w:val="TableText"/>
            </w:pPr>
            <w:r>
              <w:rPr>
                <w:rFonts w:ascii="Arial" w:hAnsi="Arial"/>
                <w:sz w:val="14"/>
              </w:rPr>
              <w:t>Traditional and non-generative, non-agentic AI models in scope; generative and agentic AI expressly excluded.</w:t>
            </w:r>
          </w:p>
        </w:tc>
        <w:tc>
          <w:tcPr>
            <w:tcW w:type="dxa" w:w="1701"/>
          </w:tcPr>
          <w:p>
            <w:pPr>
              <w:pStyle w:val="TableText"/>
            </w:pPr>
            <w:r>
              <w:rPr>
                <w:rFonts w:ascii="Arial" w:hAnsi="Arial"/>
                <w:sz w:val="14"/>
              </w:rPr>
              <w:t>Covered where AI meets the firm's model definition; a 2025 roundtable considered AI and ML in model risk.</w:t>
            </w:r>
          </w:p>
        </w:tc>
        <w:tc>
          <w:tcPr>
            <w:tcW w:type="dxa" w:w="1701"/>
          </w:tcPr>
          <w:p>
            <w:pPr>
              <w:pStyle w:val="TableText"/>
            </w:pPr>
            <w:r>
              <w:rPr>
                <w:rFonts w:ascii="Arial" w:hAnsi="Arial"/>
                <w:sz w:val="14"/>
              </w:rPr>
              <w:t>Model definition expressly includes AI and machine learning.</w:t>
            </w:r>
          </w:p>
        </w:tc>
        <w:tc>
          <w:tcPr>
            <w:tcW w:type="dxa" w:w="1701"/>
          </w:tcPr>
          <w:p>
            <w:pPr>
              <w:pStyle w:val="TableText"/>
            </w:pPr>
            <w:r>
              <w:rPr>
                <w:rFonts w:ascii="Arial" w:hAnsi="Arial"/>
                <w:sz w:val="14"/>
              </w:rPr>
              <w:t>Section 9 on the use of machine learning techniques in internal models.</w:t>
            </w:r>
          </w:p>
        </w:tc>
        <w:tc>
          <w:tcPr>
            <w:tcW w:type="dxa" w:w="1644"/>
          </w:tcPr>
          <w:p>
            <w:pPr>
              <w:pStyle w:val="TableText"/>
            </w:pPr>
            <w:r>
              <w:rPr>
                <w:rFonts w:ascii="Arial" w:hAnsi="Arial"/>
                <w:sz w:val="14"/>
              </w:rPr>
              <w:t>Detailed observed practice for AI model risk management, including generative AI.</w:t>
            </w:r>
          </w:p>
        </w:tc>
        <w:tc>
          <w:tcPr>
            <w:tcW w:type="dxa" w:w="1531"/>
          </w:tcPr>
          <w:p>
            <w:pPr>
              <w:pStyle w:val="TableText"/>
            </w:pPr>
            <w:r>
              <w:rPr>
                <w:rFonts w:ascii="Arial" w:hAnsi="Arial"/>
                <w:sz w:val="14"/>
              </w:rPr>
              <w:t>Analytical work on digitalisation and an AI/ML newsletter; no dedicated standard.</w:t>
            </w:r>
          </w:p>
        </w:tc>
        <w:tc>
          <w:tcPr>
            <w:tcW w:type="dxa" w:w="1417"/>
          </w:tcPr>
          <w:p>
            <w:pPr>
              <w:pStyle w:val="TableText"/>
            </w:pPr>
            <w:r>
              <w:rPr>
                <w:rFonts w:ascii="Arial" w:hAnsi="Arial"/>
                <w:sz w:val="14"/>
              </w:rPr>
              <w:t>Twelve sound practices for AI adoption, expressly not a standard.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5 model risk mitigants, and aggregate model risk reporting.</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240.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superseded by the 2027 guideline with effect from 1 May 2027.</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https://www.bankingsupervision.europa.eu/press/pr/date/2024/html/ssm.pr240503~9c07f30f24.en.html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https://www.mas.gov.sg/publications/monographs-or-information-paper/2024/information-paper-on-ai-model-risk-management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International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International principles. Effect depends on domestic implementation.</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International principles. Effect depends on domestic implementation.</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FSB-AI-2024</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The Financial Stability Implications of Artificial Intelligence</w:t>
            </w:r>
          </w:p>
        </w:tc>
        <w:tc>
          <w:tcPr>
            <w:tcW w:type="dxa" w:w="1304"/>
            <w:shd w:val="clear" w:color="auto" w:fill="F4F6FA"/>
          </w:tcPr>
          <w:p>
            <w:pPr>
              <w:pStyle w:val="TableText"/>
            </w:pPr>
            <w:r>
              <w:rPr>
                <w:rFonts w:ascii="Arial" w:hAnsi="Arial"/>
                <w:sz w:val="14"/>
              </w:rPr>
              <w:t>14 Nov 2024</w:t>
            </w:r>
          </w:p>
        </w:tc>
        <w:tc>
          <w:tcPr>
            <w:tcW w:type="dxa" w:w="1701"/>
            <w:shd w:val="clear" w:color="auto" w:fill="F4F6FA"/>
          </w:tcPr>
          <w:p>
            <w:pPr>
              <w:pStyle w:val="TableText"/>
            </w:pPr>
            <w:r>
              <w:rPr>
                <w:rFonts w:ascii="Arial" w:hAnsi="Arial"/>
                <w:sz w:val="14"/>
              </w:rPr>
              <w:t>Analytical report. Expressly not a standard.</w:t>
            </w:r>
          </w:p>
        </w:tc>
        <w:tc>
          <w:tcPr>
            <w:tcW w:type="dxa" w:w="1984"/>
            <w:shd w:val="clear" w:color="auto" w:fill="F4F6FA"/>
          </w:tcPr>
          <w:p>
            <w:pPr>
              <w:pStyle w:val="TableText"/>
            </w:pPr>
            <w:r>
              <w:rPr>
                <w:rFonts w:ascii="Arial" w:hAnsi="Arial"/>
                <w:sz w:val="14"/>
              </w:rPr>
              <w:t>https://www.fsb.org/2024/11/the-financial-stability-implications-of-artificial-intelligence/</w:t>
            </w:r>
          </w:p>
        </w:tc>
      </w:tr>
      <w:tr>
        <w:tc>
          <w:tcPr>
            <w:tcW w:type="dxa" w:w="1077"/>
          </w:tcPr>
          <w:p>
            <w:pPr>
              <w:pStyle w:val="TableText"/>
            </w:pPr>
            <w:r>
              <w:rPr>
                <w:rFonts w:ascii="Arial" w:hAnsi="Arial"/>
                <w:sz w:val="14"/>
              </w:rPr>
              <w:t>FSB-AI-2017</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Artificial intelligence and machine learning in financial services</w:t>
            </w:r>
          </w:p>
        </w:tc>
        <w:tc>
          <w:tcPr>
            <w:tcW w:type="dxa" w:w="1304"/>
          </w:tcPr>
          <w:p>
            <w:pPr>
              <w:pStyle w:val="TableText"/>
            </w:pPr>
            <w:r>
              <w:rPr>
                <w:rFonts w:ascii="Arial" w:hAnsi="Arial"/>
                <w:sz w:val="14"/>
              </w:rPr>
              <w:t>1 Nov 2017</w:t>
            </w:r>
          </w:p>
        </w:tc>
        <w:tc>
          <w:tcPr>
            <w:tcW w:type="dxa" w:w="1701"/>
          </w:tcPr>
          <w:p>
            <w:pPr>
              <w:pStyle w:val="TableText"/>
            </w:pPr>
            <w:r>
              <w:rPr>
                <w:rFonts w:ascii="Arial" w:hAnsi="Arial"/>
                <w:sz w:val="14"/>
              </w:rPr>
              <w:t>Analytical report. Not a standard.</w:t>
            </w:r>
          </w:p>
        </w:tc>
        <w:tc>
          <w:tcPr>
            <w:tcW w:type="dxa" w:w="1984"/>
          </w:tcPr>
          <w:p>
            <w:pPr>
              <w:pStyle w:val="TableText"/>
            </w:pPr>
            <w:r>
              <w:rPr>
                <w:rFonts w:ascii="Arial" w:hAnsi="Arial"/>
                <w:sz w:val="14"/>
              </w:rPr>
              <w:t>https://www.fsb.org/2017/11/artificial-intelligence-and-machine-learning-in-financial-service/</w:t>
            </w:r>
          </w:p>
        </w:tc>
      </w:tr>
      <w:tr>
        <w:tc>
          <w:tcPr>
            <w:tcW w:type="dxa" w:w="1077"/>
            <w:shd w:val="clear" w:color="auto" w:fill="F4F6FA"/>
          </w:tcPr>
          <w:p>
            <w:pPr>
              <w:pStyle w:val="TableText"/>
            </w:pPr>
            <w:r>
              <w:rPr>
                <w:rFonts w:ascii="Arial" w:hAnsi="Arial"/>
                <w:sz w:val="14"/>
              </w:rPr>
              <w:t>APRA-CPS220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220 Risk Management</w:t>
            </w:r>
          </w:p>
        </w:tc>
        <w:tc>
          <w:tcPr>
            <w:tcW w:type="dxa" w:w="1304"/>
            <w:shd w:val="clear" w:color="auto" w:fill="F4F6FA"/>
          </w:tcPr>
          <w:p>
            <w:pPr>
              <w:pStyle w:val="TableText"/>
            </w:pPr>
            <w:r>
              <w:rPr>
                <w:rFonts w:ascii="Arial" w:hAnsi="Arial"/>
                <w:sz w:val="14"/>
              </w:rPr>
              <w:t>In force</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https://www.apra.gov.au/prudential-standard-cps-220-risk-management</w:t>
            </w:r>
          </w:p>
        </w:tc>
      </w:tr>
      <w:tr>
        <w:tc>
          <w:tcPr>
            <w:tcW w:type="dxa" w:w="1077"/>
          </w:tcPr>
          <w:p>
            <w:pPr>
              <w:pStyle w:val="TableText"/>
            </w:pPr>
            <w:r>
              <w:rPr>
                <w:rFonts w:ascii="Arial" w:hAnsi="Arial"/>
                <w:sz w:val="14"/>
              </w:rPr>
              <w:t>APRA-SPS220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220 Risk Management</w:t>
            </w:r>
          </w:p>
        </w:tc>
        <w:tc>
          <w:tcPr>
            <w:tcW w:type="dxa" w:w="1304"/>
          </w:tcPr>
          <w:p>
            <w:pPr>
              <w:pStyle w:val="TableText"/>
            </w:pPr>
            <w:r>
              <w:rPr>
                <w:rFonts w:ascii="Arial" w:hAnsi="Arial"/>
                <w:sz w:val="14"/>
              </w:rPr>
              <w:t>In force</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https://www.apra.gov.au/prudential-standard-sps-220-risk-management</w:t>
            </w:r>
          </w:p>
        </w:tc>
      </w:tr>
      <w:tr>
        <w:tc>
          <w:tcPr>
            <w:tcW w:type="dxa" w:w="1077"/>
            <w:shd w:val="clear" w:color="auto" w:fill="F4F6FA"/>
          </w:tcPr>
          <w:p>
            <w:pPr>
              <w:pStyle w:val="TableText"/>
            </w:pPr>
            <w:r>
              <w:rPr>
                <w:rFonts w:ascii="Arial" w:hAnsi="Arial"/>
                <w:sz w:val="14"/>
              </w:rPr>
              <w:t>APRA-CPS230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230 Operational Risk Management</w:t>
            </w:r>
          </w:p>
        </w:tc>
        <w:tc>
          <w:tcPr>
            <w:tcW w:type="dxa" w:w="1304"/>
            <w:shd w:val="clear" w:color="auto" w:fill="F4F6FA"/>
          </w:tcPr>
          <w:p>
            <w:pPr>
              <w:pStyle w:val="TableText"/>
            </w:pPr>
            <w:r>
              <w:rPr>
                <w:rFonts w:ascii="Arial" w:hAnsi="Arial"/>
                <w:sz w:val="14"/>
              </w:rPr>
              <w:t>Eff. 1 Jul 2025</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https://www.apra.gov.au/prudential-standard-cps-230-operational-risk-management</w:t>
            </w:r>
          </w:p>
        </w:tc>
      </w:tr>
      <w:tr>
        <w:tc>
          <w:tcPr>
            <w:tcW w:type="dxa" w:w="1077"/>
          </w:tcPr>
          <w:p>
            <w:pPr>
              <w:pStyle w:val="TableText"/>
            </w:pPr>
            <w:r>
              <w:rPr>
                <w:rFonts w:ascii="Arial" w:hAnsi="Arial"/>
                <w:sz w:val="14"/>
              </w:rPr>
              <w:t>APRA-CPS234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234 Information Security</w:t>
            </w:r>
          </w:p>
        </w:tc>
        <w:tc>
          <w:tcPr>
            <w:tcW w:type="dxa" w:w="1304"/>
          </w:tcPr>
          <w:p>
            <w:pPr>
              <w:pStyle w:val="TableText"/>
            </w:pPr>
            <w:r>
              <w:rPr>
                <w:rFonts w:ascii="Arial" w:hAnsi="Arial"/>
                <w:sz w:val="14"/>
              </w:rPr>
              <w:t>Eff.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https://www.apra.gov.au/prudential-standard-cps-234-information-security</w:t>
            </w:r>
          </w:p>
        </w:tc>
      </w:tr>
      <w:tr>
        <w:tc>
          <w:tcPr>
            <w:tcW w:type="dxa" w:w="1077"/>
            <w:shd w:val="clear" w:color="auto" w:fill="F4F6FA"/>
          </w:tcPr>
          <w:p>
            <w:pPr>
              <w:pStyle w:val="TableText"/>
            </w:pPr>
            <w:r>
              <w:rPr>
                <w:rFonts w:ascii="Arial" w:hAnsi="Arial"/>
                <w:sz w:val="14"/>
              </w:rPr>
              <w:t>APRA-CPG235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CPG 235 Managing Data Risk</w:t>
            </w:r>
          </w:p>
        </w:tc>
        <w:tc>
          <w:tcPr>
            <w:tcW w:type="dxa" w:w="1304"/>
            <w:shd w:val="clear" w:color="auto" w:fill="F4F6FA"/>
          </w:tcPr>
          <w:p>
            <w:pPr>
              <w:pStyle w:val="TableText"/>
            </w:pPr>
            <w:r>
              <w:rPr>
                <w:rFonts w:ascii="Arial" w:hAnsi="Arial"/>
                <w:sz w:val="14"/>
              </w:rPr>
              <w:t>Sep 2013</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https://www.apra.gov.au/prudential-practice-guide-cpg-235-managing-data-risk</w:t>
            </w:r>
          </w:p>
        </w:tc>
      </w:tr>
      <w:tr>
        <w:tc>
          <w:tcPr>
            <w:tcW w:type="dxa" w:w="1077"/>
          </w:tcPr>
          <w:p>
            <w:pPr>
              <w:pStyle w:val="TableText"/>
            </w:pPr>
            <w:r>
              <w:rPr>
                <w:rFonts w:ascii="Arial" w:hAnsi="Arial"/>
                <w:sz w:val="14"/>
              </w:rPr>
              <w:t>APRA-APS113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113 Capital Adequacy: Internal Ratings-based Approach to Credit Risk</w:t>
            </w:r>
          </w:p>
        </w:tc>
        <w:tc>
          <w:tcPr>
            <w:tcW w:type="dxa" w:w="1304"/>
          </w:tcPr>
          <w:p>
            <w:pPr>
              <w:pStyle w:val="TableText"/>
            </w:pPr>
            <w:r>
              <w:rPr>
                <w:rFonts w:ascii="Arial" w:hAnsi="Arial"/>
                <w:sz w:val="14"/>
              </w:rPr>
              <w:t>In force</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https://www.apra.gov.au/prudential-standard-aps-113-capital-adequacy-internal-ratings-based-approach-to-credit-risk</w:t>
            </w:r>
          </w:p>
        </w:tc>
      </w:tr>
      <w:tr>
        <w:tc>
          <w:tcPr>
            <w:tcW w:type="dxa" w:w="1077"/>
            <w:shd w:val="clear" w:color="auto" w:fill="F4F6FA"/>
          </w:tcPr>
          <w:p>
            <w:pPr>
              <w:pStyle w:val="TableText"/>
            </w:pPr>
            <w:r>
              <w:rPr>
                <w:rFonts w:ascii="Arial" w:hAnsi="Arial"/>
                <w:sz w:val="14"/>
              </w:rPr>
              <w:t>APRA-CPS320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320 Actuarial and Related Matters</w:t>
            </w:r>
          </w:p>
        </w:tc>
        <w:tc>
          <w:tcPr>
            <w:tcW w:type="dxa" w:w="1304"/>
            <w:shd w:val="clear" w:color="auto" w:fill="F4F6FA"/>
          </w:tcPr>
          <w:p>
            <w:pPr>
              <w:pStyle w:val="TableText"/>
            </w:pPr>
            <w:r>
              <w:rPr>
                <w:rFonts w:ascii="Arial" w:hAnsi="Arial"/>
                <w:sz w:val="14"/>
              </w:rPr>
              <w:t>In force</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https://www.apra.gov.au/prudential-standard-cps-320-actuarial-and-related-matters</w:t>
            </w:r>
          </w:p>
        </w:tc>
      </w:tr>
      <w:tr>
        <w:tc>
          <w:tcPr>
            <w:tcW w:type="dxa" w:w="1077"/>
          </w:tcPr>
          <w:p>
            <w:pPr>
              <w:pStyle w:val="TableText"/>
            </w:pPr>
            <w:r>
              <w:rPr>
                <w:rFonts w:ascii="Arial" w:hAnsi="Arial"/>
                <w:sz w:val="14"/>
              </w:rPr>
              <w:t>APRA-SPS530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530 Investment Governance</w:t>
            </w:r>
          </w:p>
        </w:tc>
        <w:tc>
          <w:tcPr>
            <w:tcW w:type="dxa" w:w="1304"/>
          </w:tcPr>
          <w:p>
            <w:pPr>
              <w:pStyle w:val="TableText"/>
            </w:pPr>
            <w:r>
              <w:rPr>
                <w:rFonts w:ascii="Arial" w:hAnsi="Arial"/>
                <w:sz w:val="14"/>
              </w:rPr>
              <w:t>In force</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https://www.apra.gov.au/prudential-standard-sps-530-investment-governance</w:t>
            </w:r>
          </w:p>
        </w:tc>
      </w:tr>
      <w:tr>
        <w:tc>
          <w:tcPr>
            <w:tcW w:type="dxa" w:w="1077"/>
            <w:shd w:val="clear" w:color="auto" w:fill="F4F6FA"/>
          </w:tcPr>
          <w:p>
            <w:pPr>
              <w:pStyle w:val="TableText"/>
            </w:pPr>
            <w:r>
              <w:rPr>
                <w:rFonts w:ascii="Arial" w:hAnsi="Arial"/>
                <w:sz w:val="14"/>
              </w:rPr>
              <w:t>APRA-SPS515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515 Strategic Planning and Member Outcomes</w:t>
            </w:r>
          </w:p>
        </w:tc>
        <w:tc>
          <w:tcPr>
            <w:tcW w:type="dxa" w:w="1304"/>
            <w:shd w:val="clear" w:color="auto" w:fill="F4F6FA"/>
          </w:tcPr>
          <w:p>
            <w:pPr>
              <w:pStyle w:val="TableText"/>
            </w:pPr>
            <w:r>
              <w:rPr>
                <w:rFonts w:ascii="Arial" w:hAnsi="Arial"/>
                <w:sz w:val="14"/>
              </w:rPr>
              <w:t>In force</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https://www.apra.gov.au/prudential-standard-sps-515-strategic-planning-and-member-outcomes</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and SPS 515.</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M06</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M34</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M35</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M37</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M38</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M41</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M43</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M10</w:t>
            </w:r>
          </w:p>
        </w:tc>
        <w:tc>
          <w:tcPr>
            <w:tcW w:type="dxa" w:w="2608"/>
          </w:tcPr>
          <w:p>
            <w:pPr>
              <w:pStyle w:val="TableText"/>
            </w:pPr>
            <w:r>
              <w:rPr>
                <w:rFonts w:ascii="Arial" w:hAnsi="Arial"/>
                <w:sz w:val="17"/>
              </w:rPr>
              <w:t>Model risk appetite and limits</w:t>
            </w:r>
          </w:p>
        </w:tc>
        <w:tc>
          <w:tcPr>
            <w:tcW w:type="dxa" w:w="5953"/>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shd w:val="clear" w:color="auto" w:fill="F4F6FA"/>
          </w:tcPr>
          <w:p>
            <w:pPr>
              <w:pStyle w:val="TableText"/>
            </w:pPr>
            <w:r>
              <w:rPr>
                <w:rFonts w:ascii="Arial" w:hAnsi="Arial"/>
                <w:sz w:val="17"/>
              </w:rPr>
              <w:t>M19</w:t>
            </w:r>
          </w:p>
        </w:tc>
        <w:tc>
          <w:tcPr>
            <w:tcW w:type="dxa" w:w="2608"/>
            <w:shd w:val="clear" w:color="auto" w:fill="F4F6FA"/>
          </w:tcPr>
          <w:p>
            <w:pPr>
              <w:pStyle w:val="TableText"/>
            </w:pPr>
            <w:r>
              <w:rPr>
                <w:rFonts w:ascii="Arial" w:hAnsi="Arial"/>
                <w:sz w:val="17"/>
              </w:rPr>
              <w:t>Pre-implementation testing</w:t>
            </w:r>
          </w:p>
        </w:tc>
        <w:tc>
          <w:tcPr>
            <w:tcW w:type="dxa" w:w="5953"/>
            <w:shd w:val="clear" w:color="auto" w:fill="F4F6FA"/>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tcPr>
          <w:p>
            <w:pPr>
              <w:pStyle w:val="TableText"/>
            </w:pPr>
            <w:r>
              <w:rPr>
                <w:rFonts w:ascii="Arial" w:hAnsi="Arial"/>
                <w:sz w:val="17"/>
              </w:rPr>
              <w:t>M34</w:t>
            </w:r>
          </w:p>
        </w:tc>
        <w:tc>
          <w:tcPr>
            <w:tcW w:type="dxa" w:w="2608"/>
          </w:tcPr>
          <w:p>
            <w:pPr>
              <w:pStyle w:val="TableText"/>
            </w:pPr>
            <w:r>
              <w:rPr>
                <w:rFonts w:ascii="Arial" w:hAnsi="Arial"/>
                <w:sz w:val="17"/>
              </w:rPr>
              <w:t>Boundary with the AI risk management framework</w:t>
            </w:r>
          </w:p>
        </w:tc>
        <w:tc>
          <w:tcPr>
            <w:tcW w:type="dxa" w:w="5953"/>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shd w:val="clear" w:color="auto" w:fill="F4F6FA"/>
          </w:tcPr>
          <w:p>
            <w:pPr>
              <w:pStyle w:val="TableText"/>
            </w:pPr>
            <w:r>
              <w:rPr>
                <w:rFonts w:ascii="Arial" w:hAnsi="Arial"/>
                <w:sz w:val="17"/>
              </w:rPr>
              <w:t>M38</w:t>
            </w:r>
          </w:p>
        </w:tc>
        <w:tc>
          <w:tcPr>
            <w:tcW w:type="dxa" w:w="2608"/>
            <w:shd w:val="clear" w:color="auto" w:fill="F4F6FA"/>
          </w:tcPr>
          <w:p>
            <w:pPr>
              <w:pStyle w:val="TableText"/>
            </w:pPr>
            <w:r>
              <w:rPr>
                <w:rFonts w:ascii="Arial" w:hAnsi="Arial"/>
                <w:sz w:val="17"/>
              </w:rPr>
              <w:t>Models used by RSE licensees</w:t>
            </w:r>
          </w:p>
        </w:tc>
        <w:tc>
          <w:tcPr>
            <w:tcW w:type="dxa" w:w="5953"/>
            <w:shd w:val="clear" w:color="auto" w:fill="F4F6FA"/>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240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