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Meta"/>
      </w:pPr>
      <w:r>
        <w:rPr>
          <w:b/>
          <w:sz w:val="18"/>
        </w:rPr>
        <w:t>AUSTRALIAN PRUDENTIAL REGULATION AUTHORITY</w:t>
      </w:r>
    </w:p>
    <w:p>
      <w:pPr>
        <w:pStyle w:val="DocTitle"/>
        <w:pBdr>
          <w:bottom w:val="single" w:sz="8" w:space="4" w:color="1B335F"/>
        </w:pBdr>
      </w:pPr>
      <w:r>
        <w:t>Prudential Standard CPS 240</w:t>
      </w:r>
    </w:p>
    <w:p>
      <w:pPr>
        <w:pStyle w:val="DocSubtitle"/>
      </w:pPr>
      <w:r>
        <w:rPr>
          <w:b/>
        </w:rPr>
        <w:t>Model Risk Management</w:t>
      </w:r>
    </w:p>
    <w:p>
      <w:pPr>
        <w:pStyle w:val="DocMeta"/>
      </w:pPr>
      <w:r>
        <w:t>Draft cross-industry prudential standard</w:t>
      </w:r>
    </w:p>
    <w:p>
      <w:pPr>
        <w:pStyle w:val="DocMeta"/>
      </w:pPr>
      <w:r>
        <w:t>Policy development version — information verified to 25 July 2026</w:t>
      </w:r>
    </w:p>
    <w:p>
      <w:pPr>
        <w:pStyle w:val="DocMeta"/>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70" w:type="dxa"/>
          <w:left w:w="140" w:type="dxa"/>
          <w:bottom w:w="70" w:type="dxa"/>
          <w:right w:w="140" w:type="dxa"/>
        </w:tblCellMar>
      </w:tblPr>
      <w:tblGrid>
        <w:gridCol w:w="9412"/>
      </w:tblGrid>
      <w:tr>
        <w:tc>
          <w:tcPr>
            <w:tcW w:type="dxa" w:w="9411"/>
            <w:shd w:val="clear" w:color="auto" w:fill="1B335F"/>
          </w:tcPr>
          <w:p>
            <w:pPr>
              <w:jc w:val="center"/>
            </w:pPr>
            <w:r>
              <w:rPr>
                <w:rFonts w:ascii="Arial" w:hAnsi="Arial"/>
                <w:b/>
                <w:color w:val="FFFFFF"/>
                <w:sz w:val="18"/>
              </w:rPr>
              <w:t>POLICY DEVELOPMENT DRAFT — NOT IN FORCE</w:t>
            </w:r>
          </w:p>
        </w:tc>
      </w:tr>
    </w:tbl>
    <w:p>
      <w:pPr>
        <w:pStyle w:val="DocMeta"/>
      </w:pP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90" w:type="dxa"/>
          <w:left w:w="140" w:type="dxa"/>
          <w:bottom w:w="90" w:type="dxa"/>
          <w:right w:w="140" w:type="dxa"/>
        </w:tblCellMar>
      </w:tblPr>
      <w:tblGrid>
        <w:gridCol w:w="9412"/>
      </w:tblGrid>
      <w:tr>
        <w:tc>
          <w:tcPr>
            <w:tcW w:type="dxa" w:w="9411"/>
            <w:shd w:val="clear" w:color="auto" w:fill="EEF2F8"/>
          </w:tcPr>
          <w:p>
            <w:pPr/>
            <w:r>
              <w:rPr>
                <w:rFonts w:ascii="Arial" w:hAnsi="Arial"/>
                <w:b/>
                <w:color w:val="1B335F"/>
                <w:sz w:val="19"/>
              </w:rPr>
              <w:t>Status and legal review</w:t>
            </w:r>
          </w:p>
          <w:p>
            <w:pPr/>
            <w:r>
              <w:rPr>
                <w:rFonts w:ascii="Arial" w:hAnsi="Arial"/>
                <w:sz w:val="19"/>
              </w:rPr>
              <w:t>This document is a policy-development draft and is not in force. It has no legal effect. APRA Legal and the Office of Parliamentary Counsel must settle the enabling provisions, sectoral application, instrument numbering, definitions, commencement, transition, enforcement powers and interaction with existing CPS and SPS instruments before consultation or issue. Annex F records the decisions required. The number 'CPS 240' is a placeholder adopted for drafting convenience and does not indicate an allocated instrument number.</w:t>
            </w:r>
          </w:p>
        </w:tc>
      </w:tr>
    </w:tbl>
    <w:p>
      <w:pPr>
        <w:pStyle w:val="DocMeta"/>
      </w:pPr>
    </w:p>
    <w:p>
      <w:pPr>
        <w:pStyle w:val="Heading1"/>
      </w:pPr>
      <w:r>
        <w:t>Objectives and key requirements</w:t>
      </w:r>
    </w:p>
    <w:p>
      <w:pPr>
        <w:pStyle w:val="Guidance"/>
      </w:pPr>
      <w:r>
        <w:t>The objective of this Prudential Standard is to ensure that an APRA-regulated entity identifies the models it relies upon, manages the risk that those models are wrong or are used incorrectly, and can demonstrate that reliance on models is consistent with its prudential obligations.</w:t>
      </w:r>
    </w:p>
    <w:p>
      <w:pPr>
        <w:pStyle w:val="Guidance"/>
      </w:pPr>
      <w:r>
        <w:t>Models determine regulatory capital, provisions, valuations, insurance liabilities, unit prices, credit and pricing decisions, fraud interventions and member outcomes. Model risk is the risk of adverse consequences from decisions based on incorrect or misused model outputs. It is a distinct prudential risk and is not adequately managed as a subset of the risks the models themselves measure.</w:t>
      </w:r>
    </w:p>
    <w:p>
      <w:pPr>
        <w:pStyle w:val="Guidance"/>
      </w:pPr>
      <w:r>
        <w:t>This Prudential Standard is intended to operate alongside CPS 220 or SPS 220, CPS 230 and CPS 234, and alongside the model requirements in the capital, actuarial and investment governance standards. It does not displace those requirements, nor obligations under other Commonwealth, State or Territory laws or the responsibilities of other regulators.</w:t>
      </w:r>
    </w:p>
    <w:p>
      <w:pPr>
        <w:pStyle w:val="Guidance"/>
      </w:pPr>
      <w:r>
        <w:t>The key requirements of this Prudential Standard are that an APRA-regulated entity must:</w:t>
      </w:r>
    </w:p>
    <w:p>
      <w:pPr>
        <w:pStyle w:val="Bullet"/>
      </w:pPr>
      <w:r>
        <w:t>• identify the models it uses and maintain an accurate enterprise inventory;</w:t>
      </w:r>
    </w:p>
    <w:p>
      <w:pPr>
        <w:pStyle w:val="Bullet"/>
      </w:pPr>
      <w:r>
        <w:t>• classify models by risk and apply controls of an intensity that matches that classification;</w:t>
      </w:r>
    </w:p>
    <w:p>
      <w:pPr>
        <w:pStyle w:val="Bullet"/>
      </w:pPr>
      <w:r>
        <w:t>• govern models across their full lifecycle, from development through to decommissioning;</w:t>
      </w:r>
    </w:p>
    <w:p>
      <w:pPr>
        <w:pStyle w:val="Bullet"/>
      </w:pPr>
      <w:r>
        <w:t>• subject models to independent validation and to effective challenge;</w:t>
      </w:r>
    </w:p>
    <w:p>
      <w:pPr>
        <w:pStyle w:val="Bullet"/>
      </w:pPr>
      <w:r>
        <w:t>• control how models are used, changed and adjusted;</w:t>
      </w:r>
    </w:p>
    <w:p>
      <w:pPr>
        <w:pStyle w:val="Bullet"/>
      </w:pPr>
      <w:r>
        <w:t>• monitor model performance and act on deterioration;</w:t>
      </w:r>
    </w:p>
    <w:p>
      <w:pPr>
        <w:pStyle w:val="Bullet"/>
      </w:pPr>
      <w:r>
        <w:t>• manage model risk arising from third parties and from artificial intelligence techniques;</w:t>
      </w:r>
    </w:p>
    <w:p>
      <w:pPr>
        <w:pStyle w:val="Bullet"/>
      </w:pPr>
      <w:r>
        <w:t>• assess model risk in aggregate and report it to the Board; and</w:t>
      </w:r>
    </w:p>
    <w:p>
      <w:pPr>
        <w:pStyle w:val="Bullet"/>
      </w:pPr>
      <w:r>
        <w:t>• maintain records and obtain independent assurance sufficient to demonstrate compliance.</w:t>
      </w:r>
    </w:p>
    <w:p>
      <w:pPr>
        <w:pStyle w:val="Heading1"/>
      </w:pPr>
      <w:r>
        <w:t>Interpretation</w:t>
      </w:r>
    </w:p>
    <w:tbl>
      <w:tblPr>
        <w:tblW w:type="auto" w:w="0"/>
        <w:tblLook w:firstColumn="1" w:firstRow="1" w:lastColumn="0" w:lastRow="0" w:noHBand="0" w:noVBand="1" w:val="04A0"/>
        <w:tblBorders>
          <w:top w:val="single" w:sz="4" w:space="0" w:color="C7D0DF"/>
          <w:left w:val="single" w:sz="4" w:space="0" w:color="C7D0DF"/>
          <w:bottom w:val="single" w:sz="4" w:space="0" w:color="C7D0DF"/>
          <w:right w:val="single" w:sz="4" w:space="0" w:color="C7D0DF"/>
          <w:insideH w:val="single" w:sz="4" w:space="0" w:color="C7D0DF"/>
          <w:insideV w:val="single" w:sz="4" w:space="0" w:color="C7D0DF"/>
        </w:tblBorders>
        <w:tblCellMar>
          <w:top w:w="90" w:type="dxa"/>
          <w:left w:w="140" w:type="dxa"/>
          <w:bottom w:w="90" w:type="dxa"/>
          <w:right w:w="140" w:type="dxa"/>
        </w:tblCellMar>
      </w:tblPr>
      <w:tblGrid>
        <w:gridCol w:w="9412"/>
      </w:tblGrid>
      <w:tr>
        <w:tc>
          <w:tcPr>
            <w:tcW w:type="dxa" w:w="9411"/>
            <w:shd w:val="clear" w:color="auto" w:fill="EEF2F8"/>
          </w:tcPr>
          <w:p>
            <w:pPr/>
            <w:r>
              <w:rPr>
                <w:rFonts w:ascii="Arial" w:hAnsi="Arial"/>
                <w:b/>
                <w:color w:val="1B335F"/>
                <w:sz w:val="19"/>
              </w:rPr>
              <w:t>How to read this Prudential Standard</w:t>
            </w:r>
          </w:p>
          <w:p>
            <w:pPr/>
            <w:r>
              <w:rPr>
                <w:rFonts w:ascii="Arial" w:hAnsi="Arial"/>
                <w:sz w:val="19"/>
              </w:rPr>
              <w:t>Every numbered paragraph set in bold is a proposed mandatory requirement. Text that is not bold is explanatory and does not itself impose an obligation. Each requirement is followed by explanatory text and by a cross-reference to the paragraphs of CPG 240 Model Risk Management that provide guidance on meeting it.</w:t>
            </w:r>
          </w:p>
        </w:tc>
      </w:tr>
    </w:tbl>
    <w:p>
      <w:pPr>
        <w:pStyle w:val="DocMeta"/>
      </w:pPr>
    </w:p>
    <w:p>
      <w:pPr>
        <w:pStyle w:val="Guidance"/>
      </w:pPr>
      <w:r>
        <w:t>Proportionality. References in this Prudential Standard to materiality, risk, complexity and criticality are cumulative considerations, applied to the circumstances of the entity and of the individual model.</w:t>
      </w:r>
    </w:p>
    <w:p>
      <w:pPr>
        <w:pStyle w:val="Guidance"/>
      </w:pPr>
      <w:r>
        <w:t>Interaction with other standards. Where a model is also subject to a requirement in a capital, actuarial or investment governance standard, that requirement continues to apply. Where a model failure is also an operational risk incident or an information security incident, the notification requirements of CPS 230 and CPS 234 apply and this Prudential Standard does not create a separate deadline.</w:t>
      </w:r>
    </w:p>
    <w:p>
      <w:pPr>
        <w:pStyle w:val="Guidance"/>
      </w:pPr>
      <w:r>
        <w:t>Terms defined in Annex A have the meaning given in that Annex.</w:t>
      </w:r>
    </w:p>
    <w:p>
      <w:pPr>
        <w:pStyle w:val="Heading1"/>
      </w:pPr>
      <w:r>
        <w:t>Contents</w:t>
      </w:r>
    </w:p>
    <w:p>
      <w:pPr>
        <w:pStyle w:val="ContentsHead"/>
      </w:pPr>
      <w:r>
        <w:t>Part A — Application and interpretation</w:t>
      </w:r>
    </w:p>
    <w:p>
      <w:pPr>
        <w:pStyle w:val="ContentsItem"/>
      </w:pPr>
      <w:r>
        <w:t>1. Application and scope  (M01–M03)</w:t>
      </w:r>
    </w:p>
    <w:p>
      <w:pPr>
        <w:pStyle w:val="ContentsItem"/>
      </w:pPr>
      <w:r>
        <w:t>2. Proportionality  (M04)</w:t>
      </w:r>
    </w:p>
    <w:p>
      <w:pPr>
        <w:pStyle w:val="ContentsHead"/>
      </w:pPr>
      <w:r>
        <w:t>Part B — Governance and accountability</w:t>
      </w:r>
    </w:p>
    <w:p>
      <w:pPr>
        <w:pStyle w:val="ContentsItem"/>
      </w:pPr>
      <w:r>
        <w:t>3. Board and senior management  (M05–M07)</w:t>
      </w:r>
    </w:p>
    <w:p>
      <w:pPr>
        <w:pStyle w:val="ContentsItem"/>
      </w:pPr>
      <w:r>
        <w:t>4. Capability and independence  (M08)</w:t>
      </w:r>
    </w:p>
    <w:p>
      <w:pPr>
        <w:pStyle w:val="ContentsHead"/>
      </w:pPr>
      <w:r>
        <w:t>Part C — Framework, appetite and policy</w:t>
      </w:r>
    </w:p>
    <w:p>
      <w:pPr>
        <w:pStyle w:val="ContentsItem"/>
      </w:pPr>
      <w:r>
        <w:t>5. Model risk management framework  (M09–M11)</w:t>
      </w:r>
    </w:p>
    <w:p>
      <w:pPr>
        <w:pStyle w:val="ContentsItem"/>
      </w:pPr>
      <w:r>
        <w:t>6. Reporting and escalation  (M12)</w:t>
      </w:r>
    </w:p>
    <w:p>
      <w:pPr>
        <w:pStyle w:val="ContentsHead"/>
      </w:pPr>
      <w:r>
        <w:t>Part D — Identification, inventory and tiering</w:t>
      </w:r>
    </w:p>
    <w:p>
      <w:pPr>
        <w:pStyle w:val="ContentsItem"/>
      </w:pPr>
      <w:r>
        <w:t>7. Inventory  (M13)</w:t>
      </w:r>
    </w:p>
    <w:p>
      <w:pPr>
        <w:pStyle w:val="ContentsItem"/>
      </w:pPr>
      <w:r>
        <w:t>8. Tiering  (M14–M15)</w:t>
      </w:r>
    </w:p>
    <w:p>
      <w:pPr>
        <w:pStyle w:val="ContentsHead"/>
      </w:pPr>
      <w:r>
        <w:t>Part E — Development, data and documentation</w:t>
      </w:r>
    </w:p>
    <w:p>
      <w:pPr>
        <w:pStyle w:val="ContentsItem"/>
      </w:pPr>
      <w:r>
        <w:t>9. Development  (M16)</w:t>
      </w:r>
    </w:p>
    <w:p>
      <w:pPr>
        <w:pStyle w:val="ContentsItem"/>
      </w:pPr>
      <w:r>
        <w:t>10. Data  (M17)</w:t>
      </w:r>
    </w:p>
    <w:p>
      <w:pPr>
        <w:pStyle w:val="ContentsItem"/>
      </w:pPr>
      <w:r>
        <w:t>11. Documentation  (M18)</w:t>
      </w:r>
    </w:p>
    <w:p>
      <w:pPr>
        <w:pStyle w:val="ContentsHead"/>
      </w:pPr>
      <w:r>
        <w:t>Part F — Testing, validation and approval</w:t>
      </w:r>
    </w:p>
    <w:p>
      <w:pPr>
        <w:pStyle w:val="ContentsItem"/>
      </w:pPr>
      <w:r>
        <w:t>12. Testing before use  (M19)</w:t>
      </w:r>
    </w:p>
    <w:p>
      <w:pPr>
        <w:pStyle w:val="ContentsItem"/>
      </w:pPr>
      <w:r>
        <w:t>13. Independent validation  (M20–M22)</w:t>
      </w:r>
    </w:p>
    <w:p>
      <w:pPr>
        <w:pStyle w:val="ContentsItem"/>
      </w:pPr>
      <w:r>
        <w:t>14. Approval  (M23)</w:t>
      </w:r>
    </w:p>
    <w:p>
      <w:pPr>
        <w:pStyle w:val="ContentsHead"/>
      </w:pPr>
      <w:r>
        <w:t>Part G — Implementation, use and change</w:t>
      </w:r>
    </w:p>
    <w:p>
      <w:pPr>
        <w:pStyle w:val="ContentsItem"/>
      </w:pPr>
      <w:r>
        <w:t>15. Implementation  (M24)</w:t>
      </w:r>
    </w:p>
    <w:p>
      <w:pPr>
        <w:pStyle w:val="ContentsItem"/>
      </w:pPr>
      <w:r>
        <w:t>16. Change  (M25)</w:t>
      </w:r>
    </w:p>
    <w:p>
      <w:pPr>
        <w:pStyle w:val="ContentsItem"/>
      </w:pPr>
      <w:r>
        <w:t>17. Use  (M26–M27)</w:t>
      </w:r>
    </w:p>
    <w:p>
      <w:pPr>
        <w:pStyle w:val="ContentsItem"/>
      </w:pPr>
      <w:r>
        <w:t>18. Monitoring  (M28–M29)</w:t>
      </w:r>
    </w:p>
    <w:p>
      <w:pPr>
        <w:pStyle w:val="ContentsItem"/>
      </w:pPr>
      <w:r>
        <w:t>19. Retirement  (M30)</w:t>
      </w:r>
    </w:p>
    <w:p>
      <w:pPr>
        <w:pStyle w:val="ContentsHead"/>
      </w:pPr>
      <w:r>
        <w:t>Part H — Third-party and AI models</w:t>
      </w:r>
    </w:p>
    <w:p>
      <w:pPr>
        <w:pStyle w:val="ContentsItem"/>
      </w:pPr>
      <w:r>
        <w:t>20. Third-party models  (M31–M32)</w:t>
      </w:r>
    </w:p>
    <w:p>
      <w:pPr>
        <w:pStyle w:val="ContentsItem"/>
      </w:pPr>
      <w:r>
        <w:t>21. AI and machine learning models  (M33–M34)</w:t>
      </w:r>
    </w:p>
    <w:p>
      <w:pPr>
        <w:pStyle w:val="ContentsHead"/>
      </w:pPr>
      <w:r>
        <w:t>Part I — Specialist model classes</w:t>
      </w:r>
    </w:p>
    <w:p>
      <w:pPr>
        <w:pStyle w:val="ContentsItem"/>
      </w:pPr>
      <w:r>
        <w:t>22. Regulatory capital models  (M35)</w:t>
      </w:r>
    </w:p>
    <w:p>
      <w:pPr>
        <w:pStyle w:val="ContentsItem"/>
      </w:pPr>
      <w:r>
        <w:t>23. Valuation and financial reporting models  (M36)</w:t>
      </w:r>
    </w:p>
    <w:p>
      <w:pPr>
        <w:pStyle w:val="ContentsItem"/>
      </w:pPr>
      <w:r>
        <w:t>24. Actuarial and insurance models  (M37)</w:t>
      </w:r>
    </w:p>
    <w:p>
      <w:pPr>
        <w:pStyle w:val="ContentsItem"/>
      </w:pPr>
      <w:r>
        <w:t>25. Superannuation models  (M38)</w:t>
      </w:r>
    </w:p>
    <w:p>
      <w:pPr>
        <w:pStyle w:val="ContentsItem"/>
      </w:pPr>
      <w:r>
        <w:t>26. Stress testing and scenario models  (M39)</w:t>
      </w:r>
    </w:p>
    <w:p>
      <w:pPr>
        <w:pStyle w:val="ContentsHead"/>
      </w:pPr>
      <w:r>
        <w:t>Part J — Aggregate risk, records and assurance</w:t>
      </w:r>
    </w:p>
    <w:p>
      <w:pPr>
        <w:pStyle w:val="ContentsItem"/>
      </w:pPr>
      <w:r>
        <w:t>27. Aggregate model risk  (M40)</w:t>
      </w:r>
    </w:p>
    <w:p>
      <w:pPr>
        <w:pStyle w:val="ContentsItem"/>
      </w:pPr>
      <w:r>
        <w:t>28. Records  (M41)</w:t>
      </w:r>
    </w:p>
    <w:p>
      <w:pPr>
        <w:pStyle w:val="ContentsItem"/>
      </w:pPr>
      <w:r>
        <w:t>29. Assurance  (M42)</w:t>
      </w:r>
    </w:p>
    <w:p>
      <w:pPr>
        <w:pStyle w:val="ContentsItem"/>
      </w:pPr>
      <w:r>
        <w:t>30. APRA engagement  (M43)</w:t>
      </w:r>
    </w:p>
    <w:p>
      <w:pPr>
        <w:pStyle w:val="DocMeta"/>
      </w:pPr>
    </w:p>
    <w:p>
      <w:pPr>
        <w:pStyle w:val="ContentsHead"/>
      </w:pPr>
      <w:r>
        <w:t>Annex A — Definitions</w:t>
      </w:r>
    </w:p>
    <w:p>
      <w:pPr>
        <w:pStyle w:val="ContentsHead"/>
      </w:pPr>
      <w:r>
        <w:t>Annex B — Minimum model inventory fields</w:t>
      </w:r>
    </w:p>
    <w:p>
      <w:pPr>
        <w:pStyle w:val="ContentsHead"/>
      </w:pPr>
      <w:r>
        <w:t>Annex C — Model risk tiering indicators</w:t>
      </w:r>
    </w:p>
    <w:p>
      <w:pPr>
        <w:pStyle w:val="ContentsHead"/>
      </w:pPr>
      <w:r>
        <w:t>Annex D — International comparison of model risk requirements</w:t>
      </w:r>
    </w:p>
    <w:p>
      <w:pPr>
        <w:pStyle w:val="ContentsHead"/>
      </w:pPr>
      <w:r>
        <w:t>Annex E — Source register</w:t>
      </w:r>
    </w:p>
    <w:p>
      <w:pPr>
        <w:pStyle w:val="ContentsHead"/>
      </w:pPr>
      <w:r>
        <w:t>Annex F — Matters requiring legal and policy settlement</w:t>
      </w:r>
    </w:p>
    <w:p>
      <w:pPr>
        <w:pStyle w:val="DocMeta"/>
      </w:pPr>
      <w:r>
        <w:br w:type="page"/>
      </w:r>
    </w:p>
    <w:p>
      <w:pPr>
        <w:pStyle w:val="Heading1"/>
      </w:pPr>
      <w:r>
        <w:t>Part A — Application and interpretation</w:t>
      </w:r>
    </w:p>
    <w:p>
      <w:pPr>
        <w:pStyle w:val="Heading2"/>
      </w:pPr>
      <w:r>
        <w:t>1. Application and scope</w:t>
      </w:r>
    </w:p>
    <w:p>
      <w:pPr>
        <w:pStyle w:val="Heading3"/>
      </w:pPr>
      <w:r>
        <w:t>M01 — Enterprise-wide application and retained accountability</w:t>
      </w:r>
    </w:p>
    <w:p>
      <w:pPr>
        <w:pStyle w:val="Requirement"/>
      </w:pPr>
      <w:r>
        <w:rPr>
          <w:b/>
        </w:rPr>
        <w:t>M01. An APRA-regulated entity must identify, assess, manage, monitor and report model risk arising from every model that it develops, acquires, configures, deploys or relies upon, whether the model is built internally, supplied by a third party or embedded within another system, and remains accountable for that model risk irrespective of who developed or operates the model.</w:t>
      </w:r>
    </w:p>
    <w:p>
      <w:pPr>
        <w:pStyle w:val="Guidance"/>
      </w:pPr>
      <w:r>
        <w:t>Model risk arises from the use of a model, not from its authorship. An entity that buys a model, licenses a platform containing one, inherits one through an acquisition or relies on a service provider's model is exposed to the consequences of that model being wrong or being used incorrectly, and cannot transfer that exposure by contract.</w:t>
      </w:r>
    </w:p>
    <w:p>
      <w:pPr>
        <w:pStyle w:val="Guidance"/>
      </w:pPr>
      <w:r>
        <w:t>Enterprise-wide means across all business lines, legal entities within the APRA-regulated group, and functions — including models used in finance, treasury, actuarial, capital, credit, markets, operations, compliance and human resources — and across all purposes, whether or not the model produces a regulatory number.</w:t>
      </w:r>
    </w:p>
    <w:p>
      <w:pPr>
        <w:pStyle w:val="CrossRef"/>
      </w:pPr>
      <w:r>
        <w:rPr>
          <w:i/>
        </w:rPr>
        <w:t>→ Guidance: CPG 240 paragraphs 15–16.</w:t>
      </w:r>
    </w:p>
    <w:p>
      <w:pPr>
        <w:pStyle w:val="Heading3"/>
      </w:pPr>
      <w:r>
        <w:t>M02 — Definition of a model and of model risk</w:t>
      </w:r>
    </w:p>
    <w:p>
      <w:pPr>
        <w:pStyle w:val="Requirement"/>
      </w:pPr>
      <w:r>
        <w:rPr>
          <w:b/>
        </w:rPr>
        <w:t>M02. An APRA-regulated entity must apply a documented definition of a model that captures any quantitative method, system or approach that applies statistical, economic, financial, actuarial or mathematical theories, techniques or assumptions to process input data into quantitative estimates, and must treat model risk as the potential for adverse consequences from decisions based on incorrect or misused model outputs.</w:t>
      </w:r>
    </w:p>
    <w:p>
      <w:pPr>
        <w:pStyle w:val="Guidance"/>
      </w:pPr>
      <w:r>
        <w:t>The definition is deliberately function-based rather than technology-based. Whether the processing is a regression, a decision tree, a deterministic actuarial formula or a neural network does not change the analysis. It is also deliberately broad: it captures deterministic actuarial and financial calculations, which the current United States guidance excludes, because in an Australian cross-industry context such calculations determine insurance liabilities and unit prices and carry model risk of the first order.</w:t>
      </w:r>
    </w:p>
    <w:p>
      <w:pPr>
        <w:pStyle w:val="Guidance"/>
      </w:pPr>
      <w:r>
        <w:t>Model risk has two principal sources: a model may have fundamental errors and produce inaccurate outputs relative to its design objective and intended use; or a model may be used incorrectly or inappropriately, including outside the purpose for which it was approved. Both must be managed.</w:t>
      </w:r>
    </w:p>
    <w:p>
      <w:pPr>
        <w:pStyle w:val="Guidance"/>
      </w:pPr>
      <w:r>
        <w:t>Applying the definition should not become an exercise in avoiding scope. Where it is genuinely unclear whether a tool is a model, the entity should record the determination and the reasoning, and should manage the residual risk under this Prudential Standard or under an equivalent control.</w:t>
      </w:r>
    </w:p>
    <w:p>
      <w:pPr>
        <w:pStyle w:val="CrossRef"/>
      </w:pPr>
      <w:r>
        <w:rPr>
          <w:i/>
        </w:rPr>
        <w:t>→ Guidance: CPG 240 paragraphs 8–12.</w:t>
      </w:r>
    </w:p>
    <w:p>
      <w:pPr>
        <w:pStyle w:val="Heading3"/>
      </w:pPr>
      <w:r>
        <w:t>M03 — Quantitative tools that are not models</w:t>
      </w:r>
    </w:p>
    <w:p>
      <w:pPr>
        <w:pStyle w:val="Requirement"/>
      </w:pPr>
      <w:r>
        <w:rPr>
          <w:b/>
        </w:rPr>
        <w:t>M03. An APRA-regulated entity must identify material quantitative decision tools that fall outside its model definition, record them, and apply controls proportionate to the risk they present.</w:t>
      </w:r>
    </w:p>
    <w:p>
      <w:pPr>
        <w:pStyle w:val="Guidance"/>
      </w:pPr>
      <w:r>
        <w:t>Deterministic calculators, complex spreadsheets, rules engines, allocation keys and end-user computing tools can drive material decisions and can be wrong in exactly the ways a model can be wrong, without meeting the definition of a model. Excluding them from the definition should not exclude them from control.</w:t>
      </w:r>
    </w:p>
    <w:p>
      <w:pPr>
        <w:pStyle w:val="Guidance"/>
      </w:pPr>
      <w:r>
        <w:t>The controls need not be the full model lifecycle. Ownership, documentation, change control, access control, periodic review and a check that the tool still does what it is meant to do will usually be sufficient for tools that are not material.</w:t>
      </w:r>
    </w:p>
    <w:p>
      <w:pPr>
        <w:pStyle w:val="CrossRef"/>
      </w:pPr>
      <w:r>
        <w:rPr>
          <w:i/>
        </w:rPr>
        <w:t>→ Guidance: CPG 240 paragraphs 12–14.</w:t>
      </w:r>
    </w:p>
    <w:p>
      <w:pPr>
        <w:pStyle w:val="Heading2"/>
      </w:pPr>
      <w:r>
        <w:t>2. Proportionality</w:t>
      </w:r>
    </w:p>
    <w:p>
      <w:pPr>
        <w:pStyle w:val="Heading3"/>
      </w:pPr>
      <w:r>
        <w:t>M04 — Proportionality and controlled exceptions</w:t>
      </w:r>
    </w:p>
    <w:p>
      <w:pPr>
        <w:pStyle w:val="Requirement"/>
      </w:pPr>
      <w:r>
        <w:rPr>
          <w:b/>
        </w:rPr>
        <w:t>M04. An APRA-regulated entity must apply this Prudential Standard in a manner proportionate to the materiality, complexity, autonomy and criticality of each model and to the size and business mix of the entity, and must document, time-bound, approve at an authority commensurate with the risk, and periodically review any exception to or reduction of the controls otherwise required.</w:t>
      </w:r>
    </w:p>
    <w:p>
      <w:pPr>
        <w:pStyle w:val="Guidance"/>
      </w:pPr>
      <w:r>
        <w:t>Proportionality changes the depth, frequency and formality of controls. It does not change whether a model must be identified, owned, classified or capable of being explained to the Board and to APRA.</w:t>
      </w:r>
    </w:p>
    <w:p>
      <w:pPr>
        <w:pStyle w:val="Guidance"/>
      </w:pPr>
      <w:r>
        <w:t>A small entity with a handful of vendor models has a materially different obligation from a large entity operating hundreds of internally developed models across several regulated businesses. Both must be able to demonstrate that the difference reflects risk rather than convenience.</w:t>
      </w:r>
    </w:p>
    <w:p>
      <w:pPr>
        <w:pStyle w:val="Guidance"/>
      </w:pPr>
      <w:r>
        <w:t>An exception register that grows without expiry dates is itself an indicator of framework weakness.</w:t>
      </w:r>
    </w:p>
    <w:p>
      <w:pPr>
        <w:pStyle w:val="CrossRef"/>
      </w:pPr>
      <w:r>
        <w:rPr>
          <w:i/>
        </w:rPr>
        <w:t>→ Guidance: CPG 240 paragraphs 17, 22–23.</w:t>
      </w:r>
    </w:p>
    <w:p>
      <w:pPr>
        <w:pStyle w:val="Heading1"/>
      </w:pPr>
      <w:r>
        <w:t>Part B — Governance and accountability</w:t>
      </w:r>
    </w:p>
    <w:p>
      <w:pPr>
        <w:pStyle w:val="Heading2"/>
      </w:pPr>
      <w:r>
        <w:t>3. Board and senior management</w:t>
      </w:r>
    </w:p>
    <w:p>
      <w:pPr>
        <w:pStyle w:val="Heading3"/>
      </w:pPr>
      <w:r>
        <w:t>M05 — Board oversight of model risk</w:t>
      </w:r>
    </w:p>
    <w:p>
      <w:pPr>
        <w:pStyle w:val="Requirement"/>
      </w:pPr>
      <w:r>
        <w:rPr>
          <w:b/>
        </w:rPr>
        <w:t>M05. The Board of an APRA-regulated entity must approve the model risk management framework and the entity's appetite for model risk, and must satisfy itself that model risk is being managed within that appetite and that it receives information sufficient to form that judgement.</w:t>
      </w:r>
    </w:p>
    <w:p>
      <w:pPr>
        <w:pStyle w:val="Guidance"/>
      </w:pPr>
      <w:r>
        <w:t>The Board is not expected to understand the mathematics of individual models. It is expected to understand what the entity relies on models to do, where reliance is greatest, what could go wrong, how the entity would know, and what would happen next.</w:t>
      </w:r>
    </w:p>
    <w:p>
      <w:pPr>
        <w:pStyle w:val="Guidance"/>
      </w:pPr>
      <w:r>
        <w:t>Board reporting should be decision-useful rather than descriptive: aggregate exposure to model risk, movement in the tiering profile, validation coverage and overdue validations, unresolved high-severity findings, material limitations accepted, overlays in force and their size, and incidents.</w:t>
      </w:r>
    </w:p>
    <w:p>
      <w:pPr>
        <w:pStyle w:val="Guidance"/>
      </w:pPr>
      <w:r>
        <w:t>A Board that receives only a model count and a traffic-light summary is unlikely to be positioned to provide effective challenge.</w:t>
      </w:r>
    </w:p>
    <w:p>
      <w:pPr>
        <w:pStyle w:val="CrossRef"/>
      </w:pPr>
      <w:r>
        <w:rPr>
          <w:i/>
        </w:rPr>
        <w:t>→ Guidance: CPG 240 paragraphs 26–27, 29.</w:t>
      </w:r>
    </w:p>
    <w:p>
      <w:pPr>
        <w:pStyle w:val="Heading3"/>
      </w:pPr>
      <w:r>
        <w:t>M06 — Senior accountability for the framework</w:t>
      </w:r>
    </w:p>
    <w:p>
      <w:pPr>
        <w:pStyle w:val="Requirement"/>
      </w:pPr>
      <w:r>
        <w:rPr>
          <w:b/>
        </w:rPr>
        <w:t>M06. An APRA-regulated entity must assign accountability for the design, implementation and effectiveness of the model risk management framework to a named senior executive with sufficient authority, independence from model development and business sponsorship, and resources to discharge it.</w:t>
      </w:r>
    </w:p>
    <w:p>
      <w:pPr>
        <w:pStyle w:val="Guidance"/>
      </w:pPr>
      <w:r>
        <w:t>One accountable executive for the framework does not displace accountability for individual models. It ensures that someone owns the framework itself — its coverage, its consistency and its failures.</w:t>
      </w:r>
    </w:p>
    <w:p>
      <w:pPr>
        <w:pStyle w:val="Guidance"/>
      </w:pPr>
      <w:r>
        <w:t>The designation should be recorded in the entity's accountability arrangements and should be consistent with its obligations under the applicable accountability regime.</w:t>
      </w:r>
    </w:p>
    <w:p>
      <w:pPr>
        <w:pStyle w:val="CrossRef"/>
      </w:pPr>
      <w:r>
        <w:rPr>
          <w:i/>
        </w:rPr>
        <w:t>→ Guidance: CPG 240 paragraphs 30–31.</w:t>
      </w:r>
    </w:p>
    <w:p>
      <w:pPr>
        <w:pStyle w:val="Heading3"/>
      </w:pPr>
      <w:r>
        <w:t>M07 — Model ownership and defined lifecycle roles</w:t>
      </w:r>
    </w:p>
    <w:p>
      <w:pPr>
        <w:pStyle w:val="Requirement"/>
      </w:pPr>
      <w:r>
        <w:rPr>
          <w:b/>
        </w:rPr>
        <w:t>M07. An APRA-regulated entity must assign, for each model, a model owner accountable for the model throughout its lifecycle, and must define the roles, responsibilities and required independence of developers, validators, approvers, users and those responsible for monitoring.</w:t>
      </w:r>
    </w:p>
    <w:p>
      <w:pPr>
        <w:pStyle w:val="Guidance"/>
      </w:pPr>
      <w:r>
        <w:t>The model owner is accountable for the model being fit for its approved purpose, for its documentation being current, for its performance being monitored, for its limitations being disclosed to users, and for remediation of findings. Ownership that exists only in the inventory is not ownership.</w:t>
      </w:r>
    </w:p>
    <w:p>
      <w:pPr>
        <w:pStyle w:val="Guidance"/>
      </w:pPr>
      <w:r>
        <w:t>Where a model is used by more than one business, the entity should be explicit about who owns the model and who owns each use of it, because the two can fail independently.</w:t>
      </w:r>
    </w:p>
    <w:p>
      <w:pPr>
        <w:pStyle w:val="CrossRef"/>
      </w:pPr>
      <w:r>
        <w:rPr>
          <w:i/>
        </w:rPr>
        <w:t>→ Guidance: CPG 240 paragraphs 32–33.</w:t>
      </w:r>
    </w:p>
    <w:p>
      <w:pPr>
        <w:pStyle w:val="Heading2"/>
      </w:pPr>
      <w:r>
        <w:t>4. Capability and independence</w:t>
      </w:r>
    </w:p>
    <w:p>
      <w:pPr>
        <w:pStyle w:val="Heading3"/>
      </w:pPr>
      <w:r>
        <w:t>M08 — Capability, resourcing and independence</w:t>
      </w:r>
    </w:p>
    <w:p>
      <w:pPr>
        <w:pStyle w:val="Requirement"/>
      </w:pPr>
      <w:r>
        <w:rPr>
          <w:b/>
        </w:rPr>
        <w:t>M08. An APRA-regulated entity must maintain personnel, skills, tools and organisational arrangements sufficient to develop, use, validate, challenge and assure its models, with validation performed by persons who are independent of, and not accountable to, those who developed the model or who sponsor its business use.</w:t>
      </w:r>
    </w:p>
    <w:p>
      <w:pPr>
        <w:pStyle w:val="Guidance"/>
      </w:pPr>
      <w:r>
        <w:t>Independence is a matter of incentive as well as reporting line. A validator whose remuneration, progression or workload depends on the approval of the models they validate is not independent, whatever the organisational chart shows.</w:t>
      </w:r>
    </w:p>
    <w:p>
      <w:pPr>
        <w:pStyle w:val="Guidance"/>
      </w:pPr>
      <w:r>
        <w:t>Smaller entities may not be able to maintain a standing validation function. Independence can be achieved by using suitably qualified persons from elsewhere in the entity or group who were not involved in development, or by engaging an external provider, provided the entity retains the capability to understand, direct and challenge the work and does not simply accept its conclusions.</w:t>
      </w:r>
    </w:p>
    <w:p>
      <w:pPr>
        <w:pStyle w:val="CrossRef"/>
      </w:pPr>
      <w:r>
        <w:rPr>
          <w:i/>
        </w:rPr>
        <w:t>→ Guidance: CPG 240 paragraphs 34–36.</w:t>
      </w:r>
    </w:p>
    <w:p>
      <w:pPr>
        <w:pStyle w:val="Heading1"/>
      </w:pPr>
      <w:r>
        <w:t>Part C — Framework, appetite and policy</w:t>
      </w:r>
    </w:p>
    <w:p>
      <w:pPr>
        <w:pStyle w:val="Heading2"/>
      </w:pPr>
      <w:r>
        <w:t>5. Model risk management framework</w:t>
      </w:r>
    </w:p>
    <w:p>
      <w:pPr>
        <w:pStyle w:val="Heading3"/>
      </w:pPr>
      <w:r>
        <w:t>M09 — Integrated model risk management framework</w:t>
      </w:r>
    </w:p>
    <w:p>
      <w:pPr>
        <w:pStyle w:val="Requirement"/>
      </w:pPr>
      <w:r>
        <w:rPr>
          <w:b/>
        </w:rPr>
        <w:t>M09. An APRA-regulated entity must maintain a documented model risk management framework, integrated with its risk management framework, that covers model identification, inventory, tiering, development, data, testing, validation, approval, implementation, use, monitoring, change, limitations, remediation, decommissioning, reporting and assurance.</w:t>
      </w:r>
    </w:p>
    <w:p>
      <w:pPr>
        <w:pStyle w:val="Guidance"/>
      </w:pPr>
      <w:r>
        <w:t>Model risk should be treated as a risk in its own right rather than as a subset of operational risk. Treating it as an operational risk category tends to produce incident-based management after the event rather than lifecycle management before it.</w:t>
      </w:r>
    </w:p>
    <w:p>
      <w:pPr>
        <w:pStyle w:val="Guidance"/>
      </w:pPr>
      <w:r>
        <w:t>Integration means the framework connects to, and does not duplicate, the entity's arrangements for data risk, information security, operational risk, service provider management, change management and internal audit.</w:t>
      </w:r>
    </w:p>
    <w:p>
      <w:pPr>
        <w:pStyle w:val="CrossRef"/>
      </w:pPr>
      <w:r>
        <w:rPr>
          <w:i/>
        </w:rPr>
        <w:t>→ Guidance: CPG 240 paragraphs 37–38.</w:t>
      </w:r>
    </w:p>
    <w:p>
      <w:pPr>
        <w:pStyle w:val="Heading3"/>
      </w:pPr>
      <w:r>
        <w:t>M10 — Model risk appetite and limits</w:t>
      </w:r>
    </w:p>
    <w:p>
      <w:pPr>
        <w:pStyle w:val="Requirement"/>
      </w:pPr>
      <w:r>
        <w:rPr>
          <w:b/>
        </w:rPr>
        <w:t>M10. An APRA-regulated entity must define its appetite for model risk, express it in terms capable of being monitored, and establish limits, thresholds and escalation triggers against which model risk is measured and reported.</w:t>
      </w:r>
    </w:p>
    <w:p>
      <w:pPr>
        <w:pStyle w:val="Guidance"/>
      </w:pPr>
      <w:r>
        <w:t>A model risk appetite expressed only as a statement of intent cannot be breached and therefore cannot be managed. Measurable expressions include tolerances for validation coverage and overdue validations, the permissible number and age of high-severity unresolved findings, limits on the aggregate size of overlays relative to a modelled figure, and constraints on the use of models operating outside approved conditions.</w:t>
      </w:r>
    </w:p>
    <w:p>
      <w:pPr>
        <w:pStyle w:val="Guidance"/>
      </w:pPr>
      <w:r>
        <w:t>Where an entity cannot yet quantify aggregate model risk, it should say so, use qualitative and coverage-based measures in the interim, and set out how it intends to close the gap.</w:t>
      </w:r>
    </w:p>
    <w:p>
      <w:pPr>
        <w:pStyle w:val="CrossRef"/>
      </w:pPr>
      <w:r>
        <w:rPr>
          <w:i/>
        </w:rPr>
        <w:t>→ Guidance: CPG 240 paragraphs 39–41.</w:t>
      </w:r>
    </w:p>
    <w:p>
      <w:pPr>
        <w:pStyle w:val="Heading3"/>
      </w:pPr>
      <w:r>
        <w:t>M11 — Policy, standards and consistency of application</w:t>
      </w:r>
    </w:p>
    <w:p>
      <w:pPr>
        <w:pStyle w:val="Requirement"/>
      </w:pPr>
      <w:r>
        <w:rPr>
          <w:b/>
        </w:rPr>
        <w:t>M11. An APRA-regulated entity must maintain model risk policies and standards that are approved at an appropriate authority, applied consistently across the entity, reviewed at least annually, and version-controlled.</w:t>
      </w:r>
    </w:p>
    <w:p>
      <w:pPr>
        <w:pStyle w:val="Guidance"/>
      </w:pPr>
      <w:r>
        <w:t>Consistency matters most where it is least convenient. Where different businesses apply materially different development, validation or documentation standards to models of equivalent risk, the entity should be able to justify the difference on risk grounds.</w:t>
      </w:r>
    </w:p>
    <w:p>
      <w:pPr>
        <w:pStyle w:val="CrossRef"/>
      </w:pPr>
      <w:r>
        <w:rPr>
          <w:i/>
        </w:rPr>
        <w:t>→ Guidance: CPG 240 paragraphs 42–43.</w:t>
      </w:r>
    </w:p>
    <w:p>
      <w:pPr>
        <w:pStyle w:val="Heading2"/>
      </w:pPr>
      <w:r>
        <w:t>6. Reporting and escalation</w:t>
      </w:r>
    </w:p>
    <w:p>
      <w:pPr>
        <w:pStyle w:val="Heading3"/>
      </w:pPr>
      <w:r>
        <w:t>M12 — Management information and escalation</w:t>
      </w:r>
    </w:p>
    <w:p>
      <w:pPr>
        <w:pStyle w:val="Requirement"/>
      </w:pPr>
      <w:r>
        <w:rPr>
          <w:b/>
        </w:rPr>
        <w:t>M12. An APRA-regulated entity must provide the Board and senior management with timely and accurate information on model risk, including tiering profile, validation status, unresolved findings, material limitations, overlays, incidents, exceptions and remediation, and must escalate breaches of model risk limits and material model failures.</w:t>
      </w:r>
    </w:p>
    <w:p>
      <w:pPr>
        <w:pStyle w:val="Guidance"/>
      </w:pPr>
      <w:r>
        <w:t>Reporting should aggregate. A list of individual model issues does not tell the Board whether model risk is increasing or decreasing, or where the concentration of reliance sits.</w:t>
      </w:r>
    </w:p>
    <w:p>
      <w:pPr>
        <w:pStyle w:val="Guidance"/>
      </w:pPr>
      <w:r>
        <w:t>Escalation criteria should be set in advance. Deciding after the event whether a model failure was material enough to escalate produces predictable results.</w:t>
      </w:r>
    </w:p>
    <w:p>
      <w:pPr>
        <w:pStyle w:val="CrossRef"/>
      </w:pPr>
      <w:r>
        <w:rPr>
          <w:i/>
        </w:rPr>
        <w:t>→ Guidance: CPG 240 paragraphs 27–28, 81.</w:t>
      </w:r>
    </w:p>
    <w:p>
      <w:pPr>
        <w:pStyle w:val="Heading1"/>
      </w:pPr>
      <w:r>
        <w:t>Part D — Identification, inventory and tiering</w:t>
      </w:r>
    </w:p>
    <w:p>
      <w:pPr>
        <w:pStyle w:val="Heading2"/>
      </w:pPr>
      <w:r>
        <w:t>7. Inventory</w:t>
      </w:r>
    </w:p>
    <w:p>
      <w:pPr>
        <w:pStyle w:val="Heading3"/>
      </w:pPr>
      <w:r>
        <w:t>M13 — Model identification and enterprise inventory</w:t>
      </w:r>
    </w:p>
    <w:p>
      <w:pPr>
        <w:pStyle w:val="Requirement"/>
      </w:pPr>
      <w:r>
        <w:rPr>
          <w:b/>
        </w:rPr>
        <w:t>M13. An APRA-regulated entity must maintain a complete, accurate and current enterprise-wide inventory of its models, including models supplied by third parties, models embedded in acquired systems, models under development and models that have been retired but whose outputs remain in use.</w:t>
      </w:r>
    </w:p>
    <w:p>
      <w:pPr>
        <w:pStyle w:val="Guidance"/>
      </w:pPr>
      <w:r>
        <w:t>The inventory is the foundation of the framework: nothing else in this Prudential Standard can be demonstrated for a model that the entity does not know it has. Annex B sets out the minimum fields.</w:t>
      </w:r>
    </w:p>
    <w:p>
      <w:pPr>
        <w:pStyle w:val="Guidance"/>
      </w:pPr>
      <w:r>
        <w:t>Identification requires active discovery rather than voluntary registration. Procurement gates, architecture review, change approval, periodic business attestations and reconciliation to expenditure and to system inventories are all more reliable than asking business units to self-declare.</w:t>
      </w:r>
    </w:p>
    <w:p>
      <w:pPr>
        <w:pStyle w:val="Guidance"/>
      </w:pPr>
      <w:r>
        <w:t>Retired models require particular care where a decision, a provision, a capital number or a customer outcome produced by the model remains in force after the model itself has been switched off.</w:t>
      </w:r>
    </w:p>
    <w:p>
      <w:pPr>
        <w:pStyle w:val="CrossRef"/>
      </w:pPr>
      <w:r>
        <w:rPr>
          <w:i/>
        </w:rPr>
        <w:t>→ Guidance: CPG 240 paragraphs 44–48.</w:t>
      </w:r>
    </w:p>
    <w:p>
      <w:pPr>
        <w:pStyle w:val="Heading2"/>
      </w:pPr>
      <w:r>
        <w:t>8. Tiering</w:t>
      </w:r>
    </w:p>
    <w:p>
      <w:pPr>
        <w:pStyle w:val="Heading3"/>
      </w:pPr>
      <w:r>
        <w:t>M14 — Model risk tiering</w:t>
      </w:r>
    </w:p>
    <w:p>
      <w:pPr>
        <w:pStyle w:val="Requirement"/>
      </w:pPr>
      <w:r>
        <w:rPr>
          <w:b/>
        </w:rPr>
        <w:t>M14. An APRA-regulated entity must apply a documented and consistently implemented methodology to assign each model a model risk tier, using both quantitative and qualitative factors, and must use that tier to determine the intensity of development, documentation, validation, approval, monitoring and reporting applied to the model.</w:t>
      </w:r>
    </w:p>
    <w:p>
      <w:pPr>
        <w:pStyle w:val="Guidance"/>
      </w:pPr>
      <w:r>
        <w:t>Tiering factors should include the materiality of the decisions or figures the model influences, the complexity and transparency of the method, the uncertainty in the data and assumptions, the degree of reliance placed on the output, the extent of automation and the reversibility of the consequence.</w:t>
      </w:r>
    </w:p>
    <w:p>
      <w:pPr>
        <w:pStyle w:val="Guidance"/>
      </w:pPr>
      <w:r>
        <w:t>A simple model can warrant the highest tier because of what it is used for. Tiering that tracks technical sophistication rather than consequence will systematically under-govern the models that matter most.</w:t>
      </w:r>
    </w:p>
    <w:p>
      <w:pPr>
        <w:pStyle w:val="Guidance"/>
      </w:pPr>
      <w:r>
        <w:t>The tier should drive real differences in control. A tiering scheme that produces the same treatment for every tier is an administrative exercise rather than a risk control.</w:t>
      </w:r>
    </w:p>
    <w:p>
      <w:pPr>
        <w:pStyle w:val="CrossRef"/>
      </w:pPr>
      <w:r>
        <w:rPr>
          <w:i/>
        </w:rPr>
        <w:t>→ Guidance: CPG 240 paragraphs 17–21.</w:t>
      </w:r>
    </w:p>
    <w:p>
      <w:pPr>
        <w:pStyle w:val="Heading3"/>
      </w:pPr>
      <w:r>
        <w:t>M15 — Reassessment and trigger events</w:t>
      </w:r>
    </w:p>
    <w:p>
      <w:pPr>
        <w:pStyle w:val="Requirement"/>
      </w:pPr>
      <w:r>
        <w:rPr>
          <w:b/>
        </w:rPr>
        <w:t>M15. An APRA-regulated entity must reassess a model's tier and required controls at a frequency proportionate to its tier and upon the occurrence of defined trigger events, including material change to the model, its data, its purpose, its user base, its operating environment or the entity's reliance on it.</w:t>
      </w:r>
    </w:p>
    <w:p>
      <w:pPr>
        <w:pStyle w:val="Guidance"/>
      </w:pPr>
      <w:r>
        <w:t>Trigger events should include changes the entity did not initiate, such as a vendor releasing a new version, an upstream data source changing definition, or a portfolio migrating into a segment the model was not developed on.</w:t>
      </w:r>
    </w:p>
    <w:p>
      <w:pPr>
        <w:pStyle w:val="CrossRef"/>
      </w:pPr>
      <w:r>
        <w:rPr>
          <w:i/>
        </w:rPr>
        <w:t>→ Guidance: CPG 240 paragraphs 24–25.</w:t>
      </w:r>
    </w:p>
    <w:p>
      <w:pPr>
        <w:pStyle w:val="Heading1"/>
      </w:pPr>
      <w:r>
        <w:t>Part E — Development, data and documentation</w:t>
      </w:r>
    </w:p>
    <w:p>
      <w:pPr>
        <w:pStyle w:val="Heading2"/>
      </w:pPr>
      <w:r>
        <w:t>9. Development</w:t>
      </w:r>
    </w:p>
    <w:p>
      <w:pPr>
        <w:pStyle w:val="Heading3"/>
      </w:pPr>
      <w:r>
        <w:t>M16 — Conceptual soundness and development standards</w:t>
      </w:r>
    </w:p>
    <w:p>
      <w:pPr>
        <w:pStyle w:val="Requirement"/>
      </w:pPr>
      <w:r>
        <w:rPr>
          <w:b/>
        </w:rPr>
        <w:t>M16. An APRA-regulated entity must ensure that each model is developed in accordance with documented standards, is conceptually sound, is fit for its intended purpose, and that the design, theory, methodology, assumptions, variable selection and known limitations are justified and recorded.</w:t>
      </w:r>
    </w:p>
    <w:p>
      <w:pPr>
        <w:pStyle w:val="Guidance"/>
      </w:pPr>
      <w:r>
        <w:t>Conceptual soundness asks whether the approach makes sense for the purpose, not merely whether it fits the data. A model that performs well in backtesting on a period unrepresentative of the conditions in which it will be used is not conceptually sound.</w:t>
      </w:r>
    </w:p>
    <w:p>
      <w:pPr>
        <w:pStyle w:val="Guidance"/>
      </w:pPr>
      <w:r>
        <w:t>Development should include consideration of reasonable alternative approaches and a record of why the chosen approach was preferred. Where a more transparent method would have performed acceptably, the entity should be able to explain why a less transparent one was selected.</w:t>
      </w:r>
    </w:p>
    <w:p>
      <w:pPr>
        <w:pStyle w:val="Guidance"/>
      </w:pPr>
      <w:r>
        <w:t>Developmental evidence should include the testing carried out during development, its results, and the limitations that testing did not resolve — not only the tests the model passed.</w:t>
      </w:r>
    </w:p>
    <w:p>
      <w:pPr>
        <w:pStyle w:val="CrossRef"/>
      </w:pPr>
      <w:r>
        <w:rPr>
          <w:i/>
        </w:rPr>
        <w:t>→ Guidance: CPG 240 paragraphs 49–52.</w:t>
      </w:r>
    </w:p>
    <w:p>
      <w:pPr>
        <w:pStyle w:val="Heading2"/>
      </w:pPr>
      <w:r>
        <w:t>10. Data</w:t>
      </w:r>
    </w:p>
    <w:p>
      <w:pPr>
        <w:pStyle w:val="Heading3"/>
      </w:pPr>
      <w:r>
        <w:t>M17 — Data quality, provenance and appropriateness</w:t>
      </w:r>
    </w:p>
    <w:p>
      <w:pPr>
        <w:pStyle w:val="Requirement"/>
      </w:pPr>
      <w:r>
        <w:rPr>
          <w:b/>
        </w:rPr>
        <w:t>M17. An APRA-regulated entity must ensure that data used to develop, calibrate, test, operate and monitor a model is appropriate for that purpose, of sufficient quality, traceable to source, and that material data limitations, proxies, adjustments and exclusions are documented and their effect on model output assessed.</w:t>
      </w:r>
    </w:p>
    <w:p>
      <w:pPr>
        <w:pStyle w:val="Guidance"/>
      </w:pPr>
      <w:r>
        <w:t>Data appropriateness is a question of representativeness as well as accuracy. Data that is accurate but drawn from a population, product or period unlike the one in which the model will be used will produce confidently wrong answers.</w:t>
      </w:r>
    </w:p>
    <w:p>
      <w:pPr>
        <w:pStyle w:val="Guidance"/>
      </w:pPr>
      <w:r>
        <w:t>Where proxy or external data is used because internal data is insufficient, the entity should document the basis for considering the proxy suitable and should test the sensitivity of the output to that choice.</w:t>
      </w:r>
    </w:p>
    <w:p>
      <w:pPr>
        <w:pStyle w:val="Guidance"/>
      </w:pPr>
      <w:r>
        <w:t>Synthetic data used for development or testing should be identified as such, with its generation method and its representativeness assessed.</w:t>
      </w:r>
    </w:p>
    <w:p>
      <w:pPr>
        <w:pStyle w:val="CrossRef"/>
      </w:pPr>
      <w:r>
        <w:rPr>
          <w:i/>
        </w:rPr>
        <w:t>→ Guidance: CPG 240 paragraphs 53–56.</w:t>
      </w:r>
    </w:p>
    <w:p>
      <w:pPr>
        <w:pStyle w:val="Heading2"/>
      </w:pPr>
      <w:r>
        <w:t>11. Documentation</w:t>
      </w:r>
    </w:p>
    <w:p>
      <w:pPr>
        <w:pStyle w:val="Heading3"/>
      </w:pPr>
      <w:r>
        <w:t>M18 — Documentation sufficient for independent reconstruction</w:t>
      </w:r>
    </w:p>
    <w:p>
      <w:pPr>
        <w:pStyle w:val="Requirement"/>
      </w:pPr>
      <w:r>
        <w:rPr>
          <w:b/>
        </w:rPr>
        <w:t>M18. An APRA-regulated entity must maintain model documentation sufficient for a competent person independent of the model's development to understand its purpose, design, data, assumptions, implementation, limitations, testing, approved conditions of use and performance, and to reproduce its material results.</w:t>
      </w:r>
    </w:p>
    <w:p>
      <w:pPr>
        <w:pStyle w:val="Guidance"/>
      </w:pPr>
      <w:r>
        <w:t>The reconstruction test is the practical standard: documentation is adequate when someone who was not there can pick it up and reach the same answer. Documentation that depends on the continued availability of the person who built the model is a key-person dependency, not documentation.</w:t>
      </w:r>
    </w:p>
    <w:p>
      <w:pPr>
        <w:pStyle w:val="Guidance"/>
      </w:pPr>
      <w:r>
        <w:t>Documentation should be maintained through the model's life rather than assembled for validation or for a supervisory request.</w:t>
      </w:r>
    </w:p>
    <w:p>
      <w:pPr>
        <w:pStyle w:val="CrossRef"/>
      </w:pPr>
      <w:r>
        <w:rPr>
          <w:i/>
        </w:rPr>
        <w:t>→ Guidance: CPG 240 paragraphs 57–58.</w:t>
      </w:r>
    </w:p>
    <w:p>
      <w:pPr>
        <w:pStyle w:val="Heading1"/>
      </w:pPr>
      <w:r>
        <w:t>Part F — Testing, validation and approval</w:t>
      </w:r>
    </w:p>
    <w:p>
      <w:pPr>
        <w:pStyle w:val="Heading2"/>
      </w:pPr>
      <w:r>
        <w:t>12. Testing before use</w:t>
      </w:r>
    </w:p>
    <w:p>
      <w:pPr>
        <w:pStyle w:val="Heading3"/>
      </w:pPr>
      <w:r>
        <w:t>M19 — Pre-implementation testing</w:t>
      </w:r>
    </w:p>
    <w:p>
      <w:pPr>
        <w:pStyle w:val="Requirement"/>
      </w:pPr>
      <w:r>
        <w:rPr>
          <w:b/>
        </w:rPr>
        <w:t>M19. An APRA-regulated entity must not place a model into use for a material purpose until it has been tested against its design objective and intended use, the results have been documented, and residual limitations have been accepted at an appropriate authority.</w:t>
      </w:r>
    </w:p>
    <w:p>
      <w:pPr>
        <w:pStyle w:val="Guidance"/>
      </w:pPr>
      <w:r>
        <w:t>Testing should cover performance under expected conditions and under stressed, boundary and unrepresentative conditions, sensitivity to key assumptions and inputs, stability, and behaviour at the edges of the population the model will encounter.</w:t>
      </w:r>
    </w:p>
    <w:p>
      <w:pPr>
        <w:pStyle w:val="Guidance"/>
      </w:pPr>
      <w:r>
        <w:t>Testing should use data that is sufficiently independent of the data used to build the model. A model tested only on the data it was fitted to has not been tested.</w:t>
      </w:r>
    </w:p>
    <w:p>
      <w:pPr>
        <w:pStyle w:val="CrossRef"/>
      </w:pPr>
      <w:r>
        <w:rPr>
          <w:i/>
        </w:rPr>
        <w:t>→ Guidance: CPG 240 paragraphs 59–61.</w:t>
      </w:r>
    </w:p>
    <w:p>
      <w:pPr>
        <w:pStyle w:val="Heading2"/>
      </w:pPr>
      <w:r>
        <w:t>13. Independent validation</w:t>
      </w:r>
    </w:p>
    <w:p>
      <w:pPr>
        <w:pStyle w:val="Heading3"/>
      </w:pPr>
      <w:r>
        <w:t>M20 — Independent validation</w:t>
      </w:r>
    </w:p>
    <w:p>
      <w:pPr>
        <w:pStyle w:val="Requirement"/>
      </w:pPr>
      <w:r>
        <w:rPr>
          <w:b/>
        </w:rPr>
        <w:t>M20. An APRA-regulated entity must subject each model to independent validation before it is used for a material purpose and periodically thereafter at a frequency determined by its tier, and must not treat validation performed by the model's developer, its business sponsor or its vendor as satisfying this requirement.</w:t>
      </w:r>
    </w:p>
    <w:p>
      <w:pPr>
        <w:pStyle w:val="Guidance"/>
      </w:pPr>
      <w:r>
        <w:t>Validation is a distinct exercise from development testing. Its purpose is to form an independent view of whether the model is fit for its intended use, not to confirm that the development team did what it said it did.</w:t>
      </w:r>
    </w:p>
    <w:p>
      <w:pPr>
        <w:pStyle w:val="Guidance"/>
      </w:pPr>
      <w:r>
        <w:t>Vendor validation reports, model certifications and audit reports may be used as inputs. They do not discharge the entity's obligation, because they were not designed around the entity's data, portfolio, controls or use.</w:t>
      </w:r>
    </w:p>
    <w:p>
      <w:pPr>
        <w:pStyle w:val="CrossRef"/>
      </w:pPr>
      <w:r>
        <w:rPr>
          <w:i/>
        </w:rPr>
        <w:t>→ Guidance: CPG 240 paragraphs 69.</w:t>
      </w:r>
    </w:p>
    <w:p>
      <w:pPr>
        <w:pStyle w:val="Heading3"/>
      </w:pPr>
      <w:r>
        <w:t>M21 — Scope of validation</w:t>
      </w:r>
    </w:p>
    <w:p>
      <w:pPr>
        <w:pStyle w:val="Requirement"/>
      </w:pPr>
      <w:r>
        <w:rPr>
          <w:b/>
        </w:rPr>
        <w:t>M21. Validation of a model must address conceptual soundness, outcomes analysis comparing model outputs with corresponding actual outcomes, and ongoing model monitoring, and must reach an explicit conclusion on the model's fitness for its intended use together with any conditions or limitations.</w:t>
      </w:r>
    </w:p>
    <w:p>
      <w:pPr>
        <w:pStyle w:val="Guidance"/>
      </w:pPr>
      <w:r>
        <w:t>These three elements are complementary and none is sufficient alone. Conceptual soundness alone cannot detect deterioration; outcomes analysis alone cannot explain it.</w:t>
      </w:r>
    </w:p>
    <w:p>
      <w:pPr>
        <w:pStyle w:val="Guidance"/>
      </w:pPr>
      <w:r>
        <w:t>Validation should assess implementation as well as design — that the model as coded and deployed is the model as documented and approved.</w:t>
      </w:r>
    </w:p>
    <w:p>
      <w:pPr>
        <w:pStyle w:val="Guidance"/>
      </w:pPr>
      <w:r>
        <w:t>A validation that records observations without reaching a conclusion leaves the approval decision without the input it was designed to receive.</w:t>
      </w:r>
    </w:p>
    <w:p>
      <w:pPr>
        <w:pStyle w:val="CrossRef"/>
      </w:pPr>
      <w:r>
        <w:rPr>
          <w:i/>
        </w:rPr>
        <w:t>→ Guidance: CPG 240 paragraphs 62–65.</w:t>
      </w:r>
    </w:p>
    <w:p>
      <w:pPr>
        <w:pStyle w:val="Heading3"/>
      </w:pPr>
      <w:r>
        <w:t>M22 — Effective challenge</w:t>
      </w:r>
    </w:p>
    <w:p>
      <w:pPr>
        <w:pStyle w:val="Requirement"/>
      </w:pPr>
      <w:r>
        <w:rPr>
          <w:b/>
        </w:rPr>
        <w:t>M22. An APRA-regulated entity must ensure that its models are subject to effective challenge — critical and objective analysis by persons with the expertise to identify model limitations, sufficient independence to maintain objectivity, and the organisational standing and influence to effect change.</w:t>
      </w:r>
    </w:p>
    <w:p>
      <w:pPr>
        <w:pStyle w:val="Guidance"/>
      </w:pPr>
      <w:r>
        <w:t>Effective challenge depends on three things together: the challenger must know enough to find the problem, must be senior and independent enough for the finding to carry weight, and must be rewarded for raising it rather than for clearing models. Removing any one of the three defeats the control.</w:t>
      </w:r>
    </w:p>
    <w:p>
      <w:pPr>
        <w:pStyle w:val="Guidance"/>
      </w:pPr>
      <w:r>
        <w:t>Indicators that challenge is not effective include validation findings that are consistently closed by explanation rather than change, findings downgraded without new evidence, and validation reports whose conclusions change late in the approval process.</w:t>
      </w:r>
    </w:p>
    <w:p>
      <w:pPr>
        <w:pStyle w:val="CrossRef"/>
      </w:pPr>
      <w:r>
        <w:rPr>
          <w:i/>
        </w:rPr>
        <w:t>→ Guidance: CPG 240 paragraphs 66–68.</w:t>
      </w:r>
    </w:p>
    <w:p>
      <w:pPr>
        <w:pStyle w:val="Heading2"/>
      </w:pPr>
      <w:r>
        <w:t>14. Approval</w:t>
      </w:r>
    </w:p>
    <w:p>
      <w:pPr>
        <w:pStyle w:val="Heading3"/>
      </w:pPr>
      <w:r>
        <w:t>M23 — Approval and conditions of use</w:t>
      </w:r>
    </w:p>
    <w:p>
      <w:pPr>
        <w:pStyle w:val="Requirement"/>
      </w:pPr>
      <w:r>
        <w:rPr>
          <w:b/>
        </w:rPr>
        <w:t>M23. An APRA-regulated entity must approve each model for a defined purpose and defined conditions of use at an authority commensurate with its tier, having considered the validation conclusion, unresolved findings, limitations, compensating controls and residual model risk, and must record the approved version, scope, users, limits, monitoring thresholds and review date.</w:t>
      </w:r>
    </w:p>
    <w:p>
      <w:pPr>
        <w:pStyle w:val="Guidance"/>
      </w:pPr>
      <w:r>
        <w:t>Approval should be of a specific version for a specific use. Approval of a model in the abstract leaves no basis on which to determine later whether it is being used as approved.</w:t>
      </w:r>
    </w:p>
    <w:p>
      <w:pPr>
        <w:pStyle w:val="Guidance"/>
      </w:pPr>
      <w:r>
        <w:t>Approval notwithstanding unresolved high-severity findings should be exceptional, time-bound, supported by compensating controls and escalated.</w:t>
      </w:r>
    </w:p>
    <w:p>
      <w:pPr>
        <w:pStyle w:val="CrossRef"/>
      </w:pPr>
      <w:r>
        <w:rPr>
          <w:i/>
        </w:rPr>
        <w:t>→ Guidance: CPG 240 paragraphs 70–72.</w:t>
      </w:r>
    </w:p>
    <w:p>
      <w:pPr>
        <w:pStyle w:val="Heading1"/>
      </w:pPr>
      <w:r>
        <w:t>Part G — Implementation, use and change</w:t>
      </w:r>
    </w:p>
    <w:p>
      <w:pPr>
        <w:pStyle w:val="Heading2"/>
      </w:pPr>
      <w:r>
        <w:t>15. Implementation</w:t>
      </w:r>
    </w:p>
    <w:p>
      <w:pPr>
        <w:pStyle w:val="Heading3"/>
      </w:pPr>
      <w:r>
        <w:t>M24 — Implementation controls</w:t>
      </w:r>
    </w:p>
    <w:p>
      <w:pPr>
        <w:pStyle w:val="Requirement"/>
      </w:pPr>
      <w:r>
        <w:rPr>
          <w:b/>
        </w:rPr>
        <w:t>M24. An APRA-regulated entity must control the implementation of a model into its production environment, including verification that the implemented model reproduces the approved model, control over input data feeds and computing environment, access control, and the ability to revert.</w:t>
      </w:r>
    </w:p>
    <w:p>
      <w:pPr>
        <w:pStyle w:val="Guidance"/>
      </w:pPr>
      <w:r>
        <w:t>Implementation is a recurrent source of model failure that validation focused on methodology does not detect. Differences between the development environment and production — in data definitions, rounding, library versions, treatment of missing values or execution order — can change results materially.</w:t>
      </w:r>
    </w:p>
    <w:p>
      <w:pPr>
        <w:pStyle w:val="CrossRef"/>
      </w:pPr>
      <w:r>
        <w:rPr>
          <w:i/>
        </w:rPr>
        <w:t>→ Guidance: CPG 240 paragraphs 64, 73–74.</w:t>
      </w:r>
    </w:p>
    <w:p>
      <w:pPr>
        <w:pStyle w:val="Heading2"/>
      </w:pPr>
      <w:r>
        <w:t>16. Change</w:t>
      </w:r>
    </w:p>
    <w:p>
      <w:pPr>
        <w:pStyle w:val="Heading3"/>
      </w:pPr>
      <w:r>
        <w:t>M25 — Change management and re-approval</w:t>
      </w:r>
    </w:p>
    <w:p>
      <w:pPr>
        <w:pStyle w:val="Requirement"/>
      </w:pPr>
      <w:r>
        <w:rPr>
          <w:b/>
        </w:rPr>
        <w:t>M25. An APRA-regulated entity must control changes to models, model inputs, assumptions, calibration and implementation, must assess the materiality of each change, and must re-test, re-validate and re-approve changes to the extent warranted by that assessment.</w:t>
      </w:r>
    </w:p>
    <w:p>
      <w:pPr>
        <w:pStyle w:val="Guidance"/>
      </w:pPr>
      <w:r>
        <w:t>The materiality assessment should consider the change in isolation and cumulatively. A sequence of individually immaterial recalibrations can move a model a long way from the version that was validated.</w:t>
      </w:r>
    </w:p>
    <w:p>
      <w:pPr>
        <w:pStyle w:val="Guidance"/>
      </w:pPr>
      <w:r>
        <w:t>Changes initiated by a vendor, or by an upstream data provider, are changes to the entity's model risk profile even though the entity did not make them, and should enter the same assessment.</w:t>
      </w:r>
    </w:p>
    <w:p>
      <w:pPr>
        <w:pStyle w:val="CrossRef"/>
      </w:pPr>
      <w:r>
        <w:rPr>
          <w:i/>
        </w:rPr>
        <w:t>→ Guidance: CPG 240 paragraphs 75–76, 99.</w:t>
      </w:r>
    </w:p>
    <w:p>
      <w:pPr>
        <w:pStyle w:val="Heading2"/>
      </w:pPr>
      <w:r>
        <w:t>17. Use</w:t>
      </w:r>
    </w:p>
    <w:p>
      <w:pPr>
        <w:pStyle w:val="Heading3"/>
      </w:pPr>
      <w:r>
        <w:t>M26 — Use consistent with approved purpose</w:t>
      </w:r>
    </w:p>
    <w:p>
      <w:pPr>
        <w:pStyle w:val="Requirement"/>
      </w:pPr>
      <w:r>
        <w:rPr>
          <w:b/>
        </w:rPr>
        <w:t>M26. An APRA-regulated entity must ensure that models are used only for their approved purposes and within their approved conditions, and that users understand the model's purpose, key assumptions, limitations and the circumstances in which its output should not be relied upon.</w:t>
      </w:r>
    </w:p>
    <w:p>
      <w:pPr>
        <w:pStyle w:val="Guidance"/>
      </w:pPr>
      <w:r>
        <w:t>Misuse of a sound model is one of the two principal sources of model risk and is frequently the less well controlled of the two. A model built to rank relative risk being used to set absolute prices, or a model built for one portfolio being applied to another, are common examples.</w:t>
      </w:r>
    </w:p>
    <w:p>
      <w:pPr>
        <w:pStyle w:val="Guidance"/>
      </w:pPr>
      <w:r>
        <w:t>Users should receive the limitations, not merely have access to them. Limitations recorded only in a validation report that users do not read are not disclosed in any meaningful sense.</w:t>
      </w:r>
    </w:p>
    <w:p>
      <w:pPr>
        <w:pStyle w:val="CrossRef"/>
      </w:pPr>
      <w:r>
        <w:rPr>
          <w:i/>
        </w:rPr>
        <w:t>→ Guidance: CPG 240 paragraphs 77–78.</w:t>
      </w:r>
    </w:p>
    <w:p>
      <w:pPr>
        <w:pStyle w:val="Heading3"/>
      </w:pPr>
      <w:r>
        <w:t>M27 — Overlays, adjustments and expert judgement</w:t>
      </w:r>
    </w:p>
    <w:p>
      <w:pPr>
        <w:pStyle w:val="Requirement"/>
      </w:pPr>
      <w:r>
        <w:rPr>
          <w:b/>
        </w:rPr>
        <w:t>M27. An APRA-regulated entity must govern adjustments, overlays and expert judgement applied to model output, including the basis for the adjustment, its quantification, approval at an authority commensurate with its size and effect, its documentation, its monitoring and the conditions for its removal.</w:t>
      </w:r>
    </w:p>
    <w:p>
      <w:pPr>
        <w:pStyle w:val="Guidance"/>
      </w:pPr>
      <w:r>
        <w:t>A large or long-standing overlay is evidence about the model. Persistent adjustment in the same direction usually means the model no longer reflects the exposure and should be redeveloped rather than corrected in perpetuity.</w:t>
      </w:r>
    </w:p>
    <w:p>
      <w:pPr>
        <w:pStyle w:val="Guidance"/>
      </w:pPr>
      <w:r>
        <w:t>Overlays should be reported in aggregate to the Board and senior management, because individually approved adjustments can collectively become the dominant driver of a reported figure.</w:t>
      </w:r>
    </w:p>
    <w:p>
      <w:pPr>
        <w:pStyle w:val="CrossRef"/>
      </w:pPr>
      <w:r>
        <w:rPr>
          <w:i/>
        </w:rPr>
        <w:t>→ Guidance: CPG 240 paragraphs 79–81.</w:t>
      </w:r>
    </w:p>
    <w:p>
      <w:pPr>
        <w:pStyle w:val="Heading2"/>
      </w:pPr>
      <w:r>
        <w:t>18. Monitoring</w:t>
      </w:r>
    </w:p>
    <w:p>
      <w:pPr>
        <w:pStyle w:val="Heading3"/>
      </w:pPr>
      <w:r>
        <w:t>M28 — Ongoing performance monitoring</w:t>
      </w:r>
    </w:p>
    <w:p>
      <w:pPr>
        <w:pStyle w:val="Requirement"/>
      </w:pPr>
      <w:r>
        <w:rPr>
          <w:b/>
        </w:rPr>
        <w:t>M28. An APRA-regulated entity must monitor the performance of each model against defined metrics and thresholds at a frequency proportionate to its tier, and must investigate, escalate and act upon threshold breaches, deterioration, drift and unexplained changes in behaviour.</w:t>
      </w:r>
    </w:p>
    <w:p>
      <w:pPr>
        <w:pStyle w:val="Guidance"/>
      </w:pPr>
      <w:r>
        <w:t>Monitoring should test whether the assumptions on which the model depends continue to hold, not only whether the output has moved. A model can remain stable while the conditions that made it valid have gone.</w:t>
      </w:r>
    </w:p>
    <w:p>
      <w:pPr>
        <w:pStyle w:val="Guidance"/>
      </w:pPr>
      <w:r>
        <w:t>Thresholds should be set in advance and should be linked to a defined response — investigation, restriction, revalidation, overlay or withdrawal — so that a breach produces an action rather than a note.</w:t>
      </w:r>
    </w:p>
    <w:p>
      <w:pPr>
        <w:pStyle w:val="CrossRef"/>
      </w:pPr>
      <w:r>
        <w:rPr>
          <w:i/>
        </w:rPr>
        <w:t>→ Guidance: CPG 240 paragraphs 82–84.</w:t>
      </w:r>
    </w:p>
    <w:p>
      <w:pPr>
        <w:pStyle w:val="Heading3"/>
      </w:pPr>
      <w:r>
        <w:t>M29 — Limitations, compensating controls and remediation</w:t>
      </w:r>
    </w:p>
    <w:p>
      <w:pPr>
        <w:pStyle w:val="Requirement"/>
      </w:pPr>
      <w:r>
        <w:rPr>
          <w:b/>
        </w:rPr>
        <w:t>M29. An APRA-regulated entity must record known model limitations and deficiencies, apply compensating controls where a limitation is material and not immediately resolvable, track remediation to completion against owners and dates, and escalate overdue or unresolved material findings.</w:t>
      </w:r>
    </w:p>
    <w:p>
      <w:pPr>
        <w:pStyle w:val="Guidance"/>
      </w:pPr>
      <w:r>
        <w:t>Compensating controls should be specific to the limitation they address. A general statement that outputs are subject to management review does not compensate for a known bias in a particular segment.</w:t>
      </w:r>
    </w:p>
    <w:p>
      <w:pPr>
        <w:pStyle w:val="Guidance"/>
      </w:pPr>
      <w:r>
        <w:t>The entity should be able to demonstrate that findings are closed because they were fixed, and should monitor the rate at which findings are closed by rationale, deferral or reclassification.</w:t>
      </w:r>
    </w:p>
    <w:p>
      <w:pPr>
        <w:pStyle w:val="CrossRef"/>
      </w:pPr>
      <w:r>
        <w:rPr>
          <w:i/>
        </w:rPr>
        <w:t>→ Guidance: CPG 240 paragraphs 72, 85–86.</w:t>
      </w:r>
    </w:p>
    <w:p>
      <w:pPr>
        <w:pStyle w:val="Heading2"/>
      </w:pPr>
      <w:r>
        <w:t>19. Retirement</w:t>
      </w:r>
    </w:p>
    <w:p>
      <w:pPr>
        <w:pStyle w:val="Heading3"/>
      </w:pPr>
      <w:r>
        <w:t>M30 — Restriction, suspension and decommissioning</w:t>
      </w:r>
    </w:p>
    <w:p>
      <w:pPr>
        <w:pStyle w:val="Requirement"/>
      </w:pPr>
      <w:r>
        <w:rPr>
          <w:b/>
        </w:rPr>
        <w:t>M30. An APRA-regulated entity must be able to restrict, suspend, replace or decommission a model that is unfit for its purpose, and must manage decommissioning so that dependent processes, downstream models and outputs that remain in force are addressed and records are retained.</w:t>
      </w:r>
    </w:p>
    <w:p>
      <w:pPr>
        <w:pStyle w:val="Guidance"/>
      </w:pPr>
      <w:r>
        <w:t>The entity should know, before it needs to act, what it would do if a material model became unusable — whether an alternative exists, how long it would take to stand up, and what the interim basis for decisions would be.</w:t>
      </w:r>
    </w:p>
    <w:p>
      <w:pPr>
        <w:pStyle w:val="CrossRef"/>
      </w:pPr>
      <w:r>
        <w:rPr>
          <w:i/>
        </w:rPr>
        <w:t>→ Guidance: CPG 240 paragraphs 87–88.</w:t>
      </w:r>
    </w:p>
    <w:p>
      <w:pPr>
        <w:pStyle w:val="Heading1"/>
      </w:pPr>
      <w:r>
        <w:t>Part H — Third-party and AI models</w:t>
      </w:r>
    </w:p>
    <w:p>
      <w:pPr>
        <w:pStyle w:val="Heading2"/>
      </w:pPr>
      <w:r>
        <w:t>20. Third-party models</w:t>
      </w:r>
    </w:p>
    <w:p>
      <w:pPr>
        <w:pStyle w:val="Heading3"/>
      </w:pPr>
      <w:r>
        <w:t>M31 — Vendor and externally developed models</w:t>
      </w:r>
    </w:p>
    <w:p>
      <w:pPr>
        <w:pStyle w:val="Requirement"/>
      </w:pPr>
      <w:r>
        <w:rPr>
          <w:b/>
        </w:rPr>
        <w:t>M31. An APRA-regulated entity must apply this Prudential Standard to models supplied, hosted or operated by third parties, and must obtain information sufficient to understand the model's design, data, assumptions, limitations and performance, or implement compensating controls where that information cannot be obtained.</w:t>
      </w:r>
    </w:p>
    <w:p>
      <w:pPr>
        <w:pStyle w:val="Guidance"/>
      </w:pPr>
      <w:r>
        <w:t>Where a provider will not disclose methodology, the entity should intensify what it can do itself: benchmarking against alternatives, outcomes analysis on its own portfolio, sensitivity testing through controlled input variation, and tighter conditions of use.</w:t>
      </w:r>
    </w:p>
    <w:p>
      <w:pPr>
        <w:pStyle w:val="Guidance"/>
      </w:pPr>
      <w:r>
        <w:t>The entity should not accept a level of opacity for a high-tier model that it would not accept from an internal development team.</w:t>
      </w:r>
    </w:p>
    <w:p>
      <w:pPr>
        <w:pStyle w:val="CrossRef"/>
      </w:pPr>
      <w:r>
        <w:rPr>
          <w:i/>
        </w:rPr>
        <w:t>→ Guidance: CPG 240 paragraphs 15, 69, 89–91.</w:t>
      </w:r>
    </w:p>
    <w:p>
      <w:pPr>
        <w:pStyle w:val="Heading3"/>
      </w:pPr>
      <w:r>
        <w:t>M32 — Information rights, concentration and substitutability</w:t>
      </w:r>
    </w:p>
    <w:p>
      <w:pPr>
        <w:pStyle w:val="Requirement"/>
      </w:pPr>
      <w:r>
        <w:rPr>
          <w:b/>
        </w:rPr>
        <w:t>M32. An APRA-regulated entity must maintain contractual and governance arrangements giving it timely access to the information and assurance it needs to meet its obligations in relation to a material third-party model, and must identify and manage concentration and substitutability risk arising from common models, data sources, platforms and providers.</w:t>
      </w:r>
    </w:p>
    <w:p>
      <w:pPr>
        <w:pStyle w:val="Guidance"/>
      </w:pPr>
      <w:r>
        <w:t>Information rights should be practically usable rather than nominally present. A right to audit that the entity has no capacity to exercise provides little assurance.</w:t>
      </w:r>
    </w:p>
    <w:p>
      <w:pPr>
        <w:pStyle w:val="Guidance"/>
      </w:pPr>
      <w:r>
        <w:t>Concentration should be assessed at entity level and, so far as the entity can observe it, at industry level. Widespread reliance on the same external model or data source can produce correlated error across firms even where each firm's own governance is sound.</w:t>
      </w:r>
    </w:p>
    <w:p>
      <w:pPr>
        <w:pStyle w:val="CrossRef"/>
      </w:pPr>
      <w:r>
        <w:rPr>
          <w:i/>
        </w:rPr>
        <w:t>→ Guidance: CPG 240 paragraphs 92–94.</w:t>
      </w:r>
    </w:p>
    <w:p>
      <w:pPr>
        <w:pStyle w:val="Heading2"/>
      </w:pPr>
      <w:r>
        <w:t>21. AI and machine learning models</w:t>
      </w:r>
    </w:p>
    <w:p>
      <w:pPr>
        <w:pStyle w:val="Heading3"/>
      </w:pPr>
      <w:r>
        <w:t>M33 — Additional controls for AI and machine learning models</w:t>
      </w:r>
    </w:p>
    <w:p>
      <w:pPr>
        <w:pStyle w:val="Requirement"/>
      </w:pPr>
      <w:r>
        <w:rPr>
          <w:b/>
        </w:rPr>
        <w:t>M33. Where a model uses artificial intelligence or machine learning techniques, an APRA-regulated entity must address the additional risks arising from those techniques, including limited explainability, sensitivity to data drift, instability under retraining, feature leakage, potential for biased outcomes, and dependence on externally supplied models whose construction the entity cannot inspect.</w:t>
      </w:r>
    </w:p>
    <w:p>
      <w:pPr>
        <w:pStyle w:val="Guidance"/>
      </w:pPr>
      <w:r>
        <w:t>AI and machine learning models are models. They are subject to every requirement in this Prudential Standard. This paragraph adds to those requirements; it does not create a separate regime.</w:t>
      </w:r>
    </w:p>
    <w:p>
      <w:pPr>
        <w:pStyle w:val="Guidance"/>
      </w:pPr>
      <w:r>
        <w:t>Where explainability is limited, the entity should intensify outcomes-based controls rather than treat the limitation as a reason to reduce them. Suitable measures include benchmark comparison against a more transparent model, stability testing across retraining cycles, subgroup outcome analysis and tighter conditions of use.</w:t>
      </w:r>
    </w:p>
    <w:p>
      <w:pPr>
        <w:pStyle w:val="Guidance"/>
      </w:pPr>
      <w:r>
        <w:t>Where a model retrains automatically, the entity should define the operating envelope within which retraining is authorised, and should treat movement outside that envelope as a model change.</w:t>
      </w:r>
    </w:p>
    <w:p>
      <w:pPr>
        <w:pStyle w:val="CrossRef"/>
      </w:pPr>
      <w:r>
        <w:rPr>
          <w:i/>
        </w:rPr>
        <w:t>→ Guidance: CPG 240 paragraphs 56, 95–100.</w:t>
      </w:r>
    </w:p>
    <w:p>
      <w:pPr>
        <w:pStyle w:val="Heading3"/>
      </w:pPr>
      <w:r>
        <w:t>M34 — Boundary with the AI risk management framework</w:t>
      </w:r>
    </w:p>
    <w:p>
      <w:pPr>
        <w:pStyle w:val="Requirement"/>
      </w:pPr>
      <w:r>
        <w:rPr>
          <w:b/>
        </w:rPr>
        <w:t>M34. An APRA-regulated entity must apply this Prudential Standard to any artificial intelligence system that meets the definition of a model, must apply its AI risk management arrangements to the wider risks of that system, and must ensure that no material AI system falls between the two.</w:t>
      </w:r>
    </w:p>
    <w:p>
      <w:pPr>
        <w:pStyle w:val="Guidance"/>
      </w:pPr>
      <w:r>
        <w:t>The two regimes address different risks in the same system. This Prudential Standard governs whether the quantitative output is fit to be relied on. AI risk management governs the wider consequences of the system's operation — security, autonomy, data handling, human oversight and resilience.</w:t>
      </w:r>
    </w:p>
    <w:p>
      <w:pPr>
        <w:pStyle w:val="Guidance"/>
      </w:pPr>
      <w:r>
        <w:t>A generative or agentic system that produces no quantitative estimate for decision-making is generally not a model, but remains subject to the entity's AI risk management arrangements. A generative system used to produce an estimate that drives a material decision is both.</w:t>
      </w:r>
    </w:p>
    <w:p>
      <w:pPr>
        <w:pStyle w:val="Guidance"/>
      </w:pPr>
      <w:r>
        <w:t>The entity should maintain a single register that records, for each AI system, which regime or regimes apply, so that the boundary is a documented determination rather than an assumption.</w:t>
      </w:r>
    </w:p>
    <w:p>
      <w:pPr>
        <w:pStyle w:val="CrossRef"/>
      </w:pPr>
      <w:r>
        <w:rPr>
          <w:i/>
        </w:rPr>
        <w:t>→ Guidance: CPG 240 paragraphs 101–103.</w:t>
      </w:r>
    </w:p>
    <w:p>
      <w:pPr>
        <w:pStyle w:val="Heading1"/>
      </w:pPr>
      <w:r>
        <w:t>Part I — Specialist model classes</w:t>
      </w:r>
    </w:p>
    <w:p>
      <w:pPr>
        <w:pStyle w:val="Heading2"/>
      </w:pPr>
      <w:r>
        <w:t>22. Regulatory capital models</w:t>
      </w:r>
    </w:p>
    <w:p>
      <w:pPr>
        <w:pStyle w:val="Heading3"/>
      </w:pPr>
      <w:r>
        <w:t>M35 — Models used to determine regulatory capital</w:t>
      </w:r>
    </w:p>
    <w:p>
      <w:pPr>
        <w:pStyle w:val="Requirement"/>
      </w:pPr>
      <w:r>
        <w:rPr>
          <w:b/>
        </w:rPr>
        <w:t>M35. An APRA-regulated entity that uses a model to determine a regulatory capital requirement must satisfy the requirements of the applicable prudential standard for that model in addition to this Prudential Standard, must not change an approved model without APRA's approval where the applicable standard so requires, and must ensure the model is used in the entity's internal risk management.</w:t>
      </w:r>
    </w:p>
    <w:p>
      <w:pPr>
        <w:pStyle w:val="Guidance"/>
      </w:pPr>
      <w:r>
        <w:t>This Prudential Standard does not alter or displace the model approval requirements in the capital standards. Where the two overlap, the more specific requirement in the capital standard prevails.</w:t>
      </w:r>
    </w:p>
    <w:p>
      <w:pPr>
        <w:pStyle w:val="Guidance"/>
      </w:pPr>
      <w:r>
        <w:t>The requirement that an approved capital model be used in internal risk management is longstanding and substantive. A model maintained for regulatory reporting while the business is run on a different basis indicates that one of the two is not trusted.</w:t>
      </w:r>
    </w:p>
    <w:p>
      <w:pPr>
        <w:pStyle w:val="CrossRef"/>
      </w:pPr>
      <w:r>
        <w:rPr>
          <w:i/>
        </w:rPr>
        <w:t>→ Guidance: CPG 240 paragraphs 104–105.</w:t>
      </w:r>
    </w:p>
    <w:p>
      <w:pPr>
        <w:pStyle w:val="Heading2"/>
      </w:pPr>
      <w:r>
        <w:t>23. Valuation and financial reporting models</w:t>
      </w:r>
    </w:p>
    <w:p>
      <w:pPr>
        <w:pStyle w:val="Heading3"/>
      </w:pPr>
      <w:r>
        <w:t>M36 — Valuation and financial reporting models</w:t>
      </w:r>
    </w:p>
    <w:p>
      <w:pPr>
        <w:pStyle w:val="Requirement"/>
      </w:pPr>
      <w:r>
        <w:rPr>
          <w:b/>
        </w:rPr>
        <w:t>M36. An APRA-regulated entity must apply this Prudential Standard to models used to value assets and liabilities, to determine expected credit losses and to produce financial and regulatory reporting, and must ensure independent price verification and independent review of material valuation inputs and assumptions.</w:t>
      </w:r>
    </w:p>
    <w:p>
      <w:pPr>
        <w:pStyle w:val="Guidance"/>
      </w:pPr>
      <w:r>
        <w:t>Valuation models concentrate model risk because the output is the reported number rather than an input to a decision that a human subsequently makes. Level 3 valuations, illiquid exposures and modelled expected credit loss are the areas of greatest sensitivity to assumption choice.</w:t>
      </w:r>
    </w:p>
    <w:p>
      <w:pPr>
        <w:pStyle w:val="Guidance"/>
      </w:pPr>
      <w:r>
        <w:t>Independent price verification is a distinct control from validation and both are required for material valuation models.</w:t>
      </w:r>
    </w:p>
    <w:p>
      <w:pPr>
        <w:pStyle w:val="CrossRef"/>
      </w:pPr>
      <w:r>
        <w:rPr>
          <w:i/>
        </w:rPr>
        <w:t>→ Guidance: CPG 240 paragraphs 106–107.</w:t>
      </w:r>
    </w:p>
    <w:p>
      <w:pPr>
        <w:pStyle w:val="Heading2"/>
      </w:pPr>
      <w:r>
        <w:t>24. Actuarial and insurance models</w:t>
      </w:r>
    </w:p>
    <w:p>
      <w:pPr>
        <w:pStyle w:val="Heading3"/>
      </w:pPr>
      <w:r>
        <w:t>M37 — Actuarial, reserving and insurance liability models</w:t>
      </w:r>
    </w:p>
    <w:p>
      <w:pPr>
        <w:pStyle w:val="Requirement"/>
      </w:pPr>
      <w:r>
        <w:rPr>
          <w:b/>
        </w:rPr>
        <w:t>M37. An APRA-regulated insurer must apply this Prudential Standard to models used to determine insurance liabilities, premiums, reinsurance recoveries and capital, and must ensure that the role of the Appointed Actuary and this Prudential Standard's validation requirements operate together without gaps in independent review.</w:t>
      </w:r>
    </w:p>
    <w:p>
      <w:pPr>
        <w:pStyle w:val="Guidance"/>
      </w:pPr>
      <w:r>
        <w:t>The Appointed Actuary provides a form of independent professional review that is well established and, for many actuarial models, will satisfy a substantial part of the validation expectation. It does not automatically satisfy all of it, particularly in respect of implementation verification and data quality.</w:t>
      </w:r>
    </w:p>
    <w:p>
      <w:pPr>
        <w:pStyle w:val="Guidance"/>
      </w:pPr>
      <w:r>
        <w:t>The insurer should map which elements of validation are discharged through the actuarial control cycle and which require separate work, rather than assuming complete overlap in either direction.</w:t>
      </w:r>
    </w:p>
    <w:p>
      <w:pPr>
        <w:pStyle w:val="CrossRef"/>
      </w:pPr>
      <w:r>
        <w:rPr>
          <w:i/>
        </w:rPr>
        <w:t>→ Guidance: CPG 240 paragraphs 108–109.</w:t>
      </w:r>
    </w:p>
    <w:p>
      <w:pPr>
        <w:pStyle w:val="Heading2"/>
      </w:pPr>
      <w:r>
        <w:t>25. Superannuation models</w:t>
      </w:r>
    </w:p>
    <w:p>
      <w:pPr>
        <w:pStyle w:val="Heading3"/>
      </w:pPr>
      <w:r>
        <w:t>M38 — Models used by RSE licensees</w:t>
      </w:r>
    </w:p>
    <w:p>
      <w:pPr>
        <w:pStyle w:val="Requirement"/>
      </w:pPr>
      <w:r>
        <w:rPr>
          <w:b/>
        </w:rPr>
        <w:t>M38. An RSE licensee must apply this Prudential Standard to models used in investment strategy, asset valuation, liquidity management, insurance in superannuation, fee and cost determination, unit pricing and member outcomes assessment.</w:t>
      </w:r>
    </w:p>
    <w:p>
      <w:pPr>
        <w:pStyle w:val="Guidance"/>
      </w:pPr>
      <w:r>
        <w:t>Unit pricing and valuation models directly determine amounts credited to member accounts. An error is realised as a transfer of value between members and is frequently difficult to reverse, which places these models at the higher end of any reasonable tiering assessment.</w:t>
      </w:r>
    </w:p>
    <w:p>
      <w:pPr>
        <w:pStyle w:val="Guidance"/>
      </w:pPr>
      <w:r>
        <w:t>Liquidity stress models used to support investment strategy should be tested against the conditions in which they would actually be relied upon.</w:t>
      </w:r>
    </w:p>
    <w:p>
      <w:pPr>
        <w:pStyle w:val="CrossRef"/>
      </w:pPr>
      <w:r>
        <w:rPr>
          <w:i/>
        </w:rPr>
        <w:t>→ Guidance: CPG 240 paragraphs 110–111.</w:t>
      </w:r>
    </w:p>
    <w:p>
      <w:pPr>
        <w:pStyle w:val="Heading2"/>
      </w:pPr>
      <w:r>
        <w:t>26. Stress testing and scenario models</w:t>
      </w:r>
    </w:p>
    <w:p>
      <w:pPr>
        <w:pStyle w:val="Heading3"/>
      </w:pPr>
      <w:r>
        <w:t>M39 — Stress testing, scenario and capital planning models</w:t>
      </w:r>
    </w:p>
    <w:p>
      <w:pPr>
        <w:pStyle w:val="Requirement"/>
      </w:pPr>
      <w:r>
        <w:rPr>
          <w:b/>
        </w:rPr>
        <w:t>M39. An APRA-regulated entity must apply this Prudential Standard to models used for stress testing, scenario analysis and capital planning, and must ensure that the limitations of those models are made explicit to those relying on their results.</w:t>
      </w:r>
    </w:p>
    <w:p>
      <w:pPr>
        <w:pStyle w:val="Guidance"/>
      </w:pPr>
      <w:r>
        <w:t>Stress testing models are used precisely where historical data is least informative, so their results depend heavily on assumption and expert judgement. That does not make them exempt from governance; it makes the governance of their assumptions the principal control.</w:t>
      </w:r>
    </w:p>
    <w:p>
      <w:pPr>
        <w:pStyle w:val="Guidance"/>
      </w:pPr>
      <w:r>
        <w:t>Forward-looking scenario models addressing risks with limited historical precedent, including climate scenarios, should be used with explicit acknowledgement of the uncertainty in their outputs, and should not be presented to decision-makers with a precision the method cannot support.</w:t>
      </w:r>
    </w:p>
    <w:p>
      <w:pPr>
        <w:pStyle w:val="CrossRef"/>
      </w:pPr>
      <w:r>
        <w:rPr>
          <w:i/>
        </w:rPr>
        <w:t>→ Guidance: CPG 240 paragraphs 112–113.</w:t>
      </w:r>
    </w:p>
    <w:p>
      <w:pPr>
        <w:pStyle w:val="Heading1"/>
      </w:pPr>
      <w:r>
        <w:t>Part J — Aggregate risk, records and assurance</w:t>
      </w:r>
    </w:p>
    <w:p>
      <w:pPr>
        <w:pStyle w:val="Heading2"/>
      </w:pPr>
      <w:r>
        <w:t>27. Aggregate model risk</w:t>
      </w:r>
    </w:p>
    <w:p>
      <w:pPr>
        <w:pStyle w:val="Heading3"/>
      </w:pPr>
      <w:r>
        <w:t>M40 — Aggregate assessment of model risk</w:t>
      </w:r>
    </w:p>
    <w:p>
      <w:pPr>
        <w:pStyle w:val="Requirement"/>
      </w:pPr>
      <w:r>
        <w:rPr>
          <w:b/>
        </w:rPr>
        <w:t>M40. An APRA-regulated entity must assess model risk in aggregate across its model portfolio, must consider the effect of that aggregate risk in its internal capital assessment, and must be able to explain the basis and limitations of the assessment.</w:t>
      </w:r>
    </w:p>
    <w:p>
      <w:pPr>
        <w:pStyle w:val="Guidance"/>
      </w:pPr>
      <w:r>
        <w:t>Aggregate assessment need not be a single number. Concentration of reliance, correlation of methodology and data across models, common assumptions and the extent of unvalidated or overdue models are all informative and are usually available before a quantification capability exists.</w:t>
      </w:r>
    </w:p>
    <w:p>
      <w:pPr>
        <w:pStyle w:val="Guidance"/>
      </w:pPr>
      <w:r>
        <w:t>Where an entity concludes that no capital is required in respect of model risk, that conclusion should be reasoned and documented rather than reached by omission.</w:t>
      </w:r>
    </w:p>
    <w:p>
      <w:pPr>
        <w:pStyle w:val="CrossRef"/>
      </w:pPr>
      <w:r>
        <w:rPr>
          <w:i/>
        </w:rPr>
        <w:t>→ Guidance: CPG 240 paragraphs 41, 114–116.</w:t>
      </w:r>
    </w:p>
    <w:p>
      <w:pPr>
        <w:pStyle w:val="Heading2"/>
      </w:pPr>
      <w:r>
        <w:t>28. Records</w:t>
      </w:r>
    </w:p>
    <w:p>
      <w:pPr>
        <w:pStyle w:val="Heading3"/>
      </w:pPr>
      <w:r>
        <w:t>M41 — Records and reconstructability</w:t>
      </w:r>
    </w:p>
    <w:p>
      <w:pPr>
        <w:pStyle w:val="Requirement"/>
      </w:pPr>
      <w:r>
        <w:rPr>
          <w:b/>
        </w:rPr>
        <w:t>M41. An APRA-regulated entity must retain records sufficient to reconstruct, for a material model, what it produced, on what data and version, on what basis it was approved, how it performed, what limitations applied and what adjustments were made.</w:t>
      </w:r>
    </w:p>
    <w:p>
      <w:pPr>
        <w:pStyle w:val="Guidance"/>
      </w:pPr>
      <w:r>
        <w:t>Reconstructability is what allows a supervisor, an auditor, an actuary or a court to establish what the entity knew and when. It should be designed into the model's operation rather than reassembled later.</w:t>
      </w:r>
    </w:p>
    <w:p>
      <w:pPr>
        <w:pStyle w:val="Guidance"/>
      </w:pPr>
      <w:r>
        <w:t>Retention periods should align with the entity's other prudential record-keeping obligations and with the period over which the decisions the model informed remain material.</w:t>
      </w:r>
    </w:p>
    <w:p>
      <w:pPr>
        <w:pStyle w:val="CrossRef"/>
      </w:pPr>
      <w:r>
        <w:rPr>
          <w:i/>
        </w:rPr>
        <w:t>→ Guidance: CPG 240 paragraphs 117–118.</w:t>
      </w:r>
    </w:p>
    <w:p>
      <w:pPr>
        <w:pStyle w:val="Heading2"/>
      </w:pPr>
      <w:r>
        <w:t>29. Assurance</w:t>
      </w:r>
    </w:p>
    <w:p>
      <w:pPr>
        <w:pStyle w:val="Heading3"/>
      </w:pPr>
      <w:r>
        <w:t>M42 — Internal audit and independent assurance</w:t>
      </w:r>
    </w:p>
    <w:p>
      <w:pPr>
        <w:pStyle w:val="Requirement"/>
      </w:pPr>
      <w:r>
        <w:rPr>
          <w:b/>
        </w:rPr>
        <w:t>M42. An APRA-regulated entity must ensure that internal audit, or another independent function with equivalent standing, periodically assesses the design and operating effectiveness of the model risk management framework, including the effectiveness of validation and of challenge, and reports the results to the Board Audit Committee.</w:t>
      </w:r>
    </w:p>
    <w:p>
      <w:pPr>
        <w:pStyle w:val="Guidance"/>
      </w:pPr>
      <w:r>
        <w:t>Internal audit's role is to assess whether the framework works, not to re-perform validation. Testing whether validation findings are genuinely resolved, whether tiering is applied consistently and whether the inventory is complete will usually be more informative than re-examining model methodology.</w:t>
      </w:r>
    </w:p>
    <w:p>
      <w:pPr>
        <w:pStyle w:val="Guidance"/>
      </w:pPr>
      <w:r>
        <w:t>Where internal audit lacks the technical capability to assess validation quality, the entity should obtain that capability rather than narrow the scope of the assurance.</w:t>
      </w:r>
    </w:p>
    <w:p>
      <w:pPr>
        <w:pStyle w:val="CrossRef"/>
      </w:pPr>
      <w:r>
        <w:rPr>
          <w:i/>
        </w:rPr>
        <w:t>→ Guidance: CPG 240 paragraphs 68, 119–120.</w:t>
      </w:r>
    </w:p>
    <w:p>
      <w:pPr>
        <w:pStyle w:val="Heading2"/>
      </w:pPr>
      <w:r>
        <w:t>30. APRA engagement</w:t>
      </w:r>
    </w:p>
    <w:p>
      <w:pPr>
        <w:pStyle w:val="Heading3"/>
      </w:pPr>
      <w:r>
        <w:t>M43 — Notification and provision of information to APRA</w:t>
      </w:r>
    </w:p>
    <w:p>
      <w:pPr>
        <w:pStyle w:val="Requirement"/>
      </w:pPr>
      <w:r>
        <w:rPr>
          <w:b/>
        </w:rPr>
        <w:t>M43. An APRA-regulated entity must notify APRA of a model failure or model risk event that has, or is likely to have, a material impact on its financial position, its regulatory reporting or its ability to meet its prudential obligations, and must provide APRA with information relating to its models and model risk management on request.</w:t>
      </w:r>
    </w:p>
    <w:p>
      <w:pPr>
        <w:pStyle w:val="Guidance"/>
      </w:pPr>
      <w:r>
        <w:t>Where a model failure is also an operational risk incident or an information security incident, the notification requirements of the applicable prudential standards apply and this paragraph does not create an additional or conflicting deadline.</w:t>
      </w:r>
    </w:p>
    <w:p>
      <w:pPr>
        <w:pStyle w:val="Guidance"/>
      </w:pPr>
      <w:r>
        <w:t>Early engagement is expected where an entity identifies a material weakness in a model used for regulatory capital, reserving or reporting, rather than at the point the correction is finalised.</w:t>
      </w:r>
    </w:p>
    <w:p>
      <w:pPr>
        <w:pStyle w:val="CrossRef"/>
      </w:pPr>
      <w:r>
        <w:rPr>
          <w:i/>
        </w:rPr>
        <w:t>→ Guidance: CPG 240 paragraphs 121–122.</w:t>
      </w:r>
    </w:p>
    <w:p>
      <w:pPr>
        <w:pStyle w:val="DocMeta"/>
      </w:pPr>
      <w:r>
        <w:br w:type="page"/>
      </w:r>
    </w:p>
    <w:p>
      <w:pPr>
        <w:pStyle w:val="Heading1"/>
      </w:pPr>
      <w:r>
        <w:t>Annex A — Definitions</w:t>
      </w:r>
    </w:p>
    <w:p>
      <w:pPr>
        <w:pStyle w:val="Guidance"/>
      </w:pPr>
      <w:r>
        <w:t>This Annex is intended to form part of the final Prudential Standard. Definitions are subject to legal drafting and to alignment with Australian Government and APRA terminology.</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2268"/>
            <w:shd w:val="clear" w:color="auto" w:fill="1B335F"/>
          </w:tcPr>
          <w:p>
            <w:pPr>
              <w:pStyle w:val="TableHead"/>
            </w:pPr>
            <w:r>
              <w:rPr>
                <w:rFonts w:ascii="Arial" w:hAnsi="Arial"/>
                <w:b/>
                <w:color w:val="FFFFFF"/>
                <w:sz w:val="17"/>
              </w:rPr>
              <w:t>Term</w:t>
            </w:r>
          </w:p>
        </w:tc>
        <w:tc>
          <w:tcPr>
            <w:tcW w:type="dxa" w:w="7143"/>
            <w:shd w:val="clear" w:color="auto" w:fill="1B335F"/>
          </w:tcPr>
          <w:p>
            <w:pPr>
              <w:pStyle w:val="TableHead"/>
            </w:pPr>
            <w:r>
              <w:rPr>
                <w:rFonts w:ascii="Arial" w:hAnsi="Arial"/>
                <w:b/>
                <w:color w:val="FFFFFF"/>
                <w:sz w:val="17"/>
              </w:rPr>
              <w:t>Draft definition</w:t>
            </w:r>
          </w:p>
        </w:tc>
      </w:tr>
      <w:tr>
        <w:tc>
          <w:tcPr>
            <w:tcW w:type="dxa" w:w="2268"/>
          </w:tcPr>
          <w:p>
            <w:pPr>
              <w:pStyle w:val="TableText"/>
            </w:pPr>
            <w:r>
              <w:rPr>
                <w:rFonts w:ascii="Arial" w:hAnsi="Arial"/>
                <w:sz w:val="17"/>
              </w:rPr>
              <w:t>Model</w:t>
            </w:r>
          </w:p>
        </w:tc>
        <w:tc>
          <w:tcPr>
            <w:tcW w:type="dxa" w:w="7143"/>
          </w:tcPr>
          <w:p>
            <w:pPr>
              <w:pStyle w:val="TableText"/>
            </w:pPr>
            <w:r>
              <w:rPr>
                <w:rFonts w:ascii="Arial" w:hAnsi="Arial"/>
                <w:sz w:val="17"/>
              </w:rPr>
              <w:t>A quantitative method, system or approach that applies statistical, economic, financial, actuarial or mathematical theories, techniques or assumptions to process input data into quantitative estimates. A model comprises an information input component, a processing component and a reporting component.</w:t>
            </w:r>
          </w:p>
        </w:tc>
      </w:tr>
      <w:tr>
        <w:tc>
          <w:tcPr>
            <w:tcW w:type="dxa" w:w="2268"/>
            <w:shd w:val="clear" w:color="auto" w:fill="F4F6FA"/>
          </w:tcPr>
          <w:p>
            <w:pPr>
              <w:pStyle w:val="TableText"/>
            </w:pPr>
            <w:r>
              <w:rPr>
                <w:rFonts w:ascii="Arial" w:hAnsi="Arial"/>
                <w:sz w:val="17"/>
              </w:rPr>
              <w:t>Model risk</w:t>
            </w:r>
          </w:p>
        </w:tc>
        <w:tc>
          <w:tcPr>
            <w:tcW w:type="dxa" w:w="7143"/>
            <w:shd w:val="clear" w:color="auto" w:fill="F4F6FA"/>
          </w:tcPr>
          <w:p>
            <w:pPr>
              <w:pStyle w:val="TableText"/>
            </w:pPr>
            <w:r>
              <w:rPr>
                <w:rFonts w:ascii="Arial" w:hAnsi="Arial"/>
                <w:sz w:val="17"/>
              </w:rPr>
              <w:t>The potential for adverse consequences from decisions based on incorrect or misused model outputs. Model risk arises where a model has fundamental errors and produces inaccurate outputs relative to its design objective and intended use, or where a model is used incorrectly or inappropriately.</w:t>
            </w:r>
          </w:p>
        </w:tc>
      </w:tr>
      <w:tr>
        <w:tc>
          <w:tcPr>
            <w:tcW w:type="dxa" w:w="2268"/>
          </w:tcPr>
          <w:p>
            <w:pPr>
              <w:pStyle w:val="TableText"/>
            </w:pPr>
            <w:r>
              <w:rPr>
                <w:rFonts w:ascii="Arial" w:hAnsi="Arial"/>
                <w:sz w:val="17"/>
              </w:rPr>
              <w:t>Material model</w:t>
            </w:r>
          </w:p>
        </w:tc>
        <w:tc>
          <w:tcPr>
            <w:tcW w:type="dxa" w:w="7143"/>
          </w:tcPr>
          <w:p>
            <w:pPr>
              <w:pStyle w:val="TableText"/>
            </w:pPr>
            <w:r>
              <w:rPr>
                <w:rFonts w:ascii="Arial" w:hAnsi="Arial"/>
                <w:sz w:val="17"/>
              </w:rPr>
              <w:t>A model whose failure or misuse could have a non-negligible effect on the entity's financial position, regulatory obligations, customers, beneficiaries or critical operations.</w:t>
            </w:r>
          </w:p>
        </w:tc>
      </w:tr>
      <w:tr>
        <w:tc>
          <w:tcPr>
            <w:tcW w:type="dxa" w:w="2268"/>
            <w:shd w:val="clear" w:color="auto" w:fill="F4F6FA"/>
          </w:tcPr>
          <w:p>
            <w:pPr>
              <w:pStyle w:val="TableText"/>
            </w:pPr>
            <w:r>
              <w:rPr>
                <w:rFonts w:ascii="Arial" w:hAnsi="Arial"/>
                <w:sz w:val="17"/>
              </w:rPr>
              <w:t>Model owner</w:t>
            </w:r>
          </w:p>
        </w:tc>
        <w:tc>
          <w:tcPr>
            <w:tcW w:type="dxa" w:w="7143"/>
            <w:shd w:val="clear" w:color="auto" w:fill="F4F6FA"/>
          </w:tcPr>
          <w:p>
            <w:pPr>
              <w:pStyle w:val="TableText"/>
            </w:pPr>
            <w:r>
              <w:rPr>
                <w:rFonts w:ascii="Arial" w:hAnsi="Arial"/>
                <w:sz w:val="17"/>
              </w:rPr>
              <w:t>The person accountable for a model being fit for its approved purpose throughout its lifecycle, including its documentation, performance monitoring, communication of limitations and remediation of findings.</w:t>
            </w:r>
          </w:p>
        </w:tc>
      </w:tr>
      <w:tr>
        <w:tc>
          <w:tcPr>
            <w:tcW w:type="dxa" w:w="2268"/>
          </w:tcPr>
          <w:p>
            <w:pPr>
              <w:pStyle w:val="TableText"/>
            </w:pPr>
            <w:r>
              <w:rPr>
                <w:rFonts w:ascii="Arial" w:hAnsi="Arial"/>
                <w:sz w:val="17"/>
              </w:rPr>
              <w:t>Model risk tier</w:t>
            </w:r>
          </w:p>
        </w:tc>
        <w:tc>
          <w:tcPr>
            <w:tcW w:type="dxa" w:w="7143"/>
          </w:tcPr>
          <w:p>
            <w:pPr>
              <w:pStyle w:val="TableText"/>
            </w:pPr>
            <w:r>
              <w:rPr>
                <w:rFonts w:ascii="Arial" w:hAnsi="Arial"/>
                <w:sz w:val="17"/>
              </w:rPr>
              <w:t>The classification assigned to a model under the entity's tiering methodology, which determines the intensity of controls applied to it.</w:t>
            </w:r>
          </w:p>
        </w:tc>
      </w:tr>
      <w:tr>
        <w:tc>
          <w:tcPr>
            <w:tcW w:type="dxa" w:w="2268"/>
            <w:shd w:val="clear" w:color="auto" w:fill="F4F6FA"/>
          </w:tcPr>
          <w:p>
            <w:pPr>
              <w:pStyle w:val="TableText"/>
            </w:pPr>
            <w:r>
              <w:rPr>
                <w:rFonts w:ascii="Arial" w:hAnsi="Arial"/>
                <w:sz w:val="17"/>
              </w:rPr>
              <w:t>Independent validation</w:t>
            </w:r>
          </w:p>
        </w:tc>
        <w:tc>
          <w:tcPr>
            <w:tcW w:type="dxa" w:w="7143"/>
            <w:shd w:val="clear" w:color="auto" w:fill="F4F6FA"/>
          </w:tcPr>
          <w:p>
            <w:pPr>
              <w:pStyle w:val="TableText"/>
            </w:pPr>
            <w:r>
              <w:rPr>
                <w:rFonts w:ascii="Arial" w:hAnsi="Arial"/>
                <w:sz w:val="17"/>
              </w:rPr>
              <w:t>An assessment of a model's fitness for its intended use performed by persons who did not develop the model and who are not accountable to those who developed it or who sponsor its use.</w:t>
            </w:r>
          </w:p>
        </w:tc>
      </w:tr>
      <w:tr>
        <w:tc>
          <w:tcPr>
            <w:tcW w:type="dxa" w:w="2268"/>
          </w:tcPr>
          <w:p>
            <w:pPr>
              <w:pStyle w:val="TableText"/>
            </w:pPr>
            <w:r>
              <w:rPr>
                <w:rFonts w:ascii="Arial" w:hAnsi="Arial"/>
                <w:sz w:val="17"/>
              </w:rPr>
              <w:t>Effective challenge</w:t>
            </w:r>
          </w:p>
        </w:tc>
        <w:tc>
          <w:tcPr>
            <w:tcW w:type="dxa" w:w="7143"/>
          </w:tcPr>
          <w:p>
            <w:pPr>
              <w:pStyle w:val="TableText"/>
            </w:pPr>
            <w:r>
              <w:rPr>
                <w:rFonts w:ascii="Arial" w:hAnsi="Arial"/>
                <w:sz w:val="17"/>
              </w:rPr>
              <w:t>Critical analysis by parties with the competence to identify deficiencies, the standing for their findings to carry weight, and incentives that reward raising issues.</w:t>
            </w:r>
          </w:p>
        </w:tc>
      </w:tr>
      <w:tr>
        <w:tc>
          <w:tcPr>
            <w:tcW w:type="dxa" w:w="2268"/>
            <w:shd w:val="clear" w:color="auto" w:fill="F4F6FA"/>
          </w:tcPr>
          <w:p>
            <w:pPr>
              <w:pStyle w:val="TableText"/>
            </w:pPr>
            <w:r>
              <w:rPr>
                <w:rFonts w:ascii="Arial" w:hAnsi="Arial"/>
                <w:sz w:val="17"/>
              </w:rPr>
              <w:t>Conceptual soundness</w:t>
            </w:r>
          </w:p>
        </w:tc>
        <w:tc>
          <w:tcPr>
            <w:tcW w:type="dxa" w:w="7143"/>
            <w:shd w:val="clear" w:color="auto" w:fill="F4F6FA"/>
          </w:tcPr>
          <w:p>
            <w:pPr>
              <w:pStyle w:val="TableText"/>
            </w:pPr>
            <w:r>
              <w:rPr>
                <w:rFonts w:ascii="Arial" w:hAnsi="Arial"/>
                <w:sz w:val="17"/>
              </w:rPr>
              <w:t>The quality of a model's design, theory, methodology and assumptions as appropriate for the purpose for which the model will be used.</w:t>
            </w:r>
          </w:p>
        </w:tc>
      </w:tr>
      <w:tr>
        <w:tc>
          <w:tcPr>
            <w:tcW w:type="dxa" w:w="2268"/>
          </w:tcPr>
          <w:p>
            <w:pPr>
              <w:pStyle w:val="TableText"/>
            </w:pPr>
            <w:r>
              <w:rPr>
                <w:rFonts w:ascii="Arial" w:hAnsi="Arial"/>
                <w:sz w:val="17"/>
              </w:rPr>
              <w:t>Outcomes analysis</w:t>
            </w:r>
          </w:p>
        </w:tc>
        <w:tc>
          <w:tcPr>
            <w:tcW w:type="dxa" w:w="7143"/>
          </w:tcPr>
          <w:p>
            <w:pPr>
              <w:pStyle w:val="TableText"/>
            </w:pPr>
            <w:r>
              <w:rPr>
                <w:rFonts w:ascii="Arial" w:hAnsi="Arial"/>
                <w:sz w:val="17"/>
              </w:rPr>
              <w:t>Comparison of model outputs with corresponding actual outcomes, used to assess whether a model continues to perform as intended.</w:t>
            </w:r>
          </w:p>
        </w:tc>
      </w:tr>
      <w:tr>
        <w:tc>
          <w:tcPr>
            <w:tcW w:type="dxa" w:w="2268"/>
            <w:shd w:val="clear" w:color="auto" w:fill="F4F6FA"/>
          </w:tcPr>
          <w:p>
            <w:pPr>
              <w:pStyle w:val="TableText"/>
            </w:pPr>
            <w:r>
              <w:rPr>
                <w:rFonts w:ascii="Arial" w:hAnsi="Arial"/>
                <w:sz w:val="17"/>
              </w:rPr>
              <w:t>Overlay</w:t>
            </w:r>
          </w:p>
        </w:tc>
        <w:tc>
          <w:tcPr>
            <w:tcW w:type="dxa" w:w="7143"/>
            <w:shd w:val="clear" w:color="auto" w:fill="F4F6FA"/>
          </w:tcPr>
          <w:p>
            <w:pPr>
              <w:pStyle w:val="TableText"/>
            </w:pPr>
            <w:r>
              <w:rPr>
                <w:rFonts w:ascii="Arial" w:hAnsi="Arial"/>
                <w:sz w:val="17"/>
              </w:rPr>
              <w:t>An adjustment applied to a model's output before it is used, including management overlays, post-model adjustments and model overrides.</w:t>
            </w:r>
          </w:p>
        </w:tc>
      </w:tr>
      <w:tr>
        <w:tc>
          <w:tcPr>
            <w:tcW w:type="dxa" w:w="2268"/>
          </w:tcPr>
          <w:p>
            <w:pPr>
              <w:pStyle w:val="TableText"/>
            </w:pPr>
            <w:r>
              <w:rPr>
                <w:rFonts w:ascii="Arial" w:hAnsi="Arial"/>
                <w:sz w:val="17"/>
              </w:rPr>
              <w:t>Quantitative decision tool</w:t>
            </w:r>
          </w:p>
        </w:tc>
        <w:tc>
          <w:tcPr>
            <w:tcW w:type="dxa" w:w="7143"/>
          </w:tcPr>
          <w:p>
            <w:pPr>
              <w:pStyle w:val="TableText"/>
            </w:pPr>
            <w:r>
              <w:rPr>
                <w:rFonts w:ascii="Arial" w:hAnsi="Arial"/>
                <w:sz w:val="17"/>
              </w:rPr>
              <w:t>A quantitative method that materially informs a decision but does not meet the definition of a model.</w:t>
            </w:r>
          </w:p>
        </w:tc>
      </w:tr>
      <w:tr>
        <w:tc>
          <w:tcPr>
            <w:tcW w:type="dxa" w:w="2268"/>
            <w:shd w:val="clear" w:color="auto" w:fill="F4F6FA"/>
          </w:tcPr>
          <w:p>
            <w:pPr>
              <w:pStyle w:val="TableText"/>
            </w:pPr>
            <w:r>
              <w:rPr>
                <w:rFonts w:ascii="Arial" w:hAnsi="Arial"/>
                <w:sz w:val="17"/>
              </w:rPr>
              <w:t>Third-party model</w:t>
            </w:r>
          </w:p>
        </w:tc>
        <w:tc>
          <w:tcPr>
            <w:tcW w:type="dxa" w:w="7143"/>
            <w:shd w:val="clear" w:color="auto" w:fill="F4F6FA"/>
          </w:tcPr>
          <w:p>
            <w:pPr>
              <w:pStyle w:val="TableText"/>
            </w:pPr>
            <w:r>
              <w:rPr>
                <w:rFonts w:ascii="Arial" w:hAnsi="Arial"/>
                <w:sz w:val="17"/>
              </w:rPr>
              <w:t>A model developed, supplied, hosted or operated by a party other than the entity, including a model embedded in a supplied system.</w:t>
            </w:r>
          </w:p>
        </w:tc>
      </w:tr>
    </w:tbl>
    <w:p>
      <w:pPr>
        <w:pStyle w:val="DocMeta"/>
      </w:pPr>
      <w:r>
        <w:br w:type="page"/>
      </w:r>
    </w:p>
    <w:p>
      <w:pPr>
        <w:pStyle w:val="Heading1"/>
      </w:pPr>
      <w:r>
        <w:t>Annex B — Minimum model inventory fields</w:t>
      </w:r>
    </w:p>
    <w:p>
      <w:pPr>
        <w:pStyle w:val="Guidance"/>
      </w:pPr>
      <w:r>
        <w:t>An APRA-regulated entity's model inventory must record at least the following for each model. These are minimum fields; an entity should record whatever further information its framework requires.</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2268"/>
            <w:shd w:val="clear" w:color="auto" w:fill="1B335F"/>
          </w:tcPr>
          <w:p>
            <w:pPr>
              <w:pStyle w:val="TableHead"/>
            </w:pPr>
            <w:r>
              <w:rPr>
                <w:rFonts w:ascii="Arial" w:hAnsi="Arial"/>
                <w:b/>
                <w:color w:val="FFFFFF"/>
                <w:sz w:val="17"/>
              </w:rPr>
              <w:t>Field group</w:t>
            </w:r>
          </w:p>
        </w:tc>
        <w:tc>
          <w:tcPr>
            <w:tcW w:type="dxa" w:w="7143"/>
            <w:shd w:val="clear" w:color="auto" w:fill="1B335F"/>
          </w:tcPr>
          <w:p>
            <w:pPr>
              <w:pStyle w:val="TableHead"/>
            </w:pPr>
            <w:r>
              <w:rPr>
                <w:rFonts w:ascii="Arial" w:hAnsi="Arial"/>
                <w:b/>
                <w:color w:val="FFFFFF"/>
                <w:sz w:val="17"/>
              </w:rPr>
              <w:t>Minimum content</w:t>
            </w:r>
          </w:p>
        </w:tc>
      </w:tr>
      <w:tr>
        <w:tc>
          <w:tcPr>
            <w:tcW w:type="dxa" w:w="2268"/>
          </w:tcPr>
          <w:p>
            <w:pPr>
              <w:pStyle w:val="TableText"/>
            </w:pPr>
            <w:r>
              <w:rPr>
                <w:rFonts w:ascii="Arial" w:hAnsi="Arial"/>
                <w:sz w:val="17"/>
              </w:rPr>
              <w:t>Identity</w:t>
            </w:r>
          </w:p>
        </w:tc>
        <w:tc>
          <w:tcPr>
            <w:tcW w:type="dxa" w:w="7143"/>
          </w:tcPr>
          <w:p>
            <w:pPr>
              <w:pStyle w:val="TableText"/>
            </w:pPr>
            <w:r>
              <w:rPr>
                <w:rFonts w:ascii="Arial" w:hAnsi="Arial"/>
                <w:sz w:val="17"/>
              </w:rPr>
              <w:t>Unique identifier; model name; version; status; owning business unit; legal entity.</w:t>
            </w:r>
          </w:p>
        </w:tc>
      </w:tr>
      <w:tr>
        <w:tc>
          <w:tcPr>
            <w:tcW w:type="dxa" w:w="2268"/>
            <w:shd w:val="clear" w:color="auto" w:fill="F4F6FA"/>
          </w:tcPr>
          <w:p>
            <w:pPr>
              <w:pStyle w:val="TableText"/>
            </w:pPr>
            <w:r>
              <w:rPr>
                <w:rFonts w:ascii="Arial" w:hAnsi="Arial"/>
                <w:sz w:val="17"/>
              </w:rPr>
              <w:t>Purpose and use</w:t>
            </w:r>
          </w:p>
        </w:tc>
        <w:tc>
          <w:tcPr>
            <w:tcW w:type="dxa" w:w="7143"/>
            <w:shd w:val="clear" w:color="auto" w:fill="F4F6FA"/>
          </w:tcPr>
          <w:p>
            <w:pPr>
              <w:pStyle w:val="TableText"/>
            </w:pPr>
            <w:r>
              <w:rPr>
                <w:rFonts w:ascii="Arial" w:hAnsi="Arial"/>
                <w:sz w:val="17"/>
              </w:rPr>
              <w:t>Intended purpose; approved uses and users; approved conditions and limits; processes, products, customers or beneficiaries affected.</w:t>
            </w:r>
          </w:p>
        </w:tc>
      </w:tr>
      <w:tr>
        <w:tc>
          <w:tcPr>
            <w:tcW w:type="dxa" w:w="2268"/>
          </w:tcPr>
          <w:p>
            <w:pPr>
              <w:pStyle w:val="TableText"/>
            </w:pPr>
            <w:r>
              <w:rPr>
                <w:rFonts w:ascii="Arial" w:hAnsi="Arial"/>
                <w:sz w:val="17"/>
              </w:rPr>
              <w:t>Accountability</w:t>
            </w:r>
          </w:p>
        </w:tc>
        <w:tc>
          <w:tcPr>
            <w:tcW w:type="dxa" w:w="7143"/>
          </w:tcPr>
          <w:p>
            <w:pPr>
              <w:pStyle w:val="TableText"/>
            </w:pPr>
            <w:r>
              <w:rPr>
                <w:rFonts w:ascii="Arial" w:hAnsi="Arial"/>
                <w:sz w:val="17"/>
              </w:rPr>
              <w:t>Model owner; accountable executive; developer; validator; approver; operator; provider.</w:t>
            </w:r>
          </w:p>
        </w:tc>
      </w:tr>
      <w:tr>
        <w:tc>
          <w:tcPr>
            <w:tcW w:type="dxa" w:w="2268"/>
            <w:shd w:val="clear" w:color="auto" w:fill="F4F6FA"/>
          </w:tcPr>
          <w:p>
            <w:pPr>
              <w:pStyle w:val="TableText"/>
            </w:pPr>
            <w:r>
              <w:rPr>
                <w:rFonts w:ascii="Arial" w:hAnsi="Arial"/>
                <w:sz w:val="17"/>
              </w:rPr>
              <w:t>Method</w:t>
            </w:r>
          </w:p>
        </w:tc>
        <w:tc>
          <w:tcPr>
            <w:tcW w:type="dxa" w:w="7143"/>
            <w:shd w:val="clear" w:color="auto" w:fill="F4F6FA"/>
          </w:tcPr>
          <w:p>
            <w:pPr>
              <w:pStyle w:val="TableText"/>
            </w:pPr>
            <w:r>
              <w:rPr>
                <w:rFonts w:ascii="Arial" w:hAnsi="Arial"/>
                <w:sz w:val="17"/>
              </w:rPr>
              <w:t>Model type and technique; whether AI or machine learning techniques are used; whether the model adapts or retrains in production; degree of automation.</w:t>
            </w:r>
          </w:p>
        </w:tc>
      </w:tr>
      <w:tr>
        <w:tc>
          <w:tcPr>
            <w:tcW w:type="dxa" w:w="2268"/>
          </w:tcPr>
          <w:p>
            <w:pPr>
              <w:pStyle w:val="TableText"/>
            </w:pPr>
            <w:r>
              <w:rPr>
                <w:rFonts w:ascii="Arial" w:hAnsi="Arial"/>
                <w:sz w:val="17"/>
              </w:rPr>
              <w:t>Data</w:t>
            </w:r>
          </w:p>
        </w:tc>
        <w:tc>
          <w:tcPr>
            <w:tcW w:type="dxa" w:w="7143"/>
          </w:tcPr>
          <w:p>
            <w:pPr>
              <w:pStyle w:val="TableText"/>
            </w:pPr>
            <w:r>
              <w:rPr>
                <w:rFonts w:ascii="Arial" w:hAnsi="Arial"/>
                <w:sz w:val="17"/>
              </w:rPr>
              <w:t>Material development, calibration, test and operational data; sources; use of proxy, external or synthetic data; sensitivity; lineage reference.</w:t>
            </w:r>
          </w:p>
        </w:tc>
      </w:tr>
      <w:tr>
        <w:tc>
          <w:tcPr>
            <w:tcW w:type="dxa" w:w="2268"/>
            <w:shd w:val="clear" w:color="auto" w:fill="F4F6FA"/>
          </w:tcPr>
          <w:p>
            <w:pPr>
              <w:pStyle w:val="TableText"/>
            </w:pPr>
            <w:r>
              <w:rPr>
                <w:rFonts w:ascii="Arial" w:hAnsi="Arial"/>
                <w:sz w:val="17"/>
              </w:rPr>
              <w:t>Dependencies</w:t>
            </w:r>
          </w:p>
        </w:tc>
        <w:tc>
          <w:tcPr>
            <w:tcW w:type="dxa" w:w="7143"/>
            <w:shd w:val="clear" w:color="auto" w:fill="F4F6FA"/>
          </w:tcPr>
          <w:p>
            <w:pPr>
              <w:pStyle w:val="TableText"/>
            </w:pPr>
            <w:r>
              <w:rPr>
                <w:rFonts w:ascii="Arial" w:hAnsi="Arial"/>
                <w:sz w:val="17"/>
              </w:rPr>
              <w:t>Upstream and downstream models; provider; hosting; material data sources; critical libraries and nth-party dependencies.</w:t>
            </w:r>
          </w:p>
        </w:tc>
      </w:tr>
      <w:tr>
        <w:tc>
          <w:tcPr>
            <w:tcW w:type="dxa" w:w="2268"/>
          </w:tcPr>
          <w:p>
            <w:pPr>
              <w:pStyle w:val="TableText"/>
            </w:pPr>
            <w:r>
              <w:rPr>
                <w:rFonts w:ascii="Arial" w:hAnsi="Arial"/>
                <w:sz w:val="17"/>
              </w:rPr>
              <w:t>Risk</w:t>
            </w:r>
          </w:p>
        </w:tc>
        <w:tc>
          <w:tcPr>
            <w:tcW w:type="dxa" w:w="7143"/>
          </w:tcPr>
          <w:p>
            <w:pPr>
              <w:pStyle w:val="TableText"/>
            </w:pPr>
            <w:r>
              <w:rPr>
                <w:rFonts w:ascii="Arial" w:hAnsi="Arial"/>
                <w:sz w:val="17"/>
              </w:rPr>
              <w:t>Model risk tier; rationale; date assigned; linkage to a critical operation; key limitations and the compensating controls relied upon.</w:t>
            </w:r>
          </w:p>
        </w:tc>
      </w:tr>
      <w:tr>
        <w:tc>
          <w:tcPr>
            <w:tcW w:type="dxa" w:w="2268"/>
            <w:shd w:val="clear" w:color="auto" w:fill="F4F6FA"/>
          </w:tcPr>
          <w:p>
            <w:pPr>
              <w:pStyle w:val="TableText"/>
            </w:pPr>
            <w:r>
              <w:rPr>
                <w:rFonts w:ascii="Arial" w:hAnsi="Arial"/>
                <w:sz w:val="17"/>
              </w:rPr>
              <w:t>Governance</w:t>
            </w:r>
          </w:p>
        </w:tc>
        <w:tc>
          <w:tcPr>
            <w:tcW w:type="dxa" w:w="7143"/>
            <w:shd w:val="clear" w:color="auto" w:fill="F4F6FA"/>
          </w:tcPr>
          <w:p>
            <w:pPr>
              <w:pStyle w:val="TableText"/>
            </w:pPr>
            <w:r>
              <w:rPr>
                <w:rFonts w:ascii="Arial" w:hAnsi="Arial"/>
                <w:sz w:val="17"/>
              </w:rPr>
              <w:t>Approval date, authority and conditions; validation status and date; next validation due; open findings by severity; exceptions in force.</w:t>
            </w:r>
          </w:p>
        </w:tc>
      </w:tr>
      <w:tr>
        <w:tc>
          <w:tcPr>
            <w:tcW w:type="dxa" w:w="2268"/>
          </w:tcPr>
          <w:p>
            <w:pPr>
              <w:pStyle w:val="TableText"/>
            </w:pPr>
            <w:r>
              <w:rPr>
                <w:rFonts w:ascii="Arial" w:hAnsi="Arial"/>
                <w:sz w:val="17"/>
              </w:rPr>
              <w:t>Performance</w:t>
            </w:r>
          </w:p>
        </w:tc>
        <w:tc>
          <w:tcPr>
            <w:tcW w:type="dxa" w:w="7143"/>
          </w:tcPr>
          <w:p>
            <w:pPr>
              <w:pStyle w:val="TableText"/>
            </w:pPr>
            <w:r>
              <w:rPr>
                <w:rFonts w:ascii="Arial" w:hAnsi="Arial"/>
                <w:sz w:val="17"/>
              </w:rPr>
              <w:t>Monitoring metrics and thresholds; latest performance assessment; overlays in force and their size; breaches and actions taken.</w:t>
            </w:r>
          </w:p>
        </w:tc>
      </w:tr>
      <w:tr>
        <w:tc>
          <w:tcPr>
            <w:tcW w:type="dxa" w:w="2268"/>
            <w:shd w:val="clear" w:color="auto" w:fill="F4F6FA"/>
          </w:tcPr>
          <w:p>
            <w:pPr>
              <w:pStyle w:val="TableText"/>
            </w:pPr>
            <w:r>
              <w:rPr>
                <w:rFonts w:ascii="Arial" w:hAnsi="Arial"/>
                <w:sz w:val="17"/>
              </w:rPr>
              <w:t>Change and retirement</w:t>
            </w:r>
          </w:p>
        </w:tc>
        <w:tc>
          <w:tcPr>
            <w:tcW w:type="dxa" w:w="7143"/>
            <w:shd w:val="clear" w:color="auto" w:fill="F4F6FA"/>
          </w:tcPr>
          <w:p>
            <w:pPr>
              <w:pStyle w:val="TableText"/>
            </w:pPr>
            <w:r>
              <w:rPr>
                <w:rFonts w:ascii="Arial" w:hAnsi="Arial"/>
                <w:sz w:val="17"/>
              </w:rPr>
              <w:t>Version history; material changes and their assessment; provider updates; decommission date; disposition of records, data and outputs still in force.</w:t>
            </w:r>
          </w:p>
        </w:tc>
      </w:tr>
    </w:tbl>
    <w:p>
      <w:pPr>
        <w:pStyle w:val="DocMeta"/>
      </w:pPr>
      <w:r>
        <w:br w:type="page"/>
      </w:r>
    </w:p>
    <w:p>
      <w:pPr>
        <w:pStyle w:val="Heading1"/>
      </w:pPr>
      <w:r>
        <w:t>Annex C — Model risk tiering indicators</w:t>
      </w:r>
    </w:p>
    <w:p>
      <w:pPr>
        <w:pStyle w:val="Guidance"/>
      </w:pPr>
      <w:r>
        <w:t>An entity would ordinarily assign a model to its highest risk tier where one or more of the following indicators is material. Classification remains outcome-based and context-specific, and no single indicator is determinative.</w:t>
      </w:r>
    </w:p>
    <w:p>
      <w:pPr>
        <w:pStyle w:val="Bullet"/>
      </w:pPr>
      <w:r>
        <w:t>• Determines or materially influences a regulatory capital requirement, a provision, a technical or insurance liability, or a valuation reported in the financial statements.</w:t>
      </w:r>
    </w:p>
    <w:p>
      <w:pPr>
        <w:pStyle w:val="Bullet"/>
      </w:pPr>
      <w:r>
        <w:t>• Determines or materially influences an amount credited to or debited from a customer or member account, including unit prices and fee calculations.</w:t>
      </w:r>
    </w:p>
    <w:p>
      <w:pPr>
        <w:pStyle w:val="Bullet"/>
      </w:pPr>
      <w:r>
        <w:t>• Makes, recommends or materially influences decisions affecting a person's access to a financial product, a claim, a benefit, a price or an employment outcome.</w:t>
      </w:r>
    </w:p>
    <w:p>
      <w:pPr>
        <w:pStyle w:val="Bullet"/>
      </w:pPr>
      <w:r>
        <w:t>• Supports a critical operation, or its failure could cause a tolerance level under CPS 230 to be breached.</w:t>
      </w:r>
    </w:p>
    <w:p>
      <w:pPr>
        <w:pStyle w:val="Bullet"/>
      </w:pPr>
      <w:r>
        <w:t>• Is applied automatically at volume, or its output is acted upon without effective human review.</w:t>
      </w:r>
    </w:p>
    <w:p>
      <w:pPr>
        <w:pStyle w:val="Bullet"/>
      </w:pPr>
      <w:r>
        <w:t>• Is opaque to the extent that the drivers of an individual output cannot be attributed, and compensating controls are not yet demonstrated to be effective.</w:t>
      </w:r>
    </w:p>
    <w:p>
      <w:pPr>
        <w:pStyle w:val="Bullet"/>
      </w:pPr>
      <w:r>
        <w:t>• Depends on sparse, proxy, external or unrepresentative data, or on data whose provenance the entity cannot establish.</w:t>
      </w:r>
    </w:p>
    <w:p>
      <w:pPr>
        <w:pStyle w:val="Bullet"/>
      </w:pPr>
      <w:r>
        <w:t>• Adapts, retrains or changes behaviour in production without a controlled approval step.</w:t>
      </w:r>
    </w:p>
    <w:p>
      <w:pPr>
        <w:pStyle w:val="Bullet"/>
      </w:pPr>
      <w:r>
        <w:t>• Relies on a provider, foundation model, platform or data source for which no practical substitute exists within the relevant time horizon.</w:t>
      </w:r>
    </w:p>
    <w:p>
      <w:pPr>
        <w:pStyle w:val="Bullet"/>
      </w:pPr>
      <w:r>
        <w:t>• Produces an error that would be difficult to detect, difficult to reverse, or would crystallise a transfer of value between customers or members.</w:t>
      </w:r>
    </w:p>
    <w:p>
      <w:pPr>
        <w:sectPr>
          <w:headerReference w:type="default" r:id="rId9"/>
          <w:footerReference w:type="default" r:id="rId10"/>
          <w:pgSz w:w="11906" w:h="16838"/>
          <w:pgMar w:top="1134" w:right="1247" w:bottom="1077" w:left="1247" w:header="624" w:footer="567" w:gutter="0"/>
          <w:cols w:space="720"/>
          <w:docGrid w:linePitch="360"/>
        </w:sectPr>
      </w:pPr>
    </w:p>
    <w:p>
      <w:pPr>
        <w:pStyle w:val="Heading1"/>
      </w:pPr>
      <w:r>
        <w:t>Annex D — International comparison of model risk requirements</w:t>
      </w:r>
    </w:p>
    <w:p>
      <w:pPr>
        <w:pStyle w:val="Guidance"/>
      </w:pPr>
      <w:r>
        <w:t>This Annex compares the model risk requirements and expectations of the authorities whose frameworks informed this Prudential Standard. Legal status differs materially between them and is stated in each cell group. An overseas instrument is not binding in Australia whatever its status in its home jurisdiction.</w:t>
      </w:r>
    </w:p>
    <w:p>
      <w:pPr>
        <w:pStyle w:val="SourceNote"/>
      </w:pPr>
      <w:r>
        <w:t>Status codes: [B] binding in the home jurisdiction · [SE] supervisory expectation, not binding law · [G] guidance · [PB] proposed or consultative · [A] analytical or advisory · [—] not addressed.</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1682"/>
        <w:gridCol w:w="1682"/>
        <w:gridCol w:w="1682"/>
        <w:gridCol w:w="1682"/>
        <w:gridCol w:w="1682"/>
        <w:gridCol w:w="1682"/>
        <w:gridCol w:w="1682"/>
        <w:gridCol w:w="1682"/>
        <w:gridCol w:w="1682"/>
      </w:tblGrid>
      <w:tr>
        <w:trPr>
          <w:tblHeader w:val="true"/>
        </w:trPr>
        <w:tc>
          <w:tcPr>
            <w:tcW w:type="dxa" w:w="1417"/>
            <w:shd w:val="clear" w:color="auto" w:fill="1B335F"/>
          </w:tcPr>
          <w:p>
            <w:pPr>
              <w:pStyle w:val="TableHead"/>
            </w:pPr>
            <w:r>
              <w:rPr>
                <w:rFonts w:ascii="Arial" w:hAnsi="Arial"/>
                <w:b/>
                <w:color w:val="FFFFFF"/>
                <w:sz w:val="14"/>
              </w:rPr>
              <w:t>Domain</w:t>
            </w:r>
          </w:p>
        </w:tc>
        <w:tc>
          <w:tcPr>
            <w:tcW w:type="dxa" w:w="1757"/>
            <w:shd w:val="clear" w:color="auto" w:fill="1B335F"/>
          </w:tcPr>
          <w:p>
            <w:pPr>
              <w:pStyle w:val="TableHead"/>
            </w:pPr>
            <w:r>
              <w:rPr>
                <w:rFonts w:ascii="Arial" w:hAnsi="Arial"/>
                <w:b/>
                <w:color w:val="FFFFFF"/>
                <w:sz w:val="14"/>
              </w:rPr>
              <w:t>APRA (proposed CPS 240)</w:t>
            </w:r>
          </w:p>
        </w:tc>
        <w:tc>
          <w:tcPr>
            <w:tcW w:type="dxa" w:w="1701"/>
            <w:shd w:val="clear" w:color="auto" w:fill="1B335F"/>
          </w:tcPr>
          <w:p>
            <w:pPr>
              <w:pStyle w:val="TableHead"/>
            </w:pPr>
            <w:r>
              <w:rPr>
                <w:rFonts w:ascii="Arial" w:hAnsi="Arial"/>
                <w:b/>
                <w:color w:val="FFFFFF"/>
                <w:sz w:val="14"/>
              </w:rPr>
              <w:t>OCC / Federal Reserve (US)</w:t>
            </w:r>
          </w:p>
        </w:tc>
        <w:tc>
          <w:tcPr>
            <w:tcW w:type="dxa" w:w="1701"/>
            <w:shd w:val="clear" w:color="auto" w:fill="1B335F"/>
          </w:tcPr>
          <w:p>
            <w:pPr>
              <w:pStyle w:val="TableHead"/>
            </w:pPr>
            <w:r>
              <w:rPr>
                <w:rFonts w:ascii="Arial" w:hAnsi="Arial"/>
                <w:b/>
                <w:color w:val="FFFFFF"/>
                <w:sz w:val="14"/>
              </w:rPr>
              <w:t>PRA (UK)</w:t>
            </w:r>
          </w:p>
        </w:tc>
        <w:tc>
          <w:tcPr>
            <w:tcW w:type="dxa" w:w="1701"/>
            <w:shd w:val="clear" w:color="auto" w:fill="1B335F"/>
          </w:tcPr>
          <w:p>
            <w:pPr>
              <w:pStyle w:val="TableHead"/>
            </w:pPr>
            <w:r>
              <w:rPr>
                <w:rFonts w:ascii="Arial" w:hAnsi="Arial"/>
                <w:b/>
                <w:color w:val="FFFFFF"/>
                <w:sz w:val="14"/>
              </w:rPr>
              <w:t>OSFI (Canada)</w:t>
            </w:r>
          </w:p>
        </w:tc>
        <w:tc>
          <w:tcPr>
            <w:tcW w:type="dxa" w:w="1701"/>
            <w:shd w:val="clear" w:color="auto" w:fill="1B335F"/>
          </w:tcPr>
          <w:p>
            <w:pPr>
              <w:pStyle w:val="TableHead"/>
            </w:pPr>
            <w:r>
              <w:rPr>
                <w:rFonts w:ascii="Arial" w:hAnsi="Arial"/>
                <w:b/>
                <w:color w:val="FFFFFF"/>
                <w:sz w:val="14"/>
              </w:rPr>
              <w:t>ECB / SSM (EU)</w:t>
            </w:r>
          </w:p>
        </w:tc>
        <w:tc>
          <w:tcPr>
            <w:tcW w:type="dxa" w:w="1644"/>
            <w:shd w:val="clear" w:color="auto" w:fill="1B335F"/>
          </w:tcPr>
          <w:p>
            <w:pPr>
              <w:pStyle w:val="TableHead"/>
            </w:pPr>
            <w:r>
              <w:rPr>
                <w:rFonts w:ascii="Arial" w:hAnsi="Arial"/>
                <w:b/>
                <w:color w:val="FFFFFF"/>
                <w:sz w:val="14"/>
              </w:rPr>
              <w:t>MAS (Singapore)</w:t>
            </w:r>
          </w:p>
        </w:tc>
        <w:tc>
          <w:tcPr>
            <w:tcW w:type="dxa" w:w="1531"/>
            <w:shd w:val="clear" w:color="auto" w:fill="1B335F"/>
          </w:tcPr>
          <w:p>
            <w:pPr>
              <w:pStyle w:val="TableHead"/>
            </w:pPr>
            <w:r>
              <w:rPr>
                <w:rFonts w:ascii="Arial" w:hAnsi="Arial"/>
                <w:b/>
                <w:color w:val="FFFFFF"/>
                <w:sz w:val="14"/>
              </w:rPr>
              <w:t>BCBS</w:t>
            </w:r>
          </w:p>
        </w:tc>
        <w:tc>
          <w:tcPr>
            <w:tcW w:type="dxa" w:w="1417"/>
            <w:shd w:val="clear" w:color="auto" w:fill="1B335F"/>
          </w:tcPr>
          <w:p>
            <w:pPr>
              <w:pStyle w:val="TableHead"/>
            </w:pPr>
            <w:r>
              <w:rPr>
                <w:rFonts w:ascii="Arial" w:hAnsi="Arial"/>
                <w:b/>
                <w:color w:val="FFFFFF"/>
                <w:sz w:val="14"/>
              </w:rPr>
              <w:t>FSB</w:t>
            </w:r>
          </w:p>
        </w:tc>
      </w:tr>
      <w:tr>
        <w:tc>
          <w:tcPr>
            <w:tcW w:type="dxa" w:w="1417"/>
          </w:tcPr>
          <w:p>
            <w:pPr>
              <w:pStyle w:val="TableText"/>
            </w:pPr>
            <w:r>
              <w:rPr>
                <w:rFonts w:ascii="Arial" w:hAnsi="Arial"/>
                <w:sz w:val="14"/>
              </w:rPr>
              <w:t>Legal character of the framework</w:t>
            </w:r>
          </w:p>
        </w:tc>
        <w:tc>
          <w:tcPr>
            <w:tcW w:type="dxa" w:w="1757"/>
          </w:tcPr>
          <w:p>
            <w:pPr>
              <w:pStyle w:val="TableText"/>
            </w:pPr>
            <w:r>
              <w:rPr>
                <w:rFonts w:ascii="Arial" w:hAnsi="Arial"/>
                <w:sz w:val="14"/>
              </w:rPr>
              <w:t>Binding cross-industry prudential standard, deliberately enforceable rather than advisory.</w:t>
            </w:r>
          </w:p>
        </w:tc>
        <w:tc>
          <w:tcPr>
            <w:tcW w:type="dxa" w:w="1701"/>
          </w:tcPr>
          <w:p>
            <w:pPr>
              <w:pStyle w:val="TableText"/>
            </w:pPr>
            <w:r>
              <w:rPr>
                <w:rFonts w:ascii="Arial" w:hAnsi="Arial"/>
                <w:sz w:val="14"/>
              </w:rPr>
              <w:t>Supervisory guidance only, expressly non-enforceable; the sole binding instrument makes guidance non-binding.</w:t>
            </w:r>
          </w:p>
        </w:tc>
        <w:tc>
          <w:tcPr>
            <w:tcW w:type="dxa" w:w="1701"/>
          </w:tcPr>
          <w:p>
            <w:pPr>
              <w:pStyle w:val="TableText"/>
            </w:pPr>
            <w:r>
              <w:rPr>
                <w:rFonts w:ascii="Arial" w:hAnsi="Arial"/>
                <w:sz w:val="14"/>
              </w:rPr>
              <w:t>Supervisory statement; expectations, not Rulebook rules.</w:t>
            </w:r>
          </w:p>
        </w:tc>
        <w:tc>
          <w:tcPr>
            <w:tcW w:type="dxa" w:w="1701"/>
          </w:tcPr>
          <w:p>
            <w:pPr>
              <w:pStyle w:val="TableText"/>
            </w:pPr>
            <w:r>
              <w:rPr>
                <w:rFonts w:ascii="Arial" w:hAnsi="Arial"/>
                <w:sz w:val="14"/>
              </w:rPr>
              <w:t>Supervisory guideline; final but not effective until 1 May 2027.</w:t>
            </w:r>
          </w:p>
        </w:tc>
        <w:tc>
          <w:tcPr>
            <w:tcW w:type="dxa" w:w="1701"/>
          </w:tcPr>
          <w:p>
            <w:pPr>
              <w:pStyle w:val="TableText"/>
            </w:pPr>
            <w:r>
              <w:rPr>
                <w:rFonts w:ascii="Arial" w:hAnsi="Arial"/>
                <w:sz w:val="14"/>
              </w:rPr>
              <w:t>Supervisory guide interpreting binding CRR articles; the CRR is the law, the guide is not.</w:t>
            </w:r>
          </w:p>
        </w:tc>
        <w:tc>
          <w:tcPr>
            <w:tcW w:type="dxa" w:w="1644"/>
          </w:tcPr>
          <w:p>
            <w:pPr>
              <w:pStyle w:val="TableText"/>
            </w:pPr>
            <w:r>
              <w:rPr>
                <w:rFonts w:ascii="Arial" w:hAnsi="Arial"/>
                <w:sz w:val="14"/>
              </w:rPr>
              <w:t>Binding Notice for capital models; information paper and voluntary principles for AI.</w:t>
            </w:r>
          </w:p>
        </w:tc>
        <w:tc>
          <w:tcPr>
            <w:tcW w:type="dxa" w:w="1531"/>
          </w:tcPr>
          <w:p>
            <w:pPr>
              <w:pStyle w:val="TableText"/>
            </w:pPr>
            <w:r>
              <w:rPr>
                <w:rFonts w:ascii="Arial" w:hAnsi="Arial"/>
                <w:sz w:val="14"/>
              </w:rPr>
              <w:t>International principles; effect depends on domestic implementation.</w:t>
            </w:r>
          </w:p>
        </w:tc>
        <w:tc>
          <w:tcPr>
            <w:tcW w:type="dxa" w:w="1417"/>
          </w:tcPr>
          <w:p>
            <w:pPr>
              <w:pStyle w:val="TableText"/>
            </w:pPr>
            <w:r>
              <w:rPr>
                <w:rFonts w:ascii="Arial" w:hAnsi="Arial"/>
                <w:sz w:val="14"/>
              </w:rPr>
              <w:t>Analytical and consultative reports; expressly not standards.</w:t>
            </w:r>
          </w:p>
        </w:tc>
      </w:tr>
      <w:tr>
        <w:tc>
          <w:tcPr>
            <w:tcW w:type="dxa" w:w="1417"/>
            <w:shd w:val="clear" w:color="auto" w:fill="F4F6FA"/>
          </w:tcPr>
          <w:p>
            <w:pPr>
              <w:pStyle w:val="TableText"/>
            </w:pPr>
            <w:r>
              <w:rPr>
                <w:rFonts w:ascii="Arial" w:hAnsi="Arial"/>
                <w:sz w:val="14"/>
              </w:rPr>
              <w:t>Definition of a model</w:t>
            </w:r>
          </w:p>
        </w:tc>
        <w:tc>
          <w:tcPr>
            <w:tcW w:type="dxa" w:w="1757"/>
            <w:shd w:val="clear" w:color="auto" w:fill="F4F6FA"/>
          </w:tcPr>
          <w:p>
            <w:pPr>
              <w:pStyle w:val="TableText"/>
            </w:pPr>
            <w:r>
              <w:rPr>
                <w:rFonts w:ascii="Arial" w:hAnsi="Arial"/>
                <w:sz w:val="14"/>
              </w:rPr>
              <w:t>Broad function-based definition capturing deterministic actuarial and pricing calculations, which the US now excludes.</w:t>
            </w:r>
          </w:p>
        </w:tc>
        <w:tc>
          <w:tcPr>
            <w:tcW w:type="dxa" w:w="1701"/>
            <w:shd w:val="clear" w:color="auto" w:fill="F4F6FA"/>
          </w:tcPr>
          <w:p>
            <w:pPr>
              <w:pStyle w:val="TableText"/>
            </w:pPr>
            <w:r>
              <w:rPr>
                <w:rFonts w:ascii="Arial" w:hAnsi="Arial"/>
                <w:sz w:val="14"/>
              </w:rPr>
              <w:t>Narrowed in April 2026 to complex methods applying statistical, economic or financial theories; excludes spreadsheet arithmetic, deterministic rules, and generative and agentic AI.</w:t>
            </w:r>
          </w:p>
        </w:tc>
        <w:tc>
          <w:tcPr>
            <w:tcW w:type="dxa" w:w="1701"/>
            <w:shd w:val="clear" w:color="auto" w:fill="F4F6FA"/>
          </w:tcPr>
          <w:p>
            <w:pPr>
              <w:pStyle w:val="TableText"/>
            </w:pPr>
            <w:r>
              <w:rPr>
                <w:rFonts w:ascii="Arial" w:hAnsi="Arial"/>
                <w:sz w:val="14"/>
              </w:rPr>
              <w:t>Firms set their own definition; Principle 1.1 requires one, and requires consideration of methods falling outside it.</w:t>
            </w:r>
          </w:p>
        </w:tc>
        <w:tc>
          <w:tcPr>
            <w:tcW w:type="dxa" w:w="1701"/>
            <w:shd w:val="clear" w:color="auto" w:fill="F4F6FA"/>
          </w:tcPr>
          <w:p>
            <w:pPr>
              <w:pStyle w:val="TableText"/>
            </w:pPr>
            <w:r>
              <w:rPr>
                <w:rFonts w:ascii="Arial" w:hAnsi="Arial"/>
                <w:sz w:val="14"/>
              </w:rPr>
              <w:t>Model definition expressly includes AI and machine learning.</w:t>
            </w:r>
          </w:p>
        </w:tc>
        <w:tc>
          <w:tcPr>
            <w:tcW w:type="dxa" w:w="1701"/>
            <w:shd w:val="clear" w:color="auto" w:fill="F4F6FA"/>
          </w:tcPr>
          <w:p>
            <w:pPr>
              <w:pStyle w:val="TableText"/>
            </w:pPr>
            <w:r>
              <w:rPr>
                <w:rFonts w:ascii="Arial" w:hAnsi="Arial"/>
                <w:sz w:val="14"/>
              </w:rPr>
              <w:t>Internal models for regulatory capital; machine learning addressed as a technique within them.</w:t>
            </w:r>
          </w:p>
        </w:tc>
        <w:tc>
          <w:tcPr>
            <w:tcW w:type="dxa" w:w="1644"/>
            <w:shd w:val="clear" w:color="auto" w:fill="F4F6FA"/>
          </w:tcPr>
          <w:p>
            <w:pPr>
              <w:pStyle w:val="TableText"/>
            </w:pPr>
            <w:r>
              <w:rPr>
                <w:rFonts w:ascii="Arial" w:hAnsi="Arial"/>
                <w:sz w:val="14"/>
              </w:rPr>
              <w:t>Capital models defined in Notice 637; AI models addressed separately.</w:t>
            </w:r>
          </w:p>
        </w:tc>
        <w:tc>
          <w:tcPr>
            <w:tcW w:type="dxa" w:w="1531"/>
            <w:shd w:val="clear" w:color="auto" w:fill="F4F6FA"/>
          </w:tcPr>
          <w:p>
            <w:pPr>
              <w:pStyle w:val="TableText"/>
            </w:pPr>
            <w:r>
              <w:rPr>
                <w:rFonts w:ascii="Arial" w:hAnsi="Arial"/>
                <w:sz w:val="14"/>
              </w:rPr>
              <w:t>No general definition; BCBS 239 addresses risk data rather than models.</w:t>
            </w:r>
          </w:p>
        </w:tc>
        <w:tc>
          <w:tcPr>
            <w:tcW w:type="dxa" w:w="1417"/>
            <w:shd w:val="clear" w:color="auto" w:fill="F4F6FA"/>
          </w:tcPr>
          <w:p>
            <w:pPr>
              <w:pStyle w:val="TableText"/>
            </w:pPr>
            <w:r>
              <w:rPr>
                <w:rFonts w:ascii="Arial" w:hAnsi="Arial"/>
                <w:sz w:val="14"/>
              </w:rPr>
              <w:t>Uses the OECD AI definition rather than a model definition.</w:t>
            </w:r>
          </w:p>
        </w:tc>
      </w:tr>
      <w:tr>
        <w:tc>
          <w:tcPr>
            <w:tcW w:type="dxa" w:w="1417"/>
          </w:tcPr>
          <w:p>
            <w:pPr>
              <w:pStyle w:val="TableText"/>
            </w:pPr>
            <w:r>
              <w:rPr>
                <w:rFonts w:ascii="Arial" w:hAnsi="Arial"/>
                <w:sz w:val="14"/>
              </w:rPr>
              <w:t>Non-model quantitative tools</w:t>
            </w:r>
          </w:p>
        </w:tc>
        <w:tc>
          <w:tcPr>
            <w:tcW w:type="dxa" w:w="1757"/>
          </w:tcPr>
          <w:p>
            <w:pPr>
              <w:pStyle w:val="TableText"/>
            </w:pPr>
            <w:r>
              <w:rPr>
                <w:rFonts w:ascii="Arial" w:hAnsi="Arial"/>
                <w:sz w:val="14"/>
              </w:rPr>
              <w:t>Express requirement to identify material tools outside the definition and control them proportionately.</w:t>
            </w:r>
          </w:p>
        </w:tc>
        <w:tc>
          <w:tcPr>
            <w:tcW w:type="dxa" w:w="1701"/>
          </w:tcPr>
          <w:p>
            <w:pPr>
              <w:pStyle w:val="TableText"/>
            </w:pPr>
            <w:r>
              <w:rPr>
                <w:rFonts w:ascii="Arial" w:hAnsi="Arial"/>
                <w:sz w:val="14"/>
              </w:rPr>
              <w:t>Expressly excluded from the model definition; no control obligation stated in the 2026 guidance.</w:t>
            </w:r>
          </w:p>
        </w:tc>
        <w:tc>
          <w:tcPr>
            <w:tcW w:type="dxa" w:w="1701"/>
          </w:tcPr>
          <w:p>
            <w:pPr>
              <w:pStyle w:val="TableText"/>
            </w:pPr>
            <w:r>
              <w:rPr>
                <w:rFonts w:ascii="Arial" w:hAnsi="Arial"/>
                <w:sz w:val="14"/>
              </w:rPr>
              <w:t>Principle 1.1 expects firms to consider quantitative methods falling outside the model definition.</w:t>
            </w:r>
          </w:p>
        </w:tc>
        <w:tc>
          <w:tcPr>
            <w:tcW w:type="dxa" w:w="1701"/>
          </w:tcPr>
          <w:p>
            <w:pPr>
              <w:pStyle w:val="TableText"/>
            </w:pPr>
            <w:r>
              <w:rPr>
                <w:rFonts w:ascii="Arial" w:hAnsi="Arial"/>
                <w:sz w:val="14"/>
              </w:rPr>
              <w:t>Addressed through the risk-based approach.</w:t>
            </w:r>
          </w:p>
        </w:tc>
        <w:tc>
          <w:tcPr>
            <w:tcW w:type="dxa" w:w="1701"/>
          </w:tcPr>
          <w:p>
            <w:pPr>
              <w:pStyle w:val="TableText"/>
            </w:pPr>
            <w:r>
              <w:rPr>
                <w:rFonts w:ascii="Arial" w:hAnsi="Arial"/>
                <w:sz w:val="14"/>
              </w:rPr>
              <w:t>Not separately addressed.</w:t>
            </w:r>
          </w:p>
        </w:tc>
        <w:tc>
          <w:tcPr>
            <w:tcW w:type="dxa" w:w="1644"/>
          </w:tcPr>
          <w:p>
            <w:pPr>
              <w:pStyle w:val="TableText"/>
            </w:pPr>
            <w:r>
              <w:rPr>
                <w:rFonts w:ascii="Arial" w:hAnsi="Arial"/>
                <w:sz w:val="14"/>
              </w:rPr>
              <w:t>Not separately addressed.</w:t>
            </w:r>
          </w:p>
        </w:tc>
        <w:tc>
          <w:tcPr>
            <w:tcW w:type="dxa" w:w="1531"/>
          </w:tcPr>
          <w:p>
            <w:pPr>
              <w:pStyle w:val="TableText"/>
            </w:pPr>
            <w:r>
              <w:rPr>
                <w:rFonts w:ascii="Arial" w:hAnsi="Arial"/>
                <w:sz w:val="14"/>
              </w:rPr>
              <w:t>Not addressed.</w:t>
            </w:r>
          </w:p>
        </w:tc>
        <w:tc>
          <w:tcPr>
            <w:tcW w:type="dxa" w:w="1417"/>
          </w:tcPr>
          <w:p>
            <w:pPr>
              <w:pStyle w:val="TableText"/>
            </w:pPr>
            <w:r>
              <w:rPr>
                <w:rFonts w:ascii="Arial" w:hAnsi="Arial"/>
                <w:sz w:val="14"/>
              </w:rPr>
              <w:t>Not addressed.</w:t>
            </w:r>
          </w:p>
        </w:tc>
      </w:tr>
      <w:tr>
        <w:tc>
          <w:tcPr>
            <w:tcW w:type="dxa" w:w="1417"/>
            <w:shd w:val="clear" w:color="auto" w:fill="F4F6FA"/>
          </w:tcPr>
          <w:p>
            <w:pPr>
              <w:pStyle w:val="TableText"/>
            </w:pPr>
            <w:r>
              <w:rPr>
                <w:rFonts w:ascii="Arial" w:hAnsi="Arial"/>
                <w:sz w:val="14"/>
              </w:rPr>
              <w:t>Enterprise-wide scope</w:t>
            </w:r>
          </w:p>
        </w:tc>
        <w:tc>
          <w:tcPr>
            <w:tcW w:type="dxa" w:w="1757"/>
            <w:shd w:val="clear" w:color="auto" w:fill="F4F6FA"/>
          </w:tcPr>
          <w:p>
            <w:pPr>
              <w:pStyle w:val="TableText"/>
            </w:pPr>
            <w:r>
              <w:rPr>
                <w:rFonts w:ascii="Arial" w:hAnsi="Arial"/>
                <w:sz w:val="14"/>
              </w:rPr>
              <w:t>Enterprise-wide across all models, all business lines and all APRA-regulated industries.</w:t>
            </w:r>
          </w:p>
        </w:tc>
        <w:tc>
          <w:tcPr>
            <w:tcW w:type="dxa" w:w="1701"/>
            <w:shd w:val="clear" w:color="auto" w:fill="F4F6FA"/>
          </w:tcPr>
          <w:p>
            <w:pPr>
              <w:pStyle w:val="TableText"/>
            </w:pPr>
            <w:r>
              <w:rPr>
                <w:rFonts w:ascii="Arial" w:hAnsi="Arial"/>
                <w:sz w:val="14"/>
              </w:rPr>
              <w:t>Applies across the organisation; most relevant above $30bn total assets.</w:t>
            </w:r>
          </w:p>
        </w:tc>
        <w:tc>
          <w:tcPr>
            <w:tcW w:type="dxa" w:w="1701"/>
            <w:shd w:val="clear" w:color="auto" w:fill="F4F6FA"/>
          </w:tcPr>
          <w:p>
            <w:pPr>
              <w:pStyle w:val="TableText"/>
            </w:pPr>
            <w:r>
              <w:rPr>
                <w:rFonts w:ascii="Arial" w:hAnsi="Arial"/>
                <w:sz w:val="14"/>
              </w:rPr>
              <w:t>Enterprise-wide, but only for firms with internal model approval.</w:t>
            </w:r>
          </w:p>
        </w:tc>
        <w:tc>
          <w:tcPr>
            <w:tcW w:type="dxa" w:w="1701"/>
            <w:shd w:val="clear" w:color="auto" w:fill="F4F6FA"/>
          </w:tcPr>
          <w:p>
            <w:pPr>
              <w:pStyle w:val="TableText"/>
            </w:pPr>
            <w:r>
              <w:rPr>
                <w:rFonts w:ascii="Arial" w:hAnsi="Arial"/>
                <w:sz w:val="14"/>
              </w:rPr>
              <w:t>Enterprise-wide across all models regardless of source or purpose.</w:t>
            </w:r>
          </w:p>
        </w:tc>
        <w:tc>
          <w:tcPr>
            <w:tcW w:type="dxa" w:w="1701"/>
            <w:shd w:val="clear" w:color="auto" w:fill="F4F6FA"/>
          </w:tcPr>
          <w:p>
            <w:pPr>
              <w:pStyle w:val="TableText"/>
            </w:pPr>
            <w:r>
              <w:rPr>
                <w:rFonts w:ascii="Arial" w:hAnsi="Arial"/>
                <w:sz w:val="14"/>
              </w:rPr>
              <w:t>Limited to internal models used for regulatory capital.</w:t>
            </w:r>
          </w:p>
        </w:tc>
        <w:tc>
          <w:tcPr>
            <w:tcW w:type="dxa" w:w="1644"/>
            <w:shd w:val="clear" w:color="auto" w:fill="F4F6FA"/>
          </w:tcPr>
          <w:p>
            <w:pPr>
              <w:pStyle w:val="TableText"/>
            </w:pPr>
            <w:r>
              <w:rPr>
                <w:rFonts w:ascii="Arial" w:hAnsi="Arial"/>
                <w:sz w:val="14"/>
              </w:rPr>
              <w:t>Capital models; AI practices observed more broadly.</w:t>
            </w:r>
          </w:p>
        </w:tc>
        <w:tc>
          <w:tcPr>
            <w:tcW w:type="dxa" w:w="1531"/>
            <w:shd w:val="clear" w:color="auto" w:fill="F4F6FA"/>
          </w:tcPr>
          <w:p>
            <w:pPr>
              <w:pStyle w:val="TableText"/>
            </w:pPr>
            <w:r>
              <w:rPr>
                <w:rFonts w:ascii="Arial" w:hAnsi="Arial"/>
                <w:sz w:val="14"/>
              </w:rPr>
              <w:t>Not applicable.</w:t>
            </w:r>
          </w:p>
        </w:tc>
        <w:tc>
          <w:tcPr>
            <w:tcW w:type="dxa" w:w="1417"/>
            <w:shd w:val="clear" w:color="auto" w:fill="F4F6FA"/>
          </w:tcPr>
          <w:p>
            <w:pPr>
              <w:pStyle w:val="TableText"/>
            </w:pPr>
            <w:r>
              <w:rPr>
                <w:rFonts w:ascii="Arial" w:hAnsi="Arial"/>
                <w:sz w:val="14"/>
              </w:rPr>
              <w:t>Not applicable.</w:t>
            </w:r>
          </w:p>
        </w:tc>
      </w:tr>
      <w:tr>
        <w:tc>
          <w:tcPr>
            <w:tcW w:type="dxa" w:w="1417"/>
          </w:tcPr>
          <w:p>
            <w:pPr>
              <w:pStyle w:val="TableText"/>
            </w:pPr>
            <w:r>
              <w:rPr>
                <w:rFonts w:ascii="Arial" w:hAnsi="Arial"/>
                <w:sz w:val="14"/>
              </w:rPr>
              <w:t>Proportionality</w:t>
            </w:r>
          </w:p>
        </w:tc>
        <w:tc>
          <w:tcPr>
            <w:tcW w:type="dxa" w:w="1757"/>
          </w:tcPr>
          <w:p>
            <w:pPr>
              <w:pStyle w:val="TableText"/>
            </w:pPr>
            <w:r>
              <w:rPr>
                <w:rFonts w:ascii="Arial" w:hAnsi="Arial"/>
                <w:sz w:val="14"/>
              </w:rPr>
              <w:t>Proportionate by tier, with exceptions documented, time-bound, approved and reviewed.</w:t>
            </w:r>
          </w:p>
        </w:tc>
        <w:tc>
          <w:tcPr>
            <w:tcW w:type="dxa" w:w="1701"/>
          </w:tcPr>
          <w:p>
            <w:pPr>
              <w:pStyle w:val="TableText"/>
            </w:pPr>
            <w:r>
              <w:rPr>
                <w:rFonts w:ascii="Arial" w:hAnsi="Arial"/>
                <w:sz w:val="14"/>
              </w:rPr>
              <w:t>Risk-based; a 2025 bulletin confirms community banks need not validate annually.</w:t>
            </w:r>
          </w:p>
        </w:tc>
        <w:tc>
          <w:tcPr>
            <w:tcW w:type="dxa" w:w="1701"/>
          </w:tcPr>
          <w:p>
            <w:pPr>
              <w:pStyle w:val="TableText"/>
            </w:pPr>
            <w:r>
              <w:rPr>
                <w:rFonts w:ascii="Arial" w:hAnsi="Arial"/>
                <w:sz w:val="14"/>
              </w:rPr>
              <w:t>Tiering drives control intensity.</w:t>
            </w:r>
          </w:p>
        </w:tc>
        <w:tc>
          <w:tcPr>
            <w:tcW w:type="dxa" w:w="1701"/>
          </w:tcPr>
          <w:p>
            <w:pPr>
              <w:pStyle w:val="TableText"/>
            </w:pPr>
            <w:r>
              <w:rPr>
                <w:rFonts w:ascii="Arial" w:hAnsi="Arial"/>
                <w:sz w:val="14"/>
              </w:rPr>
              <w:t>Scope, scale and intensity commensurate with model risk (Principle 2.3).</w:t>
            </w:r>
          </w:p>
        </w:tc>
        <w:tc>
          <w:tcPr>
            <w:tcW w:type="dxa" w:w="1701"/>
          </w:tcPr>
          <w:p>
            <w:pPr>
              <w:pStyle w:val="TableText"/>
            </w:pPr>
            <w:r>
              <w:rPr>
                <w:rFonts w:ascii="Arial" w:hAnsi="Arial"/>
                <w:sz w:val="14"/>
              </w:rPr>
              <w:t>Materiality of the model within the capital framework.</w:t>
            </w:r>
          </w:p>
        </w:tc>
        <w:tc>
          <w:tcPr>
            <w:tcW w:type="dxa" w:w="1644"/>
          </w:tcPr>
          <w:p>
            <w:pPr>
              <w:pStyle w:val="TableText"/>
            </w:pPr>
            <w:r>
              <w:rPr>
                <w:rFonts w:ascii="Arial" w:hAnsi="Arial"/>
                <w:sz w:val="14"/>
              </w:rPr>
              <w:t>Risk materiality drives control intensity.</w:t>
            </w:r>
          </w:p>
        </w:tc>
        <w:tc>
          <w:tcPr>
            <w:tcW w:type="dxa" w:w="1531"/>
          </w:tcPr>
          <w:p>
            <w:pPr>
              <w:pStyle w:val="TableText"/>
            </w:pPr>
            <w:r>
              <w:rPr>
                <w:rFonts w:ascii="Arial" w:hAnsi="Arial"/>
                <w:sz w:val="14"/>
              </w:rPr>
              <w:t>Principles applied proportionately.</w:t>
            </w:r>
          </w:p>
        </w:tc>
        <w:tc>
          <w:tcPr>
            <w:tcW w:type="dxa" w:w="1417"/>
          </w:tcPr>
          <w:p>
            <w:pPr>
              <w:pStyle w:val="TableText"/>
            </w:pPr>
            <w:r>
              <w:rPr>
                <w:rFonts w:ascii="Arial" w:hAnsi="Arial"/>
                <w:sz w:val="14"/>
              </w:rPr>
              <w:t>Explicit proportionality by institution and use-case materiality.</w:t>
            </w:r>
          </w:p>
        </w:tc>
      </w:tr>
      <w:tr>
        <w:tc>
          <w:tcPr>
            <w:tcW w:type="dxa" w:w="1417"/>
            <w:shd w:val="clear" w:color="auto" w:fill="F4F6FA"/>
          </w:tcPr>
          <w:p>
            <w:pPr>
              <w:pStyle w:val="TableText"/>
            </w:pPr>
            <w:r>
              <w:rPr>
                <w:rFonts w:ascii="Arial" w:hAnsi="Arial"/>
                <w:sz w:val="14"/>
              </w:rPr>
              <w:t>Model inventory</w:t>
            </w:r>
          </w:p>
        </w:tc>
        <w:tc>
          <w:tcPr>
            <w:tcW w:type="dxa" w:w="1757"/>
            <w:shd w:val="clear" w:color="auto" w:fill="F4F6FA"/>
          </w:tcPr>
          <w:p>
            <w:pPr>
              <w:pStyle w:val="TableText"/>
            </w:pPr>
            <w:r>
              <w:rPr>
                <w:rFonts w:ascii="Arial" w:hAnsi="Arial"/>
                <w:sz w:val="14"/>
              </w:rPr>
              <w:t>Complete, current, controlled enterprise inventory including embedded, third-party and recently decommissioned models, with minimum fields prescribed.</w:t>
            </w:r>
          </w:p>
        </w:tc>
        <w:tc>
          <w:tcPr>
            <w:tcW w:type="dxa" w:w="1701"/>
            <w:shd w:val="clear" w:color="auto" w:fill="F4F6FA"/>
          </w:tcPr>
          <w:p>
            <w:pPr>
              <w:pStyle w:val="TableText"/>
            </w:pPr>
            <w:r>
              <w:rPr>
                <w:rFonts w:ascii="Arial" w:hAnsi="Arial"/>
                <w:sz w:val="14"/>
              </w:rPr>
              <w:t>Described as common industry practice rather than an expectation.</w:t>
            </w:r>
          </w:p>
        </w:tc>
        <w:tc>
          <w:tcPr>
            <w:tcW w:type="dxa" w:w="1701"/>
            <w:shd w:val="clear" w:color="auto" w:fill="F4F6FA"/>
          </w:tcPr>
          <w:p>
            <w:pPr>
              <w:pStyle w:val="TableText"/>
            </w:pPr>
            <w:r>
              <w:rPr>
                <w:rFonts w:ascii="Arial" w:hAnsi="Arial"/>
                <w:sz w:val="14"/>
              </w:rPr>
              <w:t>Principle 1.2 requires a model inventory.</w:t>
            </w:r>
          </w:p>
        </w:tc>
        <w:tc>
          <w:tcPr>
            <w:tcW w:type="dxa" w:w="1701"/>
            <w:shd w:val="clear" w:color="auto" w:fill="F4F6FA"/>
          </w:tcPr>
          <w:p>
            <w:pPr>
              <w:pStyle w:val="TableText"/>
            </w:pPr>
            <w:r>
              <w:rPr>
                <w:rFonts w:ascii="Arial" w:hAnsi="Arial"/>
                <w:sz w:val="14"/>
              </w:rPr>
              <w:t>Principle 2.1 requires identification and tracking of all models in use or recently decommissioned.</w:t>
            </w:r>
          </w:p>
        </w:tc>
        <w:tc>
          <w:tcPr>
            <w:tcW w:type="dxa" w:w="1701"/>
            <w:shd w:val="clear" w:color="auto" w:fill="F4F6FA"/>
          </w:tcPr>
          <w:p>
            <w:pPr>
              <w:pStyle w:val="TableText"/>
            </w:pPr>
            <w:r>
              <w:rPr>
                <w:rFonts w:ascii="Arial" w:hAnsi="Arial"/>
                <w:sz w:val="14"/>
              </w:rPr>
              <w:t>Model register expected for internal models.</w:t>
            </w:r>
          </w:p>
        </w:tc>
        <w:tc>
          <w:tcPr>
            <w:tcW w:type="dxa" w:w="1644"/>
            <w:shd w:val="clear" w:color="auto" w:fill="F4F6FA"/>
          </w:tcPr>
          <w:p>
            <w:pPr>
              <w:pStyle w:val="TableText"/>
            </w:pPr>
            <w:r>
              <w:rPr>
                <w:rFonts w:ascii="Arial" w:hAnsi="Arial"/>
                <w:sz w:val="14"/>
              </w:rPr>
              <w:t>Expected for capital models; inventories observed in AI practice.</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Documentation of AI identified as a sound practice.</w:t>
            </w:r>
          </w:p>
        </w:tc>
      </w:tr>
      <w:tr>
        <w:tc>
          <w:tcPr>
            <w:tcW w:type="dxa" w:w="1417"/>
          </w:tcPr>
          <w:p>
            <w:pPr>
              <w:pStyle w:val="TableText"/>
            </w:pPr>
            <w:r>
              <w:rPr>
                <w:rFonts w:ascii="Arial" w:hAnsi="Arial"/>
                <w:sz w:val="14"/>
              </w:rPr>
              <w:t>Risk tiering</w:t>
            </w:r>
          </w:p>
        </w:tc>
        <w:tc>
          <w:tcPr>
            <w:tcW w:type="dxa" w:w="1757"/>
          </w:tcPr>
          <w:p>
            <w:pPr>
              <w:pStyle w:val="TableText"/>
            </w:pPr>
            <w:r>
              <w:rPr>
                <w:rFonts w:ascii="Arial" w:hAnsi="Arial"/>
                <w:sz w:val="14"/>
              </w:rPr>
              <w:t>Documented tiering on quantitative and qualitative factors, driving validation, monitoring, approval and reporting intensity.</w:t>
            </w:r>
          </w:p>
        </w:tc>
        <w:tc>
          <w:tcPr>
            <w:tcW w:type="dxa" w:w="1701"/>
          </w:tcPr>
          <w:p>
            <w:pPr>
              <w:pStyle w:val="TableText"/>
            </w:pPr>
            <w:r>
              <w:rPr>
                <w:rFonts w:ascii="Arial" w:hAnsi="Arial"/>
                <w:sz w:val="14"/>
              </w:rPr>
              <w:t>Model risk framed as inherent risk in the context of materiality, itself a function of exposure and purpose.</w:t>
            </w:r>
          </w:p>
        </w:tc>
        <w:tc>
          <w:tcPr>
            <w:tcW w:type="dxa" w:w="1701"/>
          </w:tcPr>
          <w:p>
            <w:pPr>
              <w:pStyle w:val="TableText"/>
            </w:pPr>
            <w:r>
              <w:rPr>
                <w:rFonts w:ascii="Arial" w:hAnsi="Arial"/>
                <w:sz w:val="14"/>
              </w:rPr>
              <w:t>Principle 1.3 model tiering.</w:t>
            </w:r>
          </w:p>
        </w:tc>
        <w:tc>
          <w:tcPr>
            <w:tcW w:type="dxa" w:w="1701"/>
          </w:tcPr>
          <w:p>
            <w:pPr>
              <w:pStyle w:val="TableText"/>
            </w:pPr>
            <w:r>
              <w:rPr>
                <w:rFonts w:ascii="Arial" w:hAnsi="Arial"/>
                <w:sz w:val="14"/>
              </w:rPr>
              <w:t>Principle 2.2 requires a model risk rating approach assessing key dimensions.</w:t>
            </w:r>
          </w:p>
        </w:tc>
        <w:tc>
          <w:tcPr>
            <w:tcW w:type="dxa" w:w="1701"/>
          </w:tcPr>
          <w:p>
            <w:pPr>
              <w:pStyle w:val="TableText"/>
            </w:pPr>
            <w:r>
              <w:rPr>
                <w:rFonts w:ascii="Arial" w:hAnsi="Arial"/>
                <w:sz w:val="14"/>
              </w:rPr>
              <w:t>Materiality assessment within the internal model framework.</w:t>
            </w:r>
          </w:p>
        </w:tc>
        <w:tc>
          <w:tcPr>
            <w:tcW w:type="dxa" w:w="1644"/>
          </w:tcPr>
          <w:p>
            <w:pPr>
              <w:pStyle w:val="TableText"/>
            </w:pPr>
            <w:r>
              <w:rPr>
                <w:rFonts w:ascii="Arial" w:hAnsi="Arial"/>
                <w:sz w:val="14"/>
              </w:rPr>
              <w:t>Risk materiality assessment central to AI control intensity.</w:t>
            </w:r>
          </w:p>
        </w:tc>
        <w:tc>
          <w:tcPr>
            <w:tcW w:type="dxa" w:w="1531"/>
          </w:tcPr>
          <w:p>
            <w:pPr>
              <w:pStyle w:val="TableText"/>
            </w:pPr>
            <w:r>
              <w:rPr>
                <w:rFonts w:ascii="Arial" w:hAnsi="Arial"/>
                <w:sz w:val="14"/>
              </w:rPr>
              <w:t>Not addressed.</w:t>
            </w:r>
          </w:p>
        </w:tc>
        <w:tc>
          <w:tcPr>
            <w:tcW w:type="dxa" w:w="1417"/>
          </w:tcPr>
          <w:p>
            <w:pPr>
              <w:pStyle w:val="TableText"/>
            </w:pPr>
            <w:r>
              <w:rPr>
                <w:rFonts w:ascii="Arial" w:hAnsi="Arial"/>
                <w:sz w:val="14"/>
              </w:rPr>
              <w:t>Materiality and risk assessment at inception and thereafter.</w:t>
            </w:r>
          </w:p>
        </w:tc>
      </w:tr>
      <w:tr>
        <w:tc>
          <w:tcPr>
            <w:tcW w:type="dxa" w:w="1417"/>
            <w:shd w:val="clear" w:color="auto" w:fill="F4F6FA"/>
          </w:tcPr>
          <w:p>
            <w:pPr>
              <w:pStyle w:val="TableText"/>
            </w:pPr>
            <w:r>
              <w:rPr>
                <w:rFonts w:ascii="Arial" w:hAnsi="Arial"/>
                <w:sz w:val="14"/>
              </w:rPr>
              <w:t>Board and senior accountability</w:t>
            </w:r>
          </w:p>
        </w:tc>
        <w:tc>
          <w:tcPr>
            <w:tcW w:type="dxa" w:w="1757"/>
            <w:shd w:val="clear" w:color="auto" w:fill="F4F6FA"/>
          </w:tcPr>
          <w:p>
            <w:pPr>
              <w:pStyle w:val="TableText"/>
            </w:pPr>
            <w:r>
              <w:rPr>
                <w:rFonts w:ascii="Arial" w:hAnsi="Arial"/>
                <w:sz w:val="14"/>
              </w:rPr>
              <w:t>Board approves the framework and appetite; a named senior executive is accountable for the framework; every model has a named owner.</w:t>
            </w:r>
          </w:p>
        </w:tc>
        <w:tc>
          <w:tcPr>
            <w:tcW w:type="dxa" w:w="1701"/>
            <w:shd w:val="clear" w:color="auto" w:fill="F4F6FA"/>
          </w:tcPr>
          <w:p>
            <w:pPr>
              <w:pStyle w:val="TableText"/>
            </w:pPr>
            <w:r>
              <w:rPr>
                <w:rFonts w:ascii="Arial" w:hAnsi="Arial"/>
                <w:sz w:val="14"/>
              </w:rPr>
              <w:t>Roles and responsibilities with defined accountability, including conflicts between development and validation.</w:t>
            </w:r>
          </w:p>
        </w:tc>
        <w:tc>
          <w:tcPr>
            <w:tcW w:type="dxa" w:w="1701"/>
            <w:shd w:val="clear" w:color="auto" w:fill="F4F6FA"/>
          </w:tcPr>
          <w:p>
            <w:pPr>
              <w:pStyle w:val="TableText"/>
            </w:pPr>
            <w:r>
              <w:rPr>
                <w:rFonts w:ascii="Arial" w:hAnsi="Arial"/>
                <w:sz w:val="14"/>
              </w:rPr>
              <w:t>Principle 2.1 Board responsibilities and 2.2 SMF accountability for the framework.</w:t>
            </w:r>
          </w:p>
        </w:tc>
        <w:tc>
          <w:tcPr>
            <w:tcW w:type="dxa" w:w="1701"/>
            <w:shd w:val="clear" w:color="auto" w:fill="F4F6FA"/>
          </w:tcPr>
          <w:p>
            <w:pPr>
              <w:pStyle w:val="TableText"/>
            </w:pPr>
            <w:r>
              <w:rPr>
                <w:rFonts w:ascii="Arial" w:hAnsi="Arial"/>
                <w:sz w:val="14"/>
              </w:rPr>
              <w:t>Principle 1.1 on reporting structures and resourcing.</w:t>
            </w:r>
          </w:p>
        </w:tc>
        <w:tc>
          <w:tcPr>
            <w:tcW w:type="dxa" w:w="1701"/>
            <w:shd w:val="clear" w:color="auto" w:fill="F4F6FA"/>
          </w:tcPr>
          <w:p>
            <w:pPr>
              <w:pStyle w:val="TableText"/>
            </w:pPr>
            <w:r>
              <w:rPr>
                <w:rFonts w:ascii="Arial" w:hAnsi="Arial"/>
                <w:sz w:val="14"/>
              </w:rPr>
              <w:t>Section 5 identification of management body and senior management.</w:t>
            </w:r>
          </w:p>
        </w:tc>
        <w:tc>
          <w:tcPr>
            <w:tcW w:type="dxa" w:w="1644"/>
            <w:shd w:val="clear" w:color="auto" w:fill="F4F6FA"/>
          </w:tcPr>
          <w:p>
            <w:pPr>
              <w:pStyle w:val="TableText"/>
            </w:pPr>
            <w:r>
              <w:rPr>
                <w:rFonts w:ascii="Arial" w:hAnsi="Arial"/>
                <w:sz w:val="14"/>
              </w:rPr>
              <w:t>Board and senior management oversight in observed AI practice.</w:t>
            </w:r>
          </w:p>
        </w:tc>
        <w:tc>
          <w:tcPr>
            <w:tcW w:type="dxa" w:w="1531"/>
            <w:shd w:val="clear" w:color="auto" w:fill="F4F6FA"/>
          </w:tcPr>
          <w:p>
            <w:pPr>
              <w:pStyle w:val="TableText"/>
            </w:pPr>
            <w:r>
              <w:rPr>
                <w:rFonts w:ascii="Arial" w:hAnsi="Arial"/>
                <w:sz w:val="14"/>
              </w:rPr>
              <w:t>Governance is BCBS 239 Principle 1.</w:t>
            </w:r>
          </w:p>
        </w:tc>
        <w:tc>
          <w:tcPr>
            <w:tcW w:type="dxa" w:w="1417"/>
            <w:shd w:val="clear" w:color="auto" w:fill="F4F6FA"/>
          </w:tcPr>
          <w:p>
            <w:pPr>
              <w:pStyle w:val="TableText"/>
            </w:pPr>
            <w:r>
              <w:rPr>
                <w:rFonts w:ascii="Arial" w:hAnsi="Arial"/>
                <w:sz w:val="14"/>
              </w:rPr>
              <w:t>Sound Practices 1 and 2 on strategic direction, oversight, governance and accountability.</w:t>
            </w:r>
          </w:p>
        </w:tc>
      </w:tr>
      <w:tr>
        <w:tc>
          <w:tcPr>
            <w:tcW w:type="dxa" w:w="1417"/>
          </w:tcPr>
          <w:p>
            <w:pPr>
              <w:pStyle w:val="TableText"/>
            </w:pPr>
            <w:r>
              <w:rPr>
                <w:rFonts w:ascii="Arial" w:hAnsi="Arial"/>
                <w:sz w:val="14"/>
              </w:rPr>
              <w:t>Development and conceptual soundness</w:t>
            </w:r>
          </w:p>
        </w:tc>
        <w:tc>
          <w:tcPr>
            <w:tcW w:type="dxa" w:w="1757"/>
          </w:tcPr>
          <w:p>
            <w:pPr>
              <w:pStyle w:val="TableText"/>
            </w:pPr>
            <w:r>
              <w:rPr>
                <w:rFonts w:ascii="Arial" w:hAnsi="Arial"/>
                <w:sz w:val="14"/>
              </w:rPr>
              <w:t>Documented development standards, conceptual soundness, consideration of alternatives, and recorded limitations for all material models.</w:t>
            </w:r>
          </w:p>
        </w:tc>
        <w:tc>
          <w:tcPr>
            <w:tcW w:type="dxa" w:w="1701"/>
          </w:tcPr>
          <w:p>
            <w:pPr>
              <w:pStyle w:val="TableText"/>
            </w:pPr>
            <w:r>
              <w:rPr>
                <w:rFonts w:ascii="Arial" w:hAnsi="Arial"/>
                <w:sz w:val="14"/>
              </w:rPr>
              <w:t>Section IV on model development, including purpose statement, user input and testing.</w:t>
            </w:r>
          </w:p>
        </w:tc>
        <w:tc>
          <w:tcPr>
            <w:tcW w:type="dxa" w:w="1701"/>
          </w:tcPr>
          <w:p>
            <w:pPr>
              <w:pStyle w:val="TableText"/>
            </w:pPr>
            <w:r>
              <w:rPr>
                <w:rFonts w:ascii="Arial" w:hAnsi="Arial"/>
                <w:sz w:val="14"/>
              </w:rPr>
              <w:t>Principle 3.1 model purpose and design; 3.3 development testing.</w:t>
            </w:r>
          </w:p>
        </w:tc>
        <w:tc>
          <w:tcPr>
            <w:tcW w:type="dxa" w:w="1701"/>
          </w:tcPr>
          <w:p>
            <w:pPr>
              <w:pStyle w:val="TableText"/>
            </w:pPr>
            <w:r>
              <w:rPr>
                <w:rFonts w:ascii="Arial" w:hAnsi="Arial"/>
                <w:sz w:val="14"/>
              </w:rPr>
              <w:t>Principle 3.3 on development processes with clear standards.</w:t>
            </w:r>
          </w:p>
        </w:tc>
        <w:tc>
          <w:tcPr>
            <w:tcW w:type="dxa" w:w="1701"/>
          </w:tcPr>
          <w:p>
            <w:pPr>
              <w:pStyle w:val="TableText"/>
            </w:pPr>
            <w:r>
              <w:rPr>
                <w:rFonts w:ascii="Arial" w:hAnsi="Arial"/>
                <w:sz w:val="14"/>
              </w:rPr>
              <w:t>Documentation and data governance sections of the overarching principles chapter.</w:t>
            </w:r>
          </w:p>
        </w:tc>
        <w:tc>
          <w:tcPr>
            <w:tcW w:type="dxa" w:w="1644"/>
          </w:tcPr>
          <w:p>
            <w:pPr>
              <w:pStyle w:val="TableText"/>
            </w:pPr>
            <w:r>
              <w:rPr>
                <w:rFonts w:ascii="Arial" w:hAnsi="Arial"/>
                <w:sz w:val="14"/>
              </w:rPr>
              <w:t>Notice 637 for capital models.</w:t>
            </w:r>
          </w:p>
        </w:tc>
        <w:tc>
          <w:tcPr>
            <w:tcW w:type="dxa" w:w="1531"/>
          </w:tcPr>
          <w:p>
            <w:pPr>
              <w:pStyle w:val="TableText"/>
            </w:pPr>
            <w:r>
              <w:rPr>
                <w:rFonts w:ascii="Arial" w:hAnsi="Arial"/>
                <w:sz w:val="14"/>
              </w:rPr>
              <w:t>Not addressed directly.</w:t>
            </w:r>
          </w:p>
        </w:tc>
        <w:tc>
          <w:tcPr>
            <w:tcW w:type="dxa" w:w="1417"/>
          </w:tcPr>
          <w:p>
            <w:pPr>
              <w:pStyle w:val="TableText"/>
            </w:pPr>
            <w:r>
              <w:rPr>
                <w:rFonts w:ascii="Arial" w:hAnsi="Arial"/>
                <w:sz w:val="14"/>
              </w:rPr>
              <w:t>Sound Practice 6 on selection.</w:t>
            </w:r>
          </w:p>
        </w:tc>
      </w:tr>
      <w:tr>
        <w:tc>
          <w:tcPr>
            <w:tcW w:type="dxa" w:w="1417"/>
            <w:shd w:val="clear" w:color="auto" w:fill="F4F6FA"/>
          </w:tcPr>
          <w:p>
            <w:pPr>
              <w:pStyle w:val="TableText"/>
            </w:pPr>
            <w:r>
              <w:rPr>
                <w:rFonts w:ascii="Arial" w:hAnsi="Arial"/>
                <w:sz w:val="14"/>
              </w:rPr>
              <w:t>Data</w:t>
            </w:r>
          </w:p>
        </w:tc>
        <w:tc>
          <w:tcPr>
            <w:tcW w:type="dxa" w:w="1757"/>
            <w:shd w:val="clear" w:color="auto" w:fill="F4F6FA"/>
          </w:tcPr>
          <w:p>
            <w:pPr>
              <w:pStyle w:val="TableText"/>
            </w:pPr>
            <w:r>
              <w:rPr>
                <w:rFonts w:ascii="Arial" w:hAnsi="Arial"/>
                <w:sz w:val="14"/>
              </w:rPr>
              <w:t>Data appropriateness as well as quality, lineage to source, and documented treatment of proxy, external and synthetic data.</w:t>
            </w:r>
          </w:p>
        </w:tc>
        <w:tc>
          <w:tcPr>
            <w:tcW w:type="dxa" w:w="1701"/>
            <w:shd w:val="clear" w:color="auto" w:fill="F4F6FA"/>
          </w:tcPr>
          <w:p>
            <w:pPr>
              <w:pStyle w:val="TableText"/>
            </w:pPr>
            <w:r>
              <w:rPr>
                <w:rFonts w:ascii="Arial" w:hAnsi="Arial"/>
                <w:sz w:val="14"/>
              </w:rPr>
              <w:t>Data quality, relevance and inputs assessed within development testing.</w:t>
            </w:r>
          </w:p>
        </w:tc>
        <w:tc>
          <w:tcPr>
            <w:tcW w:type="dxa" w:w="1701"/>
            <w:shd w:val="clear" w:color="auto" w:fill="F4F6FA"/>
          </w:tcPr>
          <w:p>
            <w:pPr>
              <w:pStyle w:val="TableText"/>
            </w:pPr>
            <w:r>
              <w:rPr>
                <w:rFonts w:ascii="Arial" w:hAnsi="Arial"/>
                <w:sz w:val="14"/>
              </w:rPr>
              <w:t>Principle 3.2 the use of data.</w:t>
            </w:r>
          </w:p>
        </w:tc>
        <w:tc>
          <w:tcPr>
            <w:tcW w:type="dxa" w:w="1701"/>
            <w:shd w:val="clear" w:color="auto" w:fill="F4F6FA"/>
          </w:tcPr>
          <w:p>
            <w:pPr>
              <w:pStyle w:val="TableText"/>
            </w:pPr>
            <w:r>
              <w:rPr>
                <w:rFonts w:ascii="Arial" w:hAnsi="Arial"/>
                <w:sz w:val="14"/>
              </w:rPr>
              <w:t>Principle 3.2 requires data suitable for the intended use.</w:t>
            </w:r>
          </w:p>
        </w:tc>
        <w:tc>
          <w:tcPr>
            <w:tcW w:type="dxa" w:w="1701"/>
            <w:shd w:val="clear" w:color="auto" w:fill="F4F6FA"/>
          </w:tcPr>
          <w:p>
            <w:pPr>
              <w:pStyle w:val="TableText"/>
            </w:pPr>
            <w:r>
              <w:rPr>
                <w:rFonts w:ascii="Arial" w:hAnsi="Arial"/>
                <w:sz w:val="14"/>
              </w:rPr>
              <w:t>Section 3 data governance; separate guide on risk data aggregation and reporting.</w:t>
            </w:r>
          </w:p>
        </w:tc>
        <w:tc>
          <w:tcPr>
            <w:tcW w:type="dxa" w:w="1644"/>
            <w:shd w:val="clear" w:color="auto" w:fill="F4F6FA"/>
          </w:tcPr>
          <w:p>
            <w:pPr>
              <w:pStyle w:val="TableText"/>
            </w:pPr>
            <w:r>
              <w:rPr>
                <w:rFonts w:ascii="Arial" w:hAnsi="Arial"/>
                <w:sz w:val="14"/>
              </w:rPr>
              <w:t>Data quality and representativeness prominent in AI practice.</w:t>
            </w:r>
          </w:p>
        </w:tc>
        <w:tc>
          <w:tcPr>
            <w:tcW w:type="dxa" w:w="1531"/>
            <w:shd w:val="clear" w:color="auto" w:fill="F4F6FA"/>
          </w:tcPr>
          <w:p>
            <w:pPr>
              <w:pStyle w:val="TableText"/>
            </w:pPr>
            <w:r>
              <w:rPr>
                <w:rFonts w:ascii="Arial" w:hAnsi="Arial"/>
                <w:sz w:val="14"/>
              </w:rPr>
              <w:t>BCBS 239 sets fourteen principles on risk data aggregation and reporting.</w:t>
            </w:r>
          </w:p>
        </w:tc>
        <w:tc>
          <w:tcPr>
            <w:tcW w:type="dxa" w:w="1417"/>
            <w:shd w:val="clear" w:color="auto" w:fill="F4F6FA"/>
          </w:tcPr>
          <w:p>
            <w:pPr>
              <w:pStyle w:val="TableText"/>
            </w:pPr>
            <w:r>
              <w:rPr>
                <w:rFonts w:ascii="Arial" w:hAnsi="Arial"/>
                <w:sz w:val="14"/>
              </w:rPr>
              <w:t>Sound Practice 7 on data governance.</w:t>
            </w:r>
          </w:p>
        </w:tc>
      </w:tr>
      <w:tr>
        <w:tc>
          <w:tcPr>
            <w:tcW w:type="dxa" w:w="1417"/>
          </w:tcPr>
          <w:p>
            <w:pPr>
              <w:pStyle w:val="TableText"/>
            </w:pPr>
            <w:r>
              <w:rPr>
                <w:rFonts w:ascii="Arial" w:hAnsi="Arial"/>
                <w:sz w:val="14"/>
              </w:rPr>
              <w:t>Documentation</w:t>
            </w:r>
          </w:p>
        </w:tc>
        <w:tc>
          <w:tcPr>
            <w:tcW w:type="dxa" w:w="1757"/>
          </w:tcPr>
          <w:p>
            <w:pPr>
              <w:pStyle w:val="TableText"/>
            </w:pPr>
            <w:r>
              <w:rPr>
                <w:rFonts w:ascii="Arial" w:hAnsi="Arial"/>
                <w:sz w:val="14"/>
              </w:rPr>
              <w:t>Reconstruction standard: sufficient for an independent competent person to reproduce material results.</w:t>
            </w:r>
          </w:p>
        </w:tc>
        <w:tc>
          <w:tcPr>
            <w:tcW w:type="dxa" w:w="1701"/>
          </w:tcPr>
          <w:p>
            <w:pPr>
              <w:pStyle w:val="TableText"/>
            </w:pPr>
            <w:r>
              <w:rPr>
                <w:rFonts w:ascii="Arial" w:hAnsi="Arial"/>
                <w:sz w:val="14"/>
              </w:rPr>
              <w:t>Reduced in 2026 to a statement that adequate documentation helps support model risk management.</w:t>
            </w:r>
          </w:p>
        </w:tc>
        <w:tc>
          <w:tcPr>
            <w:tcW w:type="dxa" w:w="1701"/>
          </w:tcPr>
          <w:p>
            <w:pPr>
              <w:pStyle w:val="TableText"/>
            </w:pPr>
            <w:r>
              <w:rPr>
                <w:rFonts w:ascii="Arial" w:hAnsi="Arial"/>
                <w:sz w:val="14"/>
              </w:rPr>
              <w:t>Principle 3.5 model development documentation.</w:t>
            </w:r>
          </w:p>
        </w:tc>
        <w:tc>
          <w:tcPr>
            <w:tcW w:type="dxa" w:w="1701"/>
          </w:tcPr>
          <w:p>
            <w:pPr>
              <w:pStyle w:val="TableText"/>
            </w:pPr>
            <w:r>
              <w:rPr>
                <w:rFonts w:ascii="Arial" w:hAnsi="Arial"/>
                <w:sz w:val="14"/>
              </w:rPr>
              <w:t>Principle 3.3 covers documentation standards.</w:t>
            </w:r>
          </w:p>
        </w:tc>
        <w:tc>
          <w:tcPr>
            <w:tcW w:type="dxa" w:w="1701"/>
          </w:tcPr>
          <w:p>
            <w:pPr>
              <w:pStyle w:val="TableText"/>
            </w:pPr>
            <w:r>
              <w:rPr>
                <w:rFonts w:ascii="Arial" w:hAnsi="Arial"/>
                <w:sz w:val="14"/>
              </w:rPr>
              <w:t>Section 2 documentation of internal models; CRR Article 188 makes it binding.</w:t>
            </w:r>
          </w:p>
        </w:tc>
        <w:tc>
          <w:tcPr>
            <w:tcW w:type="dxa" w:w="1644"/>
          </w:tcPr>
          <w:p>
            <w:pPr>
              <w:pStyle w:val="TableText"/>
            </w:pPr>
            <w:r>
              <w:rPr>
                <w:rFonts w:ascii="Arial" w:hAnsi="Arial"/>
                <w:sz w:val="14"/>
              </w:rPr>
              <w:t>Required for capital models under Notice 637.</w:t>
            </w:r>
          </w:p>
        </w:tc>
        <w:tc>
          <w:tcPr>
            <w:tcW w:type="dxa" w:w="1531"/>
          </w:tcPr>
          <w:p>
            <w:pPr>
              <w:pStyle w:val="TableText"/>
            </w:pPr>
            <w:r>
              <w:rPr>
                <w:rFonts w:ascii="Arial" w:hAnsi="Arial"/>
                <w:sz w:val="14"/>
              </w:rPr>
              <w:t>Not addressed.</w:t>
            </w:r>
          </w:p>
        </w:tc>
        <w:tc>
          <w:tcPr>
            <w:tcW w:type="dxa" w:w="1417"/>
          </w:tcPr>
          <w:p>
            <w:pPr>
              <w:pStyle w:val="TableText"/>
            </w:pPr>
            <w:r>
              <w:rPr>
                <w:rFonts w:ascii="Arial" w:hAnsi="Arial"/>
                <w:sz w:val="14"/>
              </w:rPr>
              <w:t>Documentation identified as a sound practice.</w:t>
            </w:r>
          </w:p>
        </w:tc>
      </w:tr>
      <w:tr>
        <w:tc>
          <w:tcPr>
            <w:tcW w:type="dxa" w:w="1417"/>
            <w:shd w:val="clear" w:color="auto" w:fill="F4F6FA"/>
          </w:tcPr>
          <w:p>
            <w:pPr>
              <w:pStyle w:val="TableText"/>
            </w:pPr>
            <w:r>
              <w:rPr>
                <w:rFonts w:ascii="Arial" w:hAnsi="Arial"/>
                <w:sz w:val="14"/>
              </w:rPr>
              <w:t>Testing before use</w:t>
            </w:r>
          </w:p>
        </w:tc>
        <w:tc>
          <w:tcPr>
            <w:tcW w:type="dxa" w:w="1757"/>
            <w:shd w:val="clear" w:color="auto" w:fill="F4F6FA"/>
          </w:tcPr>
          <w:p>
            <w:pPr>
              <w:pStyle w:val="TableText"/>
            </w:pPr>
            <w:r>
              <w:rPr>
                <w:rFonts w:ascii="Arial" w:hAnsi="Arial"/>
                <w:sz w:val="14"/>
              </w:rPr>
              <w:t>Express bar: a model must not be used for a material purpose until tested and residual limitations accepted at an appropriate authority.</w:t>
            </w:r>
          </w:p>
        </w:tc>
        <w:tc>
          <w:tcPr>
            <w:tcW w:type="dxa" w:w="1701"/>
            <w:shd w:val="clear" w:color="auto" w:fill="F4F6FA"/>
          </w:tcPr>
          <w:p>
            <w:pPr>
              <w:pStyle w:val="TableText"/>
            </w:pPr>
            <w:r>
              <w:rPr>
                <w:rFonts w:ascii="Arial" w:hAnsi="Arial"/>
                <w:sz w:val="14"/>
              </w:rPr>
              <w:t>Validation generally occurs before first use, but use before validation is permitted for urgent business need with compensating controls.</w:t>
            </w:r>
          </w:p>
        </w:tc>
        <w:tc>
          <w:tcPr>
            <w:tcW w:type="dxa" w:w="1701"/>
            <w:shd w:val="clear" w:color="auto" w:fill="F4F6FA"/>
          </w:tcPr>
          <w:p>
            <w:pPr>
              <w:pStyle w:val="TableText"/>
            </w:pPr>
            <w:r>
              <w:rPr>
                <w:rFonts w:ascii="Arial" w:hAnsi="Arial"/>
                <w:sz w:val="14"/>
              </w:rPr>
              <w:t>Principle 3.3 model development testing.</w:t>
            </w:r>
          </w:p>
        </w:tc>
        <w:tc>
          <w:tcPr>
            <w:tcW w:type="dxa" w:w="1701"/>
            <w:shd w:val="clear" w:color="auto" w:fill="F4F6FA"/>
          </w:tcPr>
          <w:p>
            <w:pPr>
              <w:pStyle w:val="TableText"/>
            </w:pPr>
            <w:r>
              <w:rPr>
                <w:rFonts w:ascii="Arial" w:hAnsi="Arial"/>
                <w:sz w:val="14"/>
              </w:rPr>
              <w:t>Within the model review and approval lifecycle stages.</w:t>
            </w:r>
          </w:p>
        </w:tc>
        <w:tc>
          <w:tcPr>
            <w:tcW w:type="dxa" w:w="1701"/>
            <w:shd w:val="clear" w:color="auto" w:fill="F4F6FA"/>
          </w:tcPr>
          <w:p>
            <w:pPr>
              <w:pStyle w:val="TableText"/>
            </w:pPr>
            <w:r>
              <w:rPr>
                <w:rFonts w:ascii="Arial" w:hAnsi="Arial"/>
                <w:sz w:val="14"/>
              </w:rPr>
              <w:t>Pre-approval assessment by the supervisor for capital models.</w:t>
            </w:r>
          </w:p>
        </w:tc>
        <w:tc>
          <w:tcPr>
            <w:tcW w:type="dxa" w:w="1644"/>
            <w:shd w:val="clear" w:color="auto" w:fill="F4F6FA"/>
          </w:tcPr>
          <w:p>
            <w:pPr>
              <w:pStyle w:val="TableText"/>
            </w:pPr>
            <w:r>
              <w:rPr>
                <w:rFonts w:ascii="Arial" w:hAnsi="Arial"/>
                <w:sz w:val="14"/>
              </w:rPr>
              <w:t>Pre-deployment validation expected for higher-risk AI.</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Performance assessment proportionate to risk.</w:t>
            </w:r>
          </w:p>
        </w:tc>
      </w:tr>
      <w:tr>
        <w:tc>
          <w:tcPr>
            <w:tcW w:type="dxa" w:w="1417"/>
          </w:tcPr>
          <w:p>
            <w:pPr>
              <w:pStyle w:val="TableText"/>
            </w:pPr>
            <w:r>
              <w:rPr>
                <w:rFonts w:ascii="Arial" w:hAnsi="Arial"/>
                <w:sz w:val="14"/>
              </w:rPr>
              <w:t>Independent validation</w:t>
            </w:r>
          </w:p>
        </w:tc>
        <w:tc>
          <w:tcPr>
            <w:tcW w:type="dxa" w:w="1757"/>
          </w:tcPr>
          <w:p>
            <w:pPr>
              <w:pStyle w:val="TableText"/>
            </w:pPr>
            <w:r>
              <w:rPr>
                <w:rFonts w:ascii="Arial" w:hAnsi="Arial"/>
                <w:sz w:val="14"/>
              </w:rPr>
              <w:t>Independent validation required for material models, with vendor or sponsor validation expressly insufficient.</w:t>
            </w:r>
          </w:p>
        </w:tc>
        <w:tc>
          <w:tcPr>
            <w:tcW w:type="dxa" w:w="1701"/>
          </w:tcPr>
          <w:p>
            <w:pPr>
              <w:pStyle w:val="TableText"/>
            </w:pPr>
            <w:r>
              <w:rPr>
                <w:rFonts w:ascii="Arial" w:hAnsi="Arial"/>
                <w:sz w:val="14"/>
              </w:rPr>
              <w:t>Quality of validation depends on the rigour of the review rather than on organisational structure — a softening from the 2011 text.</w:t>
            </w:r>
          </w:p>
        </w:tc>
        <w:tc>
          <w:tcPr>
            <w:tcW w:type="dxa" w:w="1701"/>
          </w:tcPr>
          <w:p>
            <w:pPr>
              <w:pStyle w:val="TableText"/>
            </w:pPr>
            <w:r>
              <w:rPr>
                <w:rFonts w:ascii="Arial" w:hAnsi="Arial"/>
                <w:sz w:val="14"/>
              </w:rPr>
              <w:t>Principle 4 independent model validation, with five sub-principles.</w:t>
            </w:r>
          </w:p>
        </w:tc>
        <w:tc>
          <w:tcPr>
            <w:tcW w:type="dxa" w:w="1701"/>
          </w:tcPr>
          <w:p>
            <w:pPr>
              <w:pStyle w:val="TableText"/>
            </w:pPr>
            <w:r>
              <w:rPr>
                <w:rFonts w:ascii="Arial" w:hAnsi="Arial"/>
                <w:sz w:val="14"/>
              </w:rPr>
              <w:t>Principle 3.4 requires a process to independently assess conceptual soundness and performance.</w:t>
            </w:r>
          </w:p>
        </w:tc>
        <w:tc>
          <w:tcPr>
            <w:tcW w:type="dxa" w:w="1701"/>
          </w:tcPr>
          <w:p>
            <w:pPr>
              <w:pStyle w:val="TableText"/>
            </w:pPr>
            <w:r>
              <w:rPr>
                <w:rFonts w:ascii="Arial" w:hAnsi="Arial"/>
                <w:sz w:val="14"/>
              </w:rPr>
              <w:t>Section 6 internal validation; CRR Articles 185 and 188 make validation binding.</w:t>
            </w:r>
          </w:p>
        </w:tc>
        <w:tc>
          <w:tcPr>
            <w:tcW w:type="dxa" w:w="1644"/>
          </w:tcPr>
          <w:p>
            <w:pPr>
              <w:pStyle w:val="TableText"/>
            </w:pPr>
            <w:r>
              <w:rPr>
                <w:rFonts w:ascii="Arial" w:hAnsi="Arial"/>
                <w:sz w:val="14"/>
              </w:rPr>
              <w:t>Notice 637 paragraphs 2.5 and 2.6 on internal validation and its independent review.</w:t>
            </w:r>
          </w:p>
        </w:tc>
        <w:tc>
          <w:tcPr>
            <w:tcW w:type="dxa" w:w="1531"/>
          </w:tcPr>
          <w:p>
            <w:pPr>
              <w:pStyle w:val="TableText"/>
            </w:pPr>
            <w:r>
              <w:rPr>
                <w:rFonts w:ascii="Arial" w:hAnsi="Arial"/>
                <w:sz w:val="14"/>
              </w:rPr>
              <w:t>Not addressed.</w:t>
            </w:r>
          </w:p>
        </w:tc>
        <w:tc>
          <w:tcPr>
            <w:tcW w:type="dxa" w:w="1417"/>
          </w:tcPr>
          <w:p>
            <w:pPr>
              <w:pStyle w:val="TableText"/>
            </w:pPr>
            <w:r>
              <w:rPr>
                <w:rFonts w:ascii="Arial" w:hAnsi="Arial"/>
                <w:sz w:val="14"/>
              </w:rPr>
              <w:t>Performance management, with independence left flexible.</w:t>
            </w:r>
          </w:p>
        </w:tc>
      </w:tr>
      <w:tr>
        <w:tc>
          <w:tcPr>
            <w:tcW w:type="dxa" w:w="1417"/>
            <w:shd w:val="clear" w:color="auto" w:fill="F4F6FA"/>
          </w:tcPr>
          <w:p>
            <w:pPr>
              <w:pStyle w:val="TableText"/>
            </w:pPr>
            <w:r>
              <w:rPr>
                <w:rFonts w:ascii="Arial" w:hAnsi="Arial"/>
                <w:sz w:val="14"/>
              </w:rPr>
              <w:t>Components of validation</w:t>
            </w:r>
          </w:p>
        </w:tc>
        <w:tc>
          <w:tcPr>
            <w:tcW w:type="dxa" w:w="1757"/>
            <w:shd w:val="clear" w:color="auto" w:fill="F4F6FA"/>
          </w:tcPr>
          <w:p>
            <w:pPr>
              <w:pStyle w:val="TableText"/>
            </w:pPr>
            <w:r>
              <w:rPr>
                <w:rFonts w:ascii="Arial" w:hAnsi="Arial"/>
                <w:sz w:val="14"/>
              </w:rPr>
              <w:t>Conceptual soundness, outcomes analysis and ongoing model monitoring, with an explicit conclusion on fitness for use.</w:t>
            </w:r>
          </w:p>
        </w:tc>
        <w:tc>
          <w:tcPr>
            <w:tcW w:type="dxa" w:w="1701"/>
            <w:shd w:val="clear" w:color="auto" w:fill="F4F6FA"/>
          </w:tcPr>
          <w:p>
            <w:pPr>
              <w:pStyle w:val="TableText"/>
            </w:pPr>
            <w:r>
              <w:rPr>
                <w:rFonts w:ascii="Arial" w:hAnsi="Arial"/>
                <w:sz w:val="14"/>
              </w:rPr>
              <w:t>Conceptual soundness, outcomes analysis, and ongoing model monitoring.</w:t>
            </w:r>
          </w:p>
        </w:tc>
        <w:tc>
          <w:tcPr>
            <w:tcW w:type="dxa" w:w="1701"/>
            <w:shd w:val="clear" w:color="auto" w:fill="F4F6FA"/>
          </w:tcPr>
          <w:p>
            <w:pPr>
              <w:pStyle w:val="TableText"/>
            </w:pPr>
            <w:r>
              <w:rPr>
                <w:rFonts w:ascii="Arial" w:hAnsi="Arial"/>
                <w:sz w:val="14"/>
              </w:rPr>
              <w:t>Principles 4.2 independent review, 4.3 process verification, 4.4 performance monitoring, 4.5 periodic revalidation.</w:t>
            </w:r>
          </w:p>
        </w:tc>
        <w:tc>
          <w:tcPr>
            <w:tcW w:type="dxa" w:w="1701"/>
            <w:shd w:val="clear" w:color="auto" w:fill="F4F6FA"/>
          </w:tcPr>
          <w:p>
            <w:pPr>
              <w:pStyle w:val="TableText"/>
            </w:pPr>
            <w:r>
              <w:rPr>
                <w:rFonts w:ascii="Arial" w:hAnsi="Arial"/>
                <w:sz w:val="14"/>
              </w:rPr>
              <w:t>Conceptual soundness and performance under Principle 3.4.</w:t>
            </w:r>
          </w:p>
        </w:tc>
        <w:tc>
          <w:tcPr>
            <w:tcW w:type="dxa" w:w="1701"/>
            <w:shd w:val="clear" w:color="auto" w:fill="F4F6FA"/>
          </w:tcPr>
          <w:p>
            <w:pPr>
              <w:pStyle w:val="TableText"/>
            </w:pPr>
            <w:r>
              <w:rPr>
                <w:rFonts w:ascii="Arial" w:hAnsi="Arial"/>
                <w:sz w:val="14"/>
              </w:rPr>
              <w:t>Validation covering methodology, data and performance.</w:t>
            </w:r>
          </w:p>
        </w:tc>
        <w:tc>
          <w:tcPr>
            <w:tcW w:type="dxa" w:w="1644"/>
            <w:shd w:val="clear" w:color="auto" w:fill="F4F6FA"/>
          </w:tcPr>
          <w:p>
            <w:pPr>
              <w:pStyle w:val="TableText"/>
            </w:pPr>
            <w:r>
              <w:rPr>
                <w:rFonts w:ascii="Arial" w:hAnsi="Arial"/>
                <w:sz w:val="14"/>
              </w:rPr>
              <w:t>Validation requirements in Section 7 of Notice 637.</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Not addressed.</w:t>
            </w:r>
          </w:p>
        </w:tc>
      </w:tr>
      <w:tr>
        <w:tc>
          <w:tcPr>
            <w:tcW w:type="dxa" w:w="1417"/>
          </w:tcPr>
          <w:p>
            <w:pPr>
              <w:pStyle w:val="TableText"/>
            </w:pPr>
            <w:r>
              <w:rPr>
                <w:rFonts w:ascii="Arial" w:hAnsi="Arial"/>
                <w:sz w:val="14"/>
              </w:rPr>
              <w:t>Effective challenge</w:t>
            </w:r>
          </w:p>
        </w:tc>
        <w:tc>
          <w:tcPr>
            <w:tcW w:type="dxa" w:w="1757"/>
          </w:tcPr>
          <w:p>
            <w:pPr>
              <w:pStyle w:val="TableText"/>
            </w:pPr>
            <w:r>
              <w:rPr>
                <w:rFonts w:ascii="Arial" w:hAnsi="Arial"/>
                <w:sz w:val="14"/>
              </w:rPr>
              <w:t>Express requirement, with an expectation that entities test whether challenge is operating effectively.</w:t>
            </w:r>
          </w:p>
        </w:tc>
        <w:tc>
          <w:tcPr>
            <w:tcW w:type="dxa" w:w="1701"/>
          </w:tcPr>
          <w:p>
            <w:pPr>
              <w:pStyle w:val="TableText"/>
            </w:pPr>
            <w:r>
              <w:rPr>
                <w:rFonts w:ascii="Arial" w:hAnsi="Arial"/>
                <w:sz w:val="14"/>
              </w:rPr>
              <w:t>Retained and reformulated: expertise, sufficient independence, and organisational standing and influence to effect change.</w:t>
            </w:r>
          </w:p>
        </w:tc>
        <w:tc>
          <w:tcPr>
            <w:tcW w:type="dxa" w:w="1701"/>
          </w:tcPr>
          <w:p>
            <w:pPr>
              <w:pStyle w:val="TableText"/>
            </w:pPr>
            <w:r>
              <w:rPr>
                <w:rFonts w:ascii="Arial" w:hAnsi="Arial"/>
                <w:sz w:val="14"/>
              </w:rPr>
              <w:t>Embedded in Principle 4 as ongoing, independent and effective challenge.</w:t>
            </w:r>
          </w:p>
        </w:tc>
        <w:tc>
          <w:tcPr>
            <w:tcW w:type="dxa" w:w="1701"/>
          </w:tcPr>
          <w:p>
            <w:pPr>
              <w:pStyle w:val="TableText"/>
            </w:pPr>
            <w:r>
              <w:rPr>
                <w:rFonts w:ascii="Arial" w:hAnsi="Arial"/>
                <w:sz w:val="14"/>
              </w:rPr>
              <w:t>Implicit in the independent assessment principle.</w:t>
            </w:r>
          </w:p>
        </w:tc>
        <w:tc>
          <w:tcPr>
            <w:tcW w:type="dxa" w:w="1701"/>
          </w:tcPr>
          <w:p>
            <w:pPr>
              <w:pStyle w:val="TableText"/>
            </w:pPr>
            <w:r>
              <w:rPr>
                <w:rFonts w:ascii="Arial" w:hAnsi="Arial"/>
                <w:sz w:val="14"/>
              </w:rPr>
              <w:t>Internal validation and internal audit principles.</w:t>
            </w:r>
          </w:p>
        </w:tc>
        <w:tc>
          <w:tcPr>
            <w:tcW w:type="dxa" w:w="1644"/>
          </w:tcPr>
          <w:p>
            <w:pPr>
              <w:pStyle w:val="TableText"/>
            </w:pPr>
            <w:r>
              <w:rPr>
                <w:rFonts w:ascii="Arial" w:hAnsi="Arial"/>
                <w:sz w:val="14"/>
              </w:rPr>
              <w:t>Independent review under Notice 637.</w:t>
            </w:r>
          </w:p>
        </w:tc>
        <w:tc>
          <w:tcPr>
            <w:tcW w:type="dxa" w:w="1531"/>
          </w:tcPr>
          <w:p>
            <w:pPr>
              <w:pStyle w:val="TableText"/>
            </w:pPr>
            <w:r>
              <w:rPr>
                <w:rFonts w:ascii="Arial" w:hAnsi="Arial"/>
                <w:sz w:val="14"/>
              </w:rPr>
              <w:t>Not addressed.</w:t>
            </w:r>
          </w:p>
        </w:tc>
        <w:tc>
          <w:tcPr>
            <w:tcW w:type="dxa" w:w="1417"/>
          </w:tcPr>
          <w:p>
            <w:pPr>
              <w:pStyle w:val="TableText"/>
            </w:pPr>
            <w:r>
              <w:rPr>
                <w:rFonts w:ascii="Arial" w:hAnsi="Arial"/>
                <w:sz w:val="14"/>
              </w:rPr>
              <w:t>Not addressed.</w:t>
            </w:r>
          </w:p>
        </w:tc>
      </w:tr>
      <w:tr>
        <w:tc>
          <w:tcPr>
            <w:tcW w:type="dxa" w:w="1417"/>
            <w:shd w:val="clear" w:color="auto" w:fill="F4F6FA"/>
          </w:tcPr>
          <w:p>
            <w:pPr>
              <w:pStyle w:val="TableText"/>
            </w:pPr>
            <w:r>
              <w:rPr>
                <w:rFonts w:ascii="Arial" w:hAnsi="Arial"/>
                <w:sz w:val="14"/>
              </w:rPr>
              <w:t>Model use and misuse</w:t>
            </w:r>
          </w:p>
        </w:tc>
        <w:tc>
          <w:tcPr>
            <w:tcW w:type="dxa" w:w="1757"/>
            <w:shd w:val="clear" w:color="auto" w:fill="F4F6FA"/>
          </w:tcPr>
          <w:p>
            <w:pPr>
              <w:pStyle w:val="TableText"/>
            </w:pPr>
            <w:r>
              <w:rPr>
                <w:rFonts w:ascii="Arial" w:hAnsi="Arial"/>
                <w:sz w:val="14"/>
              </w:rPr>
              <w:t>Use confined to approved purpose and conditions, with limitations communicated to users rather than merely recorded.</w:t>
            </w:r>
          </w:p>
        </w:tc>
        <w:tc>
          <w:tcPr>
            <w:tcW w:type="dxa" w:w="1701"/>
            <w:shd w:val="clear" w:color="auto" w:fill="F4F6FA"/>
          </w:tcPr>
          <w:p>
            <w:pPr>
              <w:pStyle w:val="TableText"/>
            </w:pPr>
            <w:r>
              <w:rPr>
                <w:rFonts w:ascii="Arial" w:hAnsi="Arial"/>
                <w:sz w:val="14"/>
              </w:rPr>
              <w:t>Recognised that a sound model can carry high model risk if misapplied or misused.</w:t>
            </w:r>
          </w:p>
        </w:tc>
        <w:tc>
          <w:tcPr>
            <w:tcW w:type="dxa" w:w="1701"/>
            <w:shd w:val="clear" w:color="auto" w:fill="F4F6FA"/>
          </w:tcPr>
          <w:p>
            <w:pPr>
              <w:pStyle w:val="TableText"/>
            </w:pPr>
            <w:r>
              <w:rPr>
                <w:rFonts w:ascii="Arial" w:hAnsi="Arial"/>
                <w:sz w:val="14"/>
              </w:rPr>
              <w:t>Principle 3 covers model use.</w:t>
            </w:r>
          </w:p>
        </w:tc>
        <w:tc>
          <w:tcPr>
            <w:tcW w:type="dxa" w:w="1701"/>
            <w:shd w:val="clear" w:color="auto" w:fill="F4F6FA"/>
          </w:tcPr>
          <w:p>
            <w:pPr>
              <w:pStyle w:val="TableText"/>
            </w:pPr>
            <w:r>
              <w:rPr>
                <w:rFonts w:ascii="Arial" w:hAnsi="Arial"/>
                <w:sz w:val="14"/>
              </w:rPr>
              <w:t>Principle 1.3 models should be appropriate for their business purposes.</w:t>
            </w:r>
          </w:p>
        </w:tc>
        <w:tc>
          <w:tcPr>
            <w:tcW w:type="dxa" w:w="1701"/>
            <w:shd w:val="clear" w:color="auto" w:fill="F4F6FA"/>
          </w:tcPr>
          <w:p>
            <w:pPr>
              <w:pStyle w:val="TableText"/>
            </w:pPr>
            <w:r>
              <w:rPr>
                <w:rFonts w:ascii="Arial" w:hAnsi="Arial"/>
                <w:sz w:val="14"/>
              </w:rPr>
              <w:t>Section 6 model use; CRR Article 174 use of models is binding.</w:t>
            </w:r>
          </w:p>
        </w:tc>
        <w:tc>
          <w:tcPr>
            <w:tcW w:type="dxa" w:w="1644"/>
            <w:shd w:val="clear" w:color="auto" w:fill="F4F6FA"/>
          </w:tcPr>
          <w:p>
            <w:pPr>
              <w:pStyle w:val="TableText"/>
            </w:pPr>
            <w:r>
              <w:rPr>
                <w:rFonts w:ascii="Arial" w:hAnsi="Arial"/>
                <w:sz w:val="14"/>
              </w:rPr>
              <w:t>Use test for capital models.</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Human oversight sound practice.</w:t>
            </w:r>
          </w:p>
        </w:tc>
      </w:tr>
      <w:tr>
        <w:tc>
          <w:tcPr>
            <w:tcW w:type="dxa" w:w="1417"/>
          </w:tcPr>
          <w:p>
            <w:pPr>
              <w:pStyle w:val="TableText"/>
            </w:pPr>
            <w:r>
              <w:rPr>
                <w:rFonts w:ascii="Arial" w:hAnsi="Arial"/>
                <w:sz w:val="14"/>
              </w:rPr>
              <w:t>Overlays and expert judgement</w:t>
            </w:r>
          </w:p>
        </w:tc>
        <w:tc>
          <w:tcPr>
            <w:tcW w:type="dxa" w:w="1757"/>
          </w:tcPr>
          <w:p>
            <w:pPr>
              <w:pStyle w:val="TableText"/>
            </w:pPr>
            <w:r>
              <w:rPr>
                <w:rFonts w:ascii="Arial" w:hAnsi="Arial"/>
                <w:sz w:val="14"/>
              </w:rPr>
              <w:t>Governance of basis, quantification, approval, duration and removal, with aggregate reporting of overlays in force.</w:t>
            </w:r>
          </w:p>
        </w:tc>
        <w:tc>
          <w:tcPr>
            <w:tcW w:type="dxa" w:w="1701"/>
          </w:tcPr>
          <w:p>
            <w:pPr>
              <w:pStyle w:val="TableText"/>
            </w:pPr>
            <w:r>
              <w:rPr>
                <w:rFonts w:ascii="Arial" w:hAnsi="Arial"/>
                <w:sz w:val="14"/>
              </w:rPr>
              <w:t>Overlays and adjustments referenced within monitoring.</w:t>
            </w:r>
          </w:p>
        </w:tc>
        <w:tc>
          <w:tcPr>
            <w:tcW w:type="dxa" w:w="1701"/>
          </w:tcPr>
          <w:p>
            <w:pPr>
              <w:pStyle w:val="TableText"/>
            </w:pPr>
            <w:r>
              <w:rPr>
                <w:rFonts w:ascii="Arial" w:hAnsi="Arial"/>
                <w:sz w:val="14"/>
              </w:rPr>
              <w:t>Principle 3.4 model adjustments and expert judgement; Principle 5.1 post-model adjustments.</w:t>
            </w:r>
          </w:p>
        </w:tc>
        <w:tc>
          <w:tcPr>
            <w:tcW w:type="dxa" w:w="1701"/>
          </w:tcPr>
          <w:p>
            <w:pPr>
              <w:pStyle w:val="TableText"/>
            </w:pPr>
            <w:r>
              <w:rPr>
                <w:rFonts w:ascii="Arial" w:hAnsi="Arial"/>
                <w:sz w:val="14"/>
              </w:rPr>
              <w:t>Addressed within model monitoring standards.</w:t>
            </w:r>
          </w:p>
        </w:tc>
        <w:tc>
          <w:tcPr>
            <w:tcW w:type="dxa" w:w="1701"/>
          </w:tcPr>
          <w:p>
            <w:pPr>
              <w:pStyle w:val="TableText"/>
            </w:pPr>
            <w:r>
              <w:rPr>
                <w:rFonts w:ascii="Arial" w:hAnsi="Arial"/>
                <w:sz w:val="14"/>
              </w:rPr>
              <w:t>Margin of conservatism framework for internal models.</w:t>
            </w:r>
          </w:p>
        </w:tc>
        <w:tc>
          <w:tcPr>
            <w:tcW w:type="dxa" w:w="1644"/>
          </w:tcPr>
          <w:p>
            <w:pPr>
              <w:pStyle w:val="TableText"/>
            </w:pPr>
            <w:r>
              <w:rPr>
                <w:rFonts w:ascii="Arial" w:hAnsi="Arial"/>
                <w:sz w:val="14"/>
              </w:rPr>
              <w:t>Not addressed generally.</w:t>
            </w:r>
          </w:p>
        </w:tc>
        <w:tc>
          <w:tcPr>
            <w:tcW w:type="dxa" w:w="1531"/>
          </w:tcPr>
          <w:p>
            <w:pPr>
              <w:pStyle w:val="TableText"/>
            </w:pPr>
            <w:r>
              <w:rPr>
                <w:rFonts w:ascii="Arial" w:hAnsi="Arial"/>
                <w:sz w:val="14"/>
              </w:rPr>
              <w:t>Not addressed.</w:t>
            </w:r>
          </w:p>
        </w:tc>
        <w:tc>
          <w:tcPr>
            <w:tcW w:type="dxa" w:w="1417"/>
          </w:tcPr>
          <w:p>
            <w:pPr>
              <w:pStyle w:val="TableText"/>
            </w:pPr>
            <w:r>
              <w:rPr>
                <w:rFonts w:ascii="Arial" w:hAnsi="Arial"/>
                <w:sz w:val="14"/>
              </w:rPr>
              <w:t>Not addressed.</w:t>
            </w:r>
          </w:p>
        </w:tc>
      </w:tr>
      <w:tr>
        <w:tc>
          <w:tcPr>
            <w:tcW w:type="dxa" w:w="1417"/>
            <w:shd w:val="clear" w:color="auto" w:fill="F4F6FA"/>
          </w:tcPr>
          <w:p>
            <w:pPr>
              <w:pStyle w:val="TableText"/>
            </w:pPr>
            <w:r>
              <w:rPr>
                <w:rFonts w:ascii="Arial" w:hAnsi="Arial"/>
                <w:sz w:val="14"/>
              </w:rPr>
              <w:t>Change management</w:t>
            </w:r>
          </w:p>
        </w:tc>
        <w:tc>
          <w:tcPr>
            <w:tcW w:type="dxa" w:w="1757"/>
            <w:shd w:val="clear" w:color="auto" w:fill="F4F6FA"/>
          </w:tcPr>
          <w:p>
            <w:pPr>
              <w:pStyle w:val="TableText"/>
            </w:pPr>
            <w:r>
              <w:rPr>
                <w:rFonts w:ascii="Arial" w:hAnsi="Arial"/>
                <w:sz w:val="14"/>
              </w:rPr>
              <w:t>Materiality assessment of changes individually and cumulatively, with provider-initiated change treated as an entity change event.</w:t>
            </w:r>
          </w:p>
        </w:tc>
        <w:tc>
          <w:tcPr>
            <w:tcW w:type="dxa" w:w="1701"/>
            <w:shd w:val="clear" w:color="auto" w:fill="F4F6FA"/>
          </w:tcPr>
          <w:p>
            <w:pPr>
              <w:pStyle w:val="TableText"/>
            </w:pPr>
            <w:r>
              <w:rPr>
                <w:rFonts w:ascii="Arial" w:hAnsi="Arial"/>
                <w:sz w:val="14"/>
              </w:rPr>
              <w:t>Frequency and scope of model changes inform validation timing.</w:t>
            </w:r>
          </w:p>
        </w:tc>
        <w:tc>
          <w:tcPr>
            <w:tcW w:type="dxa" w:w="1701"/>
            <w:shd w:val="clear" w:color="auto" w:fill="F4F6FA"/>
          </w:tcPr>
          <w:p>
            <w:pPr>
              <w:pStyle w:val="TableText"/>
            </w:pPr>
            <w:r>
              <w:rPr>
                <w:rFonts w:ascii="Arial" w:hAnsi="Arial"/>
                <w:sz w:val="14"/>
              </w:rPr>
              <w:t>Within Principle 3 and Principle 4.5 periodic revalidation.</w:t>
            </w:r>
          </w:p>
        </w:tc>
        <w:tc>
          <w:tcPr>
            <w:tcW w:type="dxa" w:w="1701"/>
            <w:shd w:val="clear" w:color="auto" w:fill="F4F6FA"/>
          </w:tcPr>
          <w:p>
            <w:pPr>
              <w:pStyle w:val="TableText"/>
            </w:pPr>
            <w:r>
              <w:rPr>
                <w:rFonts w:ascii="Arial" w:hAnsi="Arial"/>
                <w:sz w:val="14"/>
              </w:rPr>
              <w:t>Principle 3.5 deployment with quality and change control processes.</w:t>
            </w:r>
          </w:p>
        </w:tc>
        <w:tc>
          <w:tcPr>
            <w:tcW w:type="dxa" w:w="1701"/>
            <w:shd w:val="clear" w:color="auto" w:fill="F4F6FA"/>
          </w:tcPr>
          <w:p>
            <w:pPr>
              <w:pStyle w:val="TableText"/>
            </w:pPr>
            <w:r>
              <w:rPr>
                <w:rFonts w:ascii="Arial" w:hAnsi="Arial"/>
                <w:sz w:val="14"/>
              </w:rPr>
              <w:t>Section 10 on implementation of a changed or extended model; a detailed model change regime.</w:t>
            </w:r>
          </w:p>
        </w:tc>
        <w:tc>
          <w:tcPr>
            <w:tcW w:type="dxa" w:w="1644"/>
            <w:shd w:val="clear" w:color="auto" w:fill="F4F6FA"/>
          </w:tcPr>
          <w:p>
            <w:pPr>
              <w:pStyle w:val="TableText"/>
            </w:pPr>
            <w:r>
              <w:rPr>
                <w:rFonts w:ascii="Arial" w:hAnsi="Arial"/>
                <w:sz w:val="14"/>
              </w:rPr>
              <w:t>Change control for capital models.</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Organisational adaptability sound practice.</w:t>
            </w:r>
          </w:p>
        </w:tc>
      </w:tr>
      <w:tr>
        <w:tc>
          <w:tcPr>
            <w:tcW w:type="dxa" w:w="1417"/>
          </w:tcPr>
          <w:p>
            <w:pPr>
              <w:pStyle w:val="TableText"/>
            </w:pPr>
            <w:r>
              <w:rPr>
                <w:rFonts w:ascii="Arial" w:hAnsi="Arial"/>
                <w:sz w:val="14"/>
              </w:rPr>
              <w:t>Monitoring and drift</w:t>
            </w:r>
          </w:p>
        </w:tc>
        <w:tc>
          <w:tcPr>
            <w:tcW w:type="dxa" w:w="1757"/>
          </w:tcPr>
          <w:p>
            <w:pPr>
              <w:pStyle w:val="TableText"/>
            </w:pPr>
            <w:r>
              <w:rPr>
                <w:rFonts w:ascii="Arial" w:hAnsi="Arial"/>
                <w:sz w:val="14"/>
              </w:rPr>
              <w:t>Tier-based monitoring frequency with pre-set thresholds linked to investigation, restriction, revalidation or withdrawal.</w:t>
            </w:r>
          </w:p>
        </w:tc>
        <w:tc>
          <w:tcPr>
            <w:tcW w:type="dxa" w:w="1701"/>
          </w:tcPr>
          <w:p>
            <w:pPr>
              <w:pStyle w:val="TableText"/>
            </w:pPr>
            <w:r>
              <w:rPr>
                <w:rFonts w:ascii="Arial" w:hAnsi="Arial"/>
                <w:sz w:val="14"/>
              </w:rPr>
              <w:t>Ongoing model monitoring as a named validation component.</w:t>
            </w:r>
          </w:p>
        </w:tc>
        <w:tc>
          <w:tcPr>
            <w:tcW w:type="dxa" w:w="1701"/>
          </w:tcPr>
          <w:p>
            <w:pPr>
              <w:pStyle w:val="TableText"/>
            </w:pPr>
            <w:r>
              <w:rPr>
                <w:rFonts w:ascii="Arial" w:hAnsi="Arial"/>
                <w:sz w:val="14"/>
              </w:rPr>
              <w:t>Principle 4.4 model performance monitoring.</w:t>
            </w:r>
          </w:p>
        </w:tc>
        <w:tc>
          <w:tcPr>
            <w:tcW w:type="dxa" w:w="1701"/>
          </w:tcPr>
          <w:p>
            <w:pPr>
              <w:pStyle w:val="TableText"/>
            </w:pPr>
            <w:r>
              <w:rPr>
                <w:rFonts w:ascii="Arial" w:hAnsi="Arial"/>
                <w:sz w:val="14"/>
              </w:rPr>
              <w:t>Principle 3.6 standards for model monitoring and decommission.</w:t>
            </w:r>
          </w:p>
        </w:tc>
        <w:tc>
          <w:tcPr>
            <w:tcW w:type="dxa" w:w="1701"/>
          </w:tcPr>
          <w:p>
            <w:pPr>
              <w:pStyle w:val="TableText"/>
            </w:pPr>
            <w:r>
              <w:rPr>
                <w:rFonts w:ascii="Arial" w:hAnsi="Arial"/>
                <w:sz w:val="14"/>
              </w:rPr>
              <w:t>Within internal validation and model change provisions.</w:t>
            </w:r>
          </w:p>
        </w:tc>
        <w:tc>
          <w:tcPr>
            <w:tcW w:type="dxa" w:w="1644"/>
          </w:tcPr>
          <w:p>
            <w:pPr>
              <w:pStyle w:val="TableText"/>
            </w:pPr>
            <w:r>
              <w:rPr>
                <w:rFonts w:ascii="Arial" w:hAnsi="Arial"/>
                <w:sz w:val="14"/>
              </w:rPr>
              <w:t>Post-deployment monitoring in observed AI practice.</w:t>
            </w:r>
          </w:p>
        </w:tc>
        <w:tc>
          <w:tcPr>
            <w:tcW w:type="dxa" w:w="1531"/>
          </w:tcPr>
          <w:p>
            <w:pPr>
              <w:pStyle w:val="TableText"/>
            </w:pPr>
            <w:r>
              <w:rPr>
                <w:rFonts w:ascii="Arial" w:hAnsi="Arial"/>
                <w:sz w:val="14"/>
              </w:rPr>
              <w:t>Not addressed.</w:t>
            </w:r>
          </w:p>
        </w:tc>
        <w:tc>
          <w:tcPr>
            <w:tcW w:type="dxa" w:w="1417"/>
          </w:tcPr>
          <w:p>
            <w:pPr>
              <w:pStyle w:val="TableText"/>
            </w:pPr>
            <w:r>
              <w:rPr>
                <w:rFonts w:ascii="Arial" w:hAnsi="Arial"/>
                <w:sz w:val="14"/>
              </w:rPr>
              <w:t>Sound Practice 9 performance management.</w:t>
            </w:r>
          </w:p>
        </w:tc>
      </w:tr>
      <w:tr>
        <w:tc>
          <w:tcPr>
            <w:tcW w:type="dxa" w:w="1417"/>
            <w:shd w:val="clear" w:color="auto" w:fill="F4F6FA"/>
          </w:tcPr>
          <w:p>
            <w:pPr>
              <w:pStyle w:val="TableText"/>
            </w:pPr>
            <w:r>
              <w:rPr>
                <w:rFonts w:ascii="Arial" w:hAnsi="Arial"/>
                <w:sz w:val="14"/>
              </w:rPr>
              <w:t>Decommissioning</w:t>
            </w:r>
          </w:p>
        </w:tc>
        <w:tc>
          <w:tcPr>
            <w:tcW w:type="dxa" w:w="1757"/>
            <w:shd w:val="clear" w:color="auto" w:fill="F4F6FA"/>
          </w:tcPr>
          <w:p>
            <w:pPr>
              <w:pStyle w:val="TableText"/>
            </w:pPr>
            <w:r>
              <w:rPr>
                <w:rFonts w:ascii="Arial" w:hAnsi="Arial"/>
                <w:sz w:val="14"/>
              </w:rPr>
              <w:t>Managed decommissioning covering downstream models, outputs still in force, records and data disposition.</w:t>
            </w:r>
          </w:p>
        </w:tc>
        <w:tc>
          <w:tcPr>
            <w:tcW w:type="dxa" w:w="1701"/>
            <w:shd w:val="clear" w:color="auto" w:fill="F4F6FA"/>
          </w:tcPr>
          <w:p>
            <w:pPr>
              <w:pStyle w:val="TableText"/>
            </w:pPr>
            <w:r>
              <w:rPr>
                <w:rFonts w:ascii="Arial" w:hAnsi="Arial"/>
                <w:sz w:val="14"/>
              </w:rPr>
              <w:t>Not separately addressed.</w:t>
            </w:r>
          </w:p>
        </w:tc>
        <w:tc>
          <w:tcPr>
            <w:tcW w:type="dxa" w:w="1701"/>
            <w:shd w:val="clear" w:color="auto" w:fill="F4F6FA"/>
          </w:tcPr>
          <w:p>
            <w:pPr>
              <w:pStyle w:val="TableText"/>
            </w:pPr>
            <w:r>
              <w:rPr>
                <w:rFonts w:ascii="Arial" w:hAnsi="Arial"/>
                <w:sz w:val="14"/>
              </w:rPr>
              <w:t>Not separately addressed.</w:t>
            </w:r>
          </w:p>
        </w:tc>
        <w:tc>
          <w:tcPr>
            <w:tcW w:type="dxa" w:w="1701"/>
            <w:shd w:val="clear" w:color="auto" w:fill="F4F6FA"/>
          </w:tcPr>
          <w:p>
            <w:pPr>
              <w:pStyle w:val="TableText"/>
            </w:pPr>
            <w:r>
              <w:rPr>
                <w:rFonts w:ascii="Arial" w:hAnsi="Arial"/>
                <w:sz w:val="14"/>
              </w:rPr>
              <w:t>Principle 3.6 expressly covers model decommission.</w:t>
            </w:r>
          </w:p>
        </w:tc>
        <w:tc>
          <w:tcPr>
            <w:tcW w:type="dxa" w:w="1701"/>
            <w:shd w:val="clear" w:color="auto" w:fill="F4F6FA"/>
          </w:tcPr>
          <w:p>
            <w:pPr>
              <w:pStyle w:val="TableText"/>
            </w:pPr>
            <w:r>
              <w:rPr>
                <w:rFonts w:ascii="Arial" w:hAnsi="Arial"/>
                <w:sz w:val="14"/>
              </w:rPr>
              <w:t>Not separately addressed.</w:t>
            </w:r>
          </w:p>
        </w:tc>
        <w:tc>
          <w:tcPr>
            <w:tcW w:type="dxa" w:w="1644"/>
            <w:shd w:val="clear" w:color="auto" w:fill="F4F6FA"/>
          </w:tcPr>
          <w:p>
            <w:pPr>
              <w:pStyle w:val="TableText"/>
            </w:pPr>
            <w:r>
              <w:rPr>
                <w:rFonts w:ascii="Arial" w:hAnsi="Arial"/>
                <w:sz w:val="14"/>
              </w:rPr>
              <w:t>Not addressed.</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Not addressed.</w:t>
            </w:r>
          </w:p>
        </w:tc>
      </w:tr>
      <w:tr>
        <w:tc>
          <w:tcPr>
            <w:tcW w:type="dxa" w:w="1417"/>
          </w:tcPr>
          <w:p>
            <w:pPr>
              <w:pStyle w:val="TableText"/>
            </w:pPr>
            <w:r>
              <w:rPr>
                <w:rFonts w:ascii="Arial" w:hAnsi="Arial"/>
                <w:sz w:val="14"/>
              </w:rPr>
              <w:t>Third-party and vendor models</w:t>
            </w:r>
          </w:p>
        </w:tc>
        <w:tc>
          <w:tcPr>
            <w:tcW w:type="dxa" w:w="1757"/>
          </w:tcPr>
          <w:p>
            <w:pPr>
              <w:pStyle w:val="TableText"/>
            </w:pPr>
            <w:r>
              <w:rPr>
                <w:rFonts w:ascii="Arial" w:hAnsi="Arial"/>
                <w:sz w:val="14"/>
              </w:rPr>
              <w:t>Full framework applied to third-party models, with usable information rights and compensating controls where information is unavailable.</w:t>
            </w:r>
          </w:p>
        </w:tc>
        <w:tc>
          <w:tcPr>
            <w:tcW w:type="dxa" w:w="1701"/>
          </w:tcPr>
          <w:p>
            <w:pPr>
              <w:pStyle w:val="TableText"/>
            </w:pPr>
            <w:r>
              <w:rPr>
                <w:rFonts w:ascii="Arial" w:hAnsi="Arial"/>
                <w:sz w:val="14"/>
              </w:rPr>
              <w:t>Section VII on vendor and other third-party products, including validation and ongoing monitoring of vendor models.</w:t>
            </w:r>
          </w:p>
        </w:tc>
        <w:tc>
          <w:tcPr>
            <w:tcW w:type="dxa" w:w="1701"/>
          </w:tcPr>
          <w:p>
            <w:pPr>
              <w:pStyle w:val="TableText"/>
            </w:pPr>
            <w:r>
              <w:rPr>
                <w:rFonts w:ascii="Arial" w:hAnsi="Arial"/>
                <w:sz w:val="14"/>
              </w:rPr>
              <w:t>Principle 2.6 use of externally developed models and third-party vendor products.</w:t>
            </w:r>
          </w:p>
        </w:tc>
        <w:tc>
          <w:tcPr>
            <w:tcW w:type="dxa" w:w="1701"/>
          </w:tcPr>
          <w:p>
            <w:pPr>
              <w:pStyle w:val="TableText"/>
            </w:pPr>
            <w:r>
              <w:rPr>
                <w:rFonts w:ascii="Arial" w:hAnsi="Arial"/>
                <w:sz w:val="14"/>
              </w:rPr>
              <w:t>All models in scope regardless of source; B-10 applies to the arrangement.</w:t>
            </w:r>
          </w:p>
        </w:tc>
        <w:tc>
          <w:tcPr>
            <w:tcW w:type="dxa" w:w="1701"/>
          </w:tcPr>
          <w:p>
            <w:pPr>
              <w:pStyle w:val="TableText"/>
            </w:pPr>
            <w:r>
              <w:rPr>
                <w:rFonts w:ascii="Arial" w:hAnsi="Arial"/>
                <w:sz w:val="14"/>
              </w:rPr>
              <w:t>Section 11 third-party involvement.</w:t>
            </w:r>
          </w:p>
        </w:tc>
        <w:tc>
          <w:tcPr>
            <w:tcW w:type="dxa" w:w="1644"/>
          </w:tcPr>
          <w:p>
            <w:pPr>
              <w:pStyle w:val="TableText"/>
            </w:pPr>
            <w:r>
              <w:rPr>
                <w:rFonts w:ascii="Arial" w:hAnsi="Arial"/>
                <w:sz w:val="14"/>
              </w:rPr>
              <w:t>Provider opacity and contingency prominent in AI practice.</w:t>
            </w:r>
          </w:p>
        </w:tc>
        <w:tc>
          <w:tcPr>
            <w:tcW w:type="dxa" w:w="1531"/>
          </w:tcPr>
          <w:p>
            <w:pPr>
              <w:pStyle w:val="TableText"/>
            </w:pPr>
            <w:r>
              <w:rPr>
                <w:rFonts w:ascii="Arial" w:hAnsi="Arial"/>
                <w:sz w:val="14"/>
              </w:rPr>
              <w:t>Twelve third-party risk principles covering the full lifecycle.</w:t>
            </w:r>
          </w:p>
        </w:tc>
        <w:tc>
          <w:tcPr>
            <w:tcW w:type="dxa" w:w="1417"/>
          </w:tcPr>
          <w:p>
            <w:pPr>
              <w:pStyle w:val="TableText"/>
            </w:pPr>
            <w:r>
              <w:rPr>
                <w:rFonts w:ascii="Arial" w:hAnsi="Arial"/>
                <w:sz w:val="14"/>
              </w:rPr>
              <w:t>Sound Practice 12 third-party AI risk management.</w:t>
            </w:r>
          </w:p>
        </w:tc>
      </w:tr>
      <w:tr>
        <w:tc>
          <w:tcPr>
            <w:tcW w:type="dxa" w:w="1417"/>
            <w:shd w:val="clear" w:color="auto" w:fill="F4F6FA"/>
          </w:tcPr>
          <w:p>
            <w:pPr>
              <w:pStyle w:val="TableText"/>
            </w:pPr>
            <w:r>
              <w:rPr>
                <w:rFonts w:ascii="Arial" w:hAnsi="Arial"/>
                <w:sz w:val="14"/>
              </w:rPr>
              <w:t>Concentration and substitutability</w:t>
            </w:r>
          </w:p>
        </w:tc>
        <w:tc>
          <w:tcPr>
            <w:tcW w:type="dxa" w:w="1757"/>
            <w:shd w:val="clear" w:color="auto" w:fill="F4F6FA"/>
          </w:tcPr>
          <w:p>
            <w:pPr>
              <w:pStyle w:val="TableText"/>
            </w:pPr>
            <w:r>
              <w:rPr>
                <w:rFonts w:ascii="Arial" w:hAnsi="Arial"/>
                <w:sz w:val="14"/>
              </w:rPr>
              <w:t>Entity-level concentration assessment, with support for sector-wide monitoring of common model and data dependencies.</w:t>
            </w:r>
          </w:p>
        </w:tc>
        <w:tc>
          <w:tcPr>
            <w:tcW w:type="dxa" w:w="1701"/>
            <w:shd w:val="clear" w:color="auto" w:fill="F4F6FA"/>
          </w:tcPr>
          <w:p>
            <w:pPr>
              <w:pStyle w:val="TableText"/>
            </w:pPr>
            <w:r>
              <w:rPr>
                <w:rFonts w:ascii="Arial" w:hAnsi="Arial"/>
                <w:sz w:val="14"/>
              </w:rPr>
              <w:t>Not addressed as a systemic matter.</w:t>
            </w:r>
          </w:p>
        </w:tc>
        <w:tc>
          <w:tcPr>
            <w:tcW w:type="dxa" w:w="1701"/>
            <w:shd w:val="clear" w:color="auto" w:fill="F4F6FA"/>
          </w:tcPr>
          <w:p>
            <w:pPr>
              <w:pStyle w:val="TableText"/>
            </w:pPr>
            <w:r>
              <w:rPr>
                <w:rFonts w:ascii="Arial" w:hAnsi="Arial"/>
                <w:sz w:val="14"/>
              </w:rPr>
              <w:t>Not AI-specific.</w:t>
            </w:r>
          </w:p>
        </w:tc>
        <w:tc>
          <w:tcPr>
            <w:tcW w:type="dxa" w:w="1701"/>
            <w:shd w:val="clear" w:color="auto" w:fill="F4F6FA"/>
          </w:tcPr>
          <w:p>
            <w:pPr>
              <w:pStyle w:val="TableText"/>
            </w:pPr>
            <w:r>
              <w:rPr>
                <w:rFonts w:ascii="Arial" w:hAnsi="Arial"/>
                <w:sz w:val="14"/>
              </w:rPr>
              <w:t>Interconnectedness is a proportionality factor.</w:t>
            </w:r>
          </w:p>
        </w:tc>
        <w:tc>
          <w:tcPr>
            <w:tcW w:type="dxa" w:w="1701"/>
            <w:shd w:val="clear" w:color="auto" w:fill="F4F6FA"/>
          </w:tcPr>
          <w:p>
            <w:pPr>
              <w:pStyle w:val="TableText"/>
            </w:pPr>
            <w:r>
              <w:rPr>
                <w:rFonts w:ascii="Arial" w:hAnsi="Arial"/>
                <w:sz w:val="14"/>
              </w:rPr>
              <w:t>Not addressed as a systemic matter.</w:t>
            </w:r>
          </w:p>
        </w:tc>
        <w:tc>
          <w:tcPr>
            <w:tcW w:type="dxa" w:w="1644"/>
            <w:shd w:val="clear" w:color="auto" w:fill="F4F6FA"/>
          </w:tcPr>
          <w:p>
            <w:pPr>
              <w:pStyle w:val="TableText"/>
            </w:pPr>
            <w:r>
              <w:rPr>
                <w:rFonts w:ascii="Arial" w:hAnsi="Arial"/>
                <w:sz w:val="14"/>
              </w:rPr>
              <w:t>Provider concentration highlighted in AI practice.</w:t>
            </w:r>
          </w:p>
        </w:tc>
        <w:tc>
          <w:tcPr>
            <w:tcW w:type="dxa" w:w="1531"/>
            <w:shd w:val="clear" w:color="auto" w:fill="F4F6FA"/>
          </w:tcPr>
          <w:p>
            <w:pPr>
              <w:pStyle w:val="TableText"/>
            </w:pPr>
            <w:r>
              <w:rPr>
                <w:rFonts w:ascii="Arial" w:hAnsi="Arial"/>
                <w:sz w:val="14"/>
              </w:rPr>
              <w:t>Concentration addressed in the third-party principles.</w:t>
            </w:r>
          </w:p>
        </w:tc>
        <w:tc>
          <w:tcPr>
            <w:tcW w:type="dxa" w:w="1417"/>
            <w:shd w:val="clear" w:color="auto" w:fill="F4F6FA"/>
          </w:tcPr>
          <w:p>
            <w:pPr>
              <w:pStyle w:val="TableText"/>
            </w:pPr>
            <w:r>
              <w:rPr>
                <w:rFonts w:ascii="Arial" w:hAnsi="Arial"/>
                <w:sz w:val="14"/>
              </w:rPr>
              <w:t>Third-party dependencies and service provider concentration identified as a financial stability vulnerability.</w:t>
            </w:r>
          </w:p>
        </w:tc>
      </w:tr>
      <w:tr>
        <w:tc>
          <w:tcPr>
            <w:tcW w:type="dxa" w:w="1417"/>
          </w:tcPr>
          <w:p>
            <w:pPr>
              <w:pStyle w:val="TableText"/>
            </w:pPr>
            <w:r>
              <w:rPr>
                <w:rFonts w:ascii="Arial" w:hAnsi="Arial"/>
                <w:sz w:val="14"/>
              </w:rPr>
              <w:t>AI and machine learning models</w:t>
            </w:r>
          </w:p>
        </w:tc>
        <w:tc>
          <w:tcPr>
            <w:tcW w:type="dxa" w:w="1757"/>
          </w:tcPr>
          <w:p>
            <w:pPr>
              <w:pStyle w:val="TableText"/>
            </w:pPr>
            <w:r>
              <w:rPr>
                <w:rFonts w:ascii="Arial" w:hAnsi="Arial"/>
                <w:sz w:val="14"/>
              </w:rPr>
              <w:t>AI models within the framework as a model class, with an express boundary rule against the separate AI instrument.</w:t>
            </w:r>
          </w:p>
        </w:tc>
        <w:tc>
          <w:tcPr>
            <w:tcW w:type="dxa" w:w="1701"/>
          </w:tcPr>
          <w:p>
            <w:pPr>
              <w:pStyle w:val="TableText"/>
            </w:pPr>
            <w:r>
              <w:rPr>
                <w:rFonts w:ascii="Arial" w:hAnsi="Arial"/>
                <w:sz w:val="14"/>
              </w:rPr>
              <w:t>Traditional and non-generative, non-agentic AI models in scope; generative and agentic AI expressly excluded.</w:t>
            </w:r>
          </w:p>
        </w:tc>
        <w:tc>
          <w:tcPr>
            <w:tcW w:type="dxa" w:w="1701"/>
          </w:tcPr>
          <w:p>
            <w:pPr>
              <w:pStyle w:val="TableText"/>
            </w:pPr>
            <w:r>
              <w:rPr>
                <w:rFonts w:ascii="Arial" w:hAnsi="Arial"/>
                <w:sz w:val="14"/>
              </w:rPr>
              <w:t>Covered where AI meets the firm's model definition; a 2025 roundtable considered AI and ML in model risk.</w:t>
            </w:r>
          </w:p>
        </w:tc>
        <w:tc>
          <w:tcPr>
            <w:tcW w:type="dxa" w:w="1701"/>
          </w:tcPr>
          <w:p>
            <w:pPr>
              <w:pStyle w:val="TableText"/>
            </w:pPr>
            <w:r>
              <w:rPr>
                <w:rFonts w:ascii="Arial" w:hAnsi="Arial"/>
                <w:sz w:val="14"/>
              </w:rPr>
              <w:t>Model definition expressly includes AI and machine learning.</w:t>
            </w:r>
          </w:p>
        </w:tc>
        <w:tc>
          <w:tcPr>
            <w:tcW w:type="dxa" w:w="1701"/>
          </w:tcPr>
          <w:p>
            <w:pPr>
              <w:pStyle w:val="TableText"/>
            </w:pPr>
            <w:r>
              <w:rPr>
                <w:rFonts w:ascii="Arial" w:hAnsi="Arial"/>
                <w:sz w:val="14"/>
              </w:rPr>
              <w:t>Section 9 on the use of machine learning techniques in internal models.</w:t>
            </w:r>
          </w:p>
        </w:tc>
        <w:tc>
          <w:tcPr>
            <w:tcW w:type="dxa" w:w="1644"/>
          </w:tcPr>
          <w:p>
            <w:pPr>
              <w:pStyle w:val="TableText"/>
            </w:pPr>
            <w:r>
              <w:rPr>
                <w:rFonts w:ascii="Arial" w:hAnsi="Arial"/>
                <w:sz w:val="14"/>
              </w:rPr>
              <w:t>Detailed observed practice for AI model risk management, including generative AI.</w:t>
            </w:r>
          </w:p>
        </w:tc>
        <w:tc>
          <w:tcPr>
            <w:tcW w:type="dxa" w:w="1531"/>
          </w:tcPr>
          <w:p>
            <w:pPr>
              <w:pStyle w:val="TableText"/>
            </w:pPr>
            <w:r>
              <w:rPr>
                <w:rFonts w:ascii="Arial" w:hAnsi="Arial"/>
                <w:sz w:val="14"/>
              </w:rPr>
              <w:t>Analytical work on digitalisation and an AI/ML newsletter; no dedicated standard.</w:t>
            </w:r>
          </w:p>
        </w:tc>
        <w:tc>
          <w:tcPr>
            <w:tcW w:type="dxa" w:w="1417"/>
          </w:tcPr>
          <w:p>
            <w:pPr>
              <w:pStyle w:val="TableText"/>
            </w:pPr>
            <w:r>
              <w:rPr>
                <w:rFonts w:ascii="Arial" w:hAnsi="Arial"/>
                <w:sz w:val="14"/>
              </w:rPr>
              <w:t>Twelve sound practices for AI adoption, expressly not a standard.</w:t>
            </w:r>
          </w:p>
        </w:tc>
      </w:tr>
      <w:tr>
        <w:tc>
          <w:tcPr>
            <w:tcW w:type="dxa" w:w="1417"/>
            <w:shd w:val="clear" w:color="auto" w:fill="F4F6FA"/>
          </w:tcPr>
          <w:p>
            <w:pPr>
              <w:pStyle w:val="TableText"/>
            </w:pPr>
            <w:r>
              <w:rPr>
                <w:rFonts w:ascii="Arial" w:hAnsi="Arial"/>
                <w:sz w:val="14"/>
              </w:rPr>
              <w:t>Aggregate model risk</w:t>
            </w:r>
          </w:p>
        </w:tc>
        <w:tc>
          <w:tcPr>
            <w:tcW w:type="dxa" w:w="1757"/>
            <w:shd w:val="clear" w:color="auto" w:fill="F4F6FA"/>
          </w:tcPr>
          <w:p>
            <w:pPr>
              <w:pStyle w:val="TableText"/>
            </w:pPr>
            <w:r>
              <w:rPr>
                <w:rFonts w:ascii="Arial" w:hAnsi="Arial"/>
                <w:sz w:val="14"/>
              </w:rPr>
              <w:t>Aggregate assessment required and considered in internal capital assessment, with qualitative measures permitted where quantification is not yet feasible.</w:t>
            </w:r>
          </w:p>
        </w:tc>
        <w:tc>
          <w:tcPr>
            <w:tcW w:type="dxa" w:w="1701"/>
            <w:shd w:val="clear" w:color="auto" w:fill="F4F6FA"/>
          </w:tcPr>
          <w:p>
            <w:pPr>
              <w:pStyle w:val="TableText"/>
            </w:pPr>
            <w:r>
              <w:rPr>
                <w:rFonts w:ascii="Arial" w:hAnsi="Arial"/>
                <w:sz w:val="14"/>
              </w:rPr>
              <w:t>Sound practice to assess model risk individually and in aggregate, reflecting interactions, dependencies and reliance on common assumptions, data or methodologies.</w:t>
            </w:r>
          </w:p>
        </w:tc>
        <w:tc>
          <w:tcPr>
            <w:tcW w:type="dxa" w:w="1701"/>
            <w:shd w:val="clear" w:color="auto" w:fill="F4F6FA"/>
          </w:tcPr>
          <w:p>
            <w:pPr>
              <w:pStyle w:val="TableText"/>
            </w:pPr>
            <w:r>
              <w:rPr>
                <w:rFonts w:ascii="Arial" w:hAnsi="Arial"/>
                <w:sz w:val="14"/>
              </w:rPr>
              <w:t>Principle 5 model risk mitigants, and aggregate model risk reporting.</w:t>
            </w:r>
          </w:p>
        </w:tc>
        <w:tc>
          <w:tcPr>
            <w:tcW w:type="dxa" w:w="1701"/>
            <w:shd w:val="clear" w:color="auto" w:fill="F4F6FA"/>
          </w:tcPr>
          <w:p>
            <w:pPr>
              <w:pStyle w:val="TableText"/>
            </w:pPr>
            <w:r>
              <w:rPr>
                <w:rFonts w:ascii="Arial" w:hAnsi="Arial"/>
                <w:sz w:val="14"/>
              </w:rPr>
              <w:t>Outcome 1 requires model risk to be understood across the enterprise.</w:t>
            </w:r>
          </w:p>
        </w:tc>
        <w:tc>
          <w:tcPr>
            <w:tcW w:type="dxa" w:w="1701"/>
            <w:shd w:val="clear" w:color="auto" w:fill="F4F6FA"/>
          </w:tcPr>
          <w:p>
            <w:pPr>
              <w:pStyle w:val="TableText"/>
            </w:pPr>
            <w:r>
              <w:rPr>
                <w:rFonts w:ascii="Arial" w:hAnsi="Arial"/>
                <w:sz w:val="14"/>
              </w:rPr>
              <w:t>Model risk considered in supervisory review.</w:t>
            </w:r>
          </w:p>
        </w:tc>
        <w:tc>
          <w:tcPr>
            <w:tcW w:type="dxa" w:w="1644"/>
            <w:shd w:val="clear" w:color="auto" w:fill="F4F6FA"/>
          </w:tcPr>
          <w:p>
            <w:pPr>
              <w:pStyle w:val="TableText"/>
            </w:pPr>
            <w:r>
              <w:rPr>
                <w:rFonts w:ascii="Arial" w:hAnsi="Arial"/>
                <w:sz w:val="14"/>
              </w:rPr>
              <w:t>Not addressed.</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Not addressed.</w:t>
            </w:r>
          </w:p>
        </w:tc>
      </w:tr>
      <w:tr>
        <w:tc>
          <w:tcPr>
            <w:tcW w:type="dxa" w:w="1417"/>
          </w:tcPr>
          <w:p>
            <w:pPr>
              <w:pStyle w:val="TableText"/>
            </w:pPr>
            <w:r>
              <w:rPr>
                <w:rFonts w:ascii="Arial" w:hAnsi="Arial"/>
                <w:sz w:val="14"/>
              </w:rPr>
              <w:t>Internal audit and assurance</w:t>
            </w:r>
          </w:p>
        </w:tc>
        <w:tc>
          <w:tcPr>
            <w:tcW w:type="dxa" w:w="1757"/>
          </w:tcPr>
          <w:p>
            <w:pPr>
              <w:pStyle w:val="TableText"/>
            </w:pPr>
            <w:r>
              <w:rPr>
                <w:rFonts w:ascii="Arial" w:hAnsi="Arial"/>
                <w:sz w:val="14"/>
              </w:rPr>
              <w:t>Periodic independent assessment of framework design and operating effectiveness, including the effectiveness of validation and challenge, reported to the Board Audit Committee.</w:t>
            </w:r>
          </w:p>
        </w:tc>
        <w:tc>
          <w:tcPr>
            <w:tcW w:type="dxa" w:w="1701"/>
          </w:tcPr>
          <w:p>
            <w:pPr>
              <w:pStyle w:val="TableText"/>
            </w:pPr>
            <w:r>
              <w:rPr>
                <w:rFonts w:ascii="Arial" w:hAnsi="Arial"/>
                <w:sz w:val="14"/>
              </w:rPr>
              <w:t>Internal audit evaluates whether model risk management practices are rigorous and effective, rather than duplicating validation.</w:t>
            </w:r>
          </w:p>
        </w:tc>
        <w:tc>
          <w:tcPr>
            <w:tcW w:type="dxa" w:w="1701"/>
          </w:tcPr>
          <w:p>
            <w:pPr>
              <w:pStyle w:val="TableText"/>
            </w:pPr>
            <w:r>
              <w:rPr>
                <w:rFonts w:ascii="Arial" w:hAnsi="Arial"/>
                <w:sz w:val="14"/>
              </w:rPr>
              <w:t>Principle 2.5 Internal Audit.</w:t>
            </w:r>
          </w:p>
        </w:tc>
        <w:tc>
          <w:tcPr>
            <w:tcW w:type="dxa" w:w="1701"/>
          </w:tcPr>
          <w:p>
            <w:pPr>
              <w:pStyle w:val="TableText"/>
            </w:pPr>
            <w:r>
              <w:rPr>
                <w:rFonts w:ascii="Arial" w:hAnsi="Arial"/>
                <w:sz w:val="14"/>
              </w:rPr>
              <w:t>Addressed within governance expectations.</w:t>
            </w:r>
          </w:p>
        </w:tc>
        <w:tc>
          <w:tcPr>
            <w:tcW w:type="dxa" w:w="1701"/>
          </w:tcPr>
          <w:p>
            <w:pPr>
              <w:pStyle w:val="TableText"/>
            </w:pPr>
            <w:r>
              <w:rPr>
                <w:rFonts w:ascii="Arial" w:hAnsi="Arial"/>
                <w:sz w:val="14"/>
              </w:rPr>
              <w:t>Section 7 internal audit; CRR Article 191 makes it binding.</w:t>
            </w:r>
          </w:p>
        </w:tc>
        <w:tc>
          <w:tcPr>
            <w:tcW w:type="dxa" w:w="1644"/>
          </w:tcPr>
          <w:p>
            <w:pPr>
              <w:pStyle w:val="TableText"/>
            </w:pPr>
            <w:r>
              <w:rPr>
                <w:rFonts w:ascii="Arial" w:hAnsi="Arial"/>
                <w:sz w:val="14"/>
              </w:rPr>
              <w:t>Independent review under Notice 637.</w:t>
            </w:r>
          </w:p>
        </w:tc>
        <w:tc>
          <w:tcPr>
            <w:tcW w:type="dxa" w:w="1531"/>
          </w:tcPr>
          <w:p>
            <w:pPr>
              <w:pStyle w:val="TableText"/>
            </w:pPr>
            <w:r>
              <w:rPr>
                <w:rFonts w:ascii="Arial" w:hAnsi="Arial"/>
                <w:sz w:val="14"/>
              </w:rPr>
              <w:t>Three lines concepts apply generally.</w:t>
            </w:r>
          </w:p>
        </w:tc>
        <w:tc>
          <w:tcPr>
            <w:tcW w:type="dxa" w:w="1417"/>
          </w:tcPr>
          <w:p>
            <w:pPr>
              <w:pStyle w:val="TableText"/>
            </w:pPr>
            <w:r>
              <w:rPr>
                <w:rFonts w:ascii="Arial" w:hAnsi="Arial"/>
                <w:sz w:val="14"/>
              </w:rPr>
              <w:t>Governance sound practices.</w:t>
            </w:r>
          </w:p>
        </w:tc>
      </w:tr>
      <w:tr>
        <w:tc>
          <w:tcPr>
            <w:tcW w:type="dxa" w:w="1417"/>
            <w:shd w:val="clear" w:color="auto" w:fill="F4F6FA"/>
          </w:tcPr>
          <w:p>
            <w:pPr>
              <w:pStyle w:val="TableText"/>
            </w:pPr>
            <w:r>
              <w:rPr>
                <w:rFonts w:ascii="Arial" w:hAnsi="Arial"/>
                <w:sz w:val="14"/>
              </w:rPr>
              <w:t>Supervisory notification</w:t>
            </w:r>
          </w:p>
        </w:tc>
        <w:tc>
          <w:tcPr>
            <w:tcW w:type="dxa" w:w="1757"/>
            <w:shd w:val="clear" w:color="auto" w:fill="F4F6FA"/>
          </w:tcPr>
          <w:p>
            <w:pPr>
              <w:pStyle w:val="TableText"/>
            </w:pPr>
            <w:r>
              <w:rPr>
                <w:rFonts w:ascii="Arial" w:hAnsi="Arial"/>
                <w:sz w:val="14"/>
              </w:rPr>
              <w:t>Cross-references CPS 230 and CPS 234 rather than creating a separate deadline, with early engagement expected on material model weakness.</w:t>
            </w:r>
          </w:p>
        </w:tc>
        <w:tc>
          <w:tcPr>
            <w:tcW w:type="dxa" w:w="1701"/>
            <w:shd w:val="clear" w:color="auto" w:fill="F4F6FA"/>
          </w:tcPr>
          <w:p>
            <w:pPr>
              <w:pStyle w:val="TableText"/>
            </w:pPr>
            <w:r>
              <w:rPr>
                <w:rFonts w:ascii="Arial" w:hAnsi="Arial"/>
                <w:sz w:val="14"/>
              </w:rPr>
              <w:t>No model-specific notification requirement.</w:t>
            </w:r>
          </w:p>
        </w:tc>
        <w:tc>
          <w:tcPr>
            <w:tcW w:type="dxa" w:w="1701"/>
            <w:shd w:val="clear" w:color="auto" w:fill="F4F6FA"/>
          </w:tcPr>
          <w:p>
            <w:pPr>
              <w:pStyle w:val="TableText"/>
            </w:pPr>
            <w:r>
              <w:rPr>
                <w:rFonts w:ascii="Arial" w:hAnsi="Arial"/>
                <w:sz w:val="14"/>
              </w:rPr>
              <w:t>Escalation within the framework; no notification rule.</w:t>
            </w:r>
          </w:p>
        </w:tc>
        <w:tc>
          <w:tcPr>
            <w:tcW w:type="dxa" w:w="1701"/>
            <w:shd w:val="clear" w:color="auto" w:fill="F4F6FA"/>
          </w:tcPr>
          <w:p>
            <w:pPr>
              <w:pStyle w:val="TableText"/>
            </w:pPr>
            <w:r>
              <w:rPr>
                <w:rFonts w:ascii="Arial" w:hAnsi="Arial"/>
                <w:sz w:val="14"/>
              </w:rPr>
              <w:t>Supervisory engagement expected.</w:t>
            </w:r>
          </w:p>
        </w:tc>
        <w:tc>
          <w:tcPr>
            <w:tcW w:type="dxa" w:w="1701"/>
            <w:shd w:val="clear" w:color="auto" w:fill="F4F6FA"/>
          </w:tcPr>
          <w:p>
            <w:pPr>
              <w:pStyle w:val="TableText"/>
            </w:pPr>
            <w:r>
              <w:rPr>
                <w:rFonts w:ascii="Arial" w:hAnsi="Arial"/>
                <w:sz w:val="14"/>
              </w:rPr>
              <w:t>Model change approval required from the supervisor for capital models.</w:t>
            </w:r>
          </w:p>
        </w:tc>
        <w:tc>
          <w:tcPr>
            <w:tcW w:type="dxa" w:w="1644"/>
            <w:shd w:val="clear" w:color="auto" w:fill="F4F6FA"/>
          </w:tcPr>
          <w:p>
            <w:pPr>
              <w:pStyle w:val="TableText"/>
            </w:pPr>
            <w:r>
              <w:rPr>
                <w:rFonts w:ascii="Arial" w:hAnsi="Arial"/>
                <w:sz w:val="14"/>
              </w:rPr>
              <w:t>Notification for capital model changes.</w:t>
            </w:r>
          </w:p>
        </w:tc>
        <w:tc>
          <w:tcPr>
            <w:tcW w:type="dxa" w:w="1531"/>
            <w:shd w:val="clear" w:color="auto" w:fill="F4F6FA"/>
          </w:tcPr>
          <w:p>
            <w:pPr>
              <w:pStyle w:val="TableText"/>
            </w:pPr>
            <w:r>
              <w:rPr>
                <w:rFonts w:ascii="Arial" w:hAnsi="Arial"/>
                <w:sz w:val="14"/>
              </w:rPr>
              <w:t>Not addressed.</w:t>
            </w:r>
          </w:p>
        </w:tc>
        <w:tc>
          <w:tcPr>
            <w:tcW w:type="dxa" w:w="1417"/>
            <w:shd w:val="clear" w:color="auto" w:fill="F4F6FA"/>
          </w:tcPr>
          <w:p>
            <w:pPr>
              <w:pStyle w:val="TableText"/>
            </w:pPr>
            <w:r>
              <w:rPr>
                <w:rFonts w:ascii="Arial" w:hAnsi="Arial"/>
                <w:sz w:val="14"/>
              </w:rPr>
              <w:t>Not addressed.</w:t>
            </w:r>
          </w:p>
        </w:tc>
      </w:tr>
    </w:tbl>
    <w:p>
      <w:pPr>
        <w:sectPr>
          <w:pgSz w:w="16838" w:h="11906" w:orient="landscape"/>
          <w:pgMar w:top="907" w:right="850" w:bottom="907" w:left="850" w:header="624" w:footer="567" w:gutter="0"/>
          <w:cols w:space="720"/>
          <w:docGrid w:linePitch="360"/>
        </w:sectPr>
      </w:pPr>
    </w:p>
    <w:p>
      <w:pPr>
        <w:pStyle w:val="Heading1"/>
      </w:pPr>
      <w:r>
        <w:t>Annex E — Source register</w:t>
      </w:r>
    </w:p>
    <w:p>
      <w:pPr>
        <w:pStyle w:val="Guidance"/>
      </w:pPr>
      <w:r>
        <w:t>Every source relied upon in this Prudential Standard and in CPG 240. URLs are to official authority websites and were checked on the date shown. Where a source could not be confirmed from an official domain it is marked accordingly and has not been relied upon for any statement of requirement.</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1569"/>
        <w:gridCol w:w="1569"/>
        <w:gridCol w:w="1569"/>
        <w:gridCol w:w="1569"/>
        <w:gridCol w:w="1569"/>
        <w:gridCol w:w="1569"/>
      </w:tblGrid>
      <w:tr>
        <w:trPr>
          <w:tblHeader w:val="true"/>
        </w:trPr>
        <w:tc>
          <w:tcPr>
            <w:tcW w:type="dxa" w:w="1077"/>
            <w:shd w:val="clear" w:color="auto" w:fill="1B335F"/>
          </w:tcPr>
          <w:p>
            <w:pPr>
              <w:pStyle w:val="TableHead"/>
            </w:pPr>
            <w:r>
              <w:rPr>
                <w:rFonts w:ascii="Arial" w:hAnsi="Arial"/>
                <w:b/>
                <w:color w:val="FFFFFF"/>
                <w:sz w:val="14"/>
              </w:rPr>
              <w:t>ID</w:t>
            </w:r>
          </w:p>
        </w:tc>
        <w:tc>
          <w:tcPr>
            <w:tcW w:type="dxa" w:w="850"/>
            <w:shd w:val="clear" w:color="auto" w:fill="1B335F"/>
          </w:tcPr>
          <w:p>
            <w:pPr>
              <w:pStyle w:val="TableHead"/>
            </w:pPr>
            <w:r>
              <w:rPr>
                <w:rFonts w:ascii="Arial" w:hAnsi="Arial"/>
                <w:b/>
                <w:color w:val="FFFFFF"/>
                <w:sz w:val="14"/>
              </w:rPr>
              <w:t>Authority</w:t>
            </w:r>
          </w:p>
        </w:tc>
        <w:tc>
          <w:tcPr>
            <w:tcW w:type="dxa" w:w="2494"/>
            <w:shd w:val="clear" w:color="auto" w:fill="1B335F"/>
          </w:tcPr>
          <w:p>
            <w:pPr>
              <w:pStyle w:val="TableHead"/>
            </w:pPr>
            <w:r>
              <w:rPr>
                <w:rFonts w:ascii="Arial" w:hAnsi="Arial"/>
                <w:b/>
                <w:color w:val="FFFFFF"/>
                <w:sz w:val="14"/>
              </w:rPr>
              <w:t>Title</w:t>
            </w:r>
          </w:p>
        </w:tc>
        <w:tc>
          <w:tcPr>
            <w:tcW w:type="dxa" w:w="1304"/>
            <w:shd w:val="clear" w:color="auto" w:fill="1B335F"/>
          </w:tcPr>
          <w:p>
            <w:pPr>
              <w:pStyle w:val="TableHead"/>
            </w:pPr>
            <w:r>
              <w:rPr>
                <w:rFonts w:ascii="Arial" w:hAnsi="Arial"/>
                <w:b/>
                <w:color w:val="FFFFFF"/>
                <w:sz w:val="14"/>
              </w:rPr>
              <w:t>Date / effect</w:t>
            </w:r>
          </w:p>
        </w:tc>
        <w:tc>
          <w:tcPr>
            <w:tcW w:type="dxa" w:w="1701"/>
            <w:shd w:val="clear" w:color="auto" w:fill="1B335F"/>
          </w:tcPr>
          <w:p>
            <w:pPr>
              <w:pStyle w:val="TableHead"/>
            </w:pPr>
            <w:r>
              <w:rPr>
                <w:rFonts w:ascii="Arial" w:hAnsi="Arial"/>
                <w:b/>
                <w:color w:val="FFFFFF"/>
                <w:sz w:val="14"/>
              </w:rPr>
              <w:t>Legal status</w:t>
            </w:r>
          </w:p>
        </w:tc>
        <w:tc>
          <w:tcPr>
            <w:tcW w:type="dxa" w:w="1984"/>
            <w:shd w:val="clear" w:color="auto" w:fill="1B335F"/>
          </w:tcPr>
          <w:p>
            <w:pPr>
              <w:pStyle w:val="TableHead"/>
            </w:pPr>
            <w:r>
              <w:rPr>
                <w:rFonts w:ascii="Arial" w:hAnsi="Arial"/>
                <w:b/>
                <w:color w:val="FFFFFF"/>
                <w:sz w:val="14"/>
              </w:rPr>
              <w:t>Official URL</w:t>
            </w:r>
          </w:p>
        </w:tc>
      </w:tr>
      <w:tr>
        <w:tc>
          <w:tcPr>
            <w:tcW w:type="dxa" w:w="1077"/>
          </w:tcPr>
          <w:p>
            <w:pPr>
              <w:pStyle w:val="TableText"/>
            </w:pPr>
            <w:r>
              <w:rPr>
                <w:rFonts w:ascii="Arial" w:hAnsi="Arial"/>
                <w:sz w:val="14"/>
              </w:rPr>
              <w:t>US-MRM-2026</w:t>
            </w:r>
          </w:p>
        </w:tc>
        <w:tc>
          <w:tcPr>
            <w:tcW w:type="dxa" w:w="850"/>
          </w:tcPr>
          <w:p>
            <w:pPr>
              <w:pStyle w:val="TableText"/>
            </w:pPr>
            <w:r>
              <w:rPr>
                <w:rFonts w:ascii="Arial" w:hAnsi="Arial"/>
                <w:sz w:val="14"/>
              </w:rPr>
              <w:t>OCC / FRB / FDIC</w:t>
            </w:r>
          </w:p>
        </w:tc>
        <w:tc>
          <w:tcPr>
            <w:tcW w:type="dxa" w:w="2494"/>
          </w:tcPr>
          <w:p>
            <w:pPr>
              <w:pStyle w:val="TableText"/>
            </w:pPr>
            <w:r>
              <w:rPr>
                <w:rFonts w:ascii="Arial" w:hAnsi="Arial"/>
                <w:sz w:val="14"/>
              </w:rPr>
              <w:t>Supervisory Guidance on Model Risk Management — interagency guidance issued as Federal Reserve SR 26-2, OCC Bulletin 2026-13 and FDIC FIL-15-2026</w:t>
            </w:r>
          </w:p>
        </w:tc>
        <w:tc>
          <w:tcPr>
            <w:tcW w:type="dxa" w:w="1304"/>
          </w:tcPr>
          <w:p>
            <w:pPr>
              <w:pStyle w:val="TableText"/>
            </w:pPr>
            <w:r>
              <w:rPr>
                <w:rFonts w:ascii="Arial" w:hAnsi="Arial"/>
                <w:sz w:val="14"/>
              </w:rPr>
              <w:t>17 Apr 2026</w:t>
            </w:r>
          </w:p>
        </w:tc>
        <w:tc>
          <w:tcPr>
            <w:tcW w:type="dxa" w:w="1701"/>
          </w:tcPr>
          <w:p>
            <w:pPr>
              <w:pStyle w:val="TableText"/>
            </w:pPr>
            <w:r>
              <w:rPr>
                <w:rFonts w:ascii="Arial" w:hAnsi="Arial"/>
                <w:sz w:val="14"/>
              </w:rPr>
              <w:t>Interagency supervisory guidance. Expressly non-enforceable: it 'does not set forth enforceable standards or prescriptive requirements' and non-compliance 'will not result in supervisory criticism'. US supervisory guidance does not have the force and effect of law.</w:t>
            </w:r>
          </w:p>
        </w:tc>
        <w:tc>
          <w:tcPr>
            <w:tcW w:type="dxa" w:w="1984"/>
          </w:tcPr>
          <w:p>
            <w:pPr>
              <w:pStyle w:val="TableText"/>
            </w:pPr>
            <w:r>
              <w:rPr>
                <w:rFonts w:ascii="Arial" w:hAnsi="Arial"/>
                <w:sz w:val="14"/>
              </w:rPr>
              <w:t>https://www.federalreserve.gov/supervisionreg/srletters/SR2602.htm</w:t>
            </w:r>
          </w:p>
        </w:tc>
      </w:tr>
      <w:tr>
        <w:tc>
          <w:tcPr>
            <w:tcW w:type="dxa" w:w="1077"/>
            <w:shd w:val="clear" w:color="auto" w:fill="F4F6FA"/>
          </w:tcPr>
          <w:p>
            <w:pPr>
              <w:pStyle w:val="TableText"/>
            </w:pPr>
            <w:r>
              <w:rPr>
                <w:rFonts w:ascii="Arial" w:hAnsi="Arial"/>
                <w:sz w:val="14"/>
              </w:rPr>
              <w:t>US-MRM-2011</w:t>
            </w:r>
          </w:p>
        </w:tc>
        <w:tc>
          <w:tcPr>
            <w:tcW w:type="dxa" w:w="850"/>
            <w:shd w:val="clear" w:color="auto" w:fill="F4F6FA"/>
          </w:tcPr>
          <w:p>
            <w:pPr>
              <w:pStyle w:val="TableText"/>
            </w:pPr>
            <w:r>
              <w:rPr>
                <w:rFonts w:ascii="Arial" w:hAnsi="Arial"/>
                <w:sz w:val="14"/>
              </w:rPr>
              <w:t>OCC / FRB</w:t>
            </w:r>
          </w:p>
        </w:tc>
        <w:tc>
          <w:tcPr>
            <w:tcW w:type="dxa" w:w="2494"/>
            <w:shd w:val="clear" w:color="auto" w:fill="F4F6FA"/>
          </w:tcPr>
          <w:p>
            <w:pPr>
              <w:pStyle w:val="TableText"/>
            </w:pPr>
            <w:r>
              <w:rPr>
                <w:rFonts w:ascii="Arial" w:hAnsi="Arial"/>
                <w:sz w:val="14"/>
              </w:rPr>
              <w:t>OCC Bulletin 2011-12 / Federal Reserve SR 11-7 — Supervisory Guidance on Model Risk Management</w:t>
            </w:r>
          </w:p>
        </w:tc>
        <w:tc>
          <w:tcPr>
            <w:tcW w:type="dxa" w:w="1304"/>
            <w:shd w:val="clear" w:color="auto" w:fill="F4F6FA"/>
          </w:tcPr>
          <w:p>
            <w:pPr>
              <w:pStyle w:val="TableText"/>
            </w:pPr>
            <w:r>
              <w:rPr>
                <w:rFonts w:ascii="Arial" w:hAnsi="Arial"/>
                <w:sz w:val="14"/>
              </w:rPr>
              <w:t>4 Apr 2011 (rescinded)</w:t>
            </w:r>
          </w:p>
        </w:tc>
        <w:tc>
          <w:tcPr>
            <w:tcW w:type="dxa" w:w="1701"/>
            <w:shd w:val="clear" w:color="auto" w:fill="F4F6FA"/>
          </w:tcPr>
          <w:p>
            <w:pPr>
              <w:pStyle w:val="TableText"/>
            </w:pPr>
            <w:r>
              <w:rPr>
                <w:rFonts w:ascii="Arial" w:hAnsi="Arial"/>
                <w:sz w:val="14"/>
              </w:rPr>
              <w:t>Superseded supervisory guidance. Rescinded by OCC Bulletin 2026-13 and superseded by Federal Reserve SR 26-2 on 17 April 2026. Was never a regulation. Retained here for provenance because it originated most of the discipline's architecture.</w:t>
            </w:r>
          </w:p>
        </w:tc>
        <w:tc>
          <w:tcPr>
            <w:tcW w:type="dxa" w:w="1984"/>
            <w:shd w:val="clear" w:color="auto" w:fill="F4F6FA"/>
          </w:tcPr>
          <w:p>
            <w:pPr>
              <w:pStyle w:val="TableText"/>
            </w:pPr>
            <w:r>
              <w:rPr>
                <w:rFonts w:ascii="Arial" w:hAnsi="Arial"/>
                <w:sz w:val="14"/>
              </w:rPr>
              <w:t>https://www.occ.gov/static/rescinded-bulletins/bulletin-2011-12.pdf</w:t>
            </w:r>
          </w:p>
        </w:tc>
      </w:tr>
      <w:tr>
        <w:tc>
          <w:tcPr>
            <w:tcW w:type="dxa" w:w="1077"/>
          </w:tcPr>
          <w:p>
            <w:pPr>
              <w:pStyle w:val="TableText"/>
            </w:pPr>
            <w:r>
              <w:rPr>
                <w:rFonts w:ascii="Arial" w:hAnsi="Arial"/>
                <w:sz w:val="14"/>
              </w:rPr>
              <w:t>US-SG-STATUS</w:t>
            </w:r>
          </w:p>
        </w:tc>
        <w:tc>
          <w:tcPr>
            <w:tcW w:type="dxa" w:w="850"/>
          </w:tcPr>
          <w:p>
            <w:pPr>
              <w:pStyle w:val="TableText"/>
            </w:pPr>
            <w:r>
              <w:rPr>
                <w:rFonts w:ascii="Arial" w:hAnsi="Arial"/>
                <w:sz w:val="14"/>
              </w:rPr>
              <w:t>OCC / FRB / FDIC</w:t>
            </w:r>
          </w:p>
        </w:tc>
        <w:tc>
          <w:tcPr>
            <w:tcW w:type="dxa" w:w="2494"/>
          </w:tcPr>
          <w:p>
            <w:pPr>
              <w:pStyle w:val="TableText"/>
            </w:pPr>
            <w:r>
              <w:rPr>
                <w:rFonts w:ascii="Arial" w:hAnsi="Arial"/>
                <w:sz w:val="14"/>
              </w:rPr>
              <w:t>Use of supervisory guidance — 12 CFR Part 4 Subpart F (OCC), 12 CFR §262.7 and Part 262 Appendix A (Board), 12 CFR Part 302 Appendix A (FDIC)</w:t>
            </w:r>
          </w:p>
        </w:tc>
        <w:tc>
          <w:tcPr>
            <w:tcW w:type="dxa" w:w="1304"/>
          </w:tcPr>
          <w:p>
            <w:pPr>
              <w:pStyle w:val="TableText"/>
            </w:pPr>
            <w:r>
              <w:rPr>
                <w:rFonts w:ascii="Arial" w:hAnsi="Arial"/>
                <w:sz w:val="14"/>
              </w:rPr>
              <w:t>2021</w:t>
            </w:r>
          </w:p>
        </w:tc>
        <w:tc>
          <w:tcPr>
            <w:tcW w:type="dxa" w:w="1701"/>
          </w:tcPr>
          <w:p>
            <w:pPr>
              <w:pStyle w:val="TableText"/>
            </w:pPr>
            <w:r>
              <w:rPr>
                <w:rFonts w:ascii="Arial" w:hAnsi="Arial"/>
                <w:sz w:val="14"/>
              </w:rPr>
              <w:t>Codified regulation. Binding on the agencies, not on supervised institutions. Provides that supervisory guidance does not have the force and effect of law and that the agencies do not take enforcement action on the basis of guidance.</w:t>
            </w:r>
          </w:p>
        </w:tc>
        <w:tc>
          <w:tcPr>
            <w:tcW w:type="dxa" w:w="1984"/>
          </w:tcPr>
          <w:p>
            <w:pPr>
              <w:pStyle w:val="TableText"/>
            </w:pPr>
            <w:r>
              <w:rPr>
                <w:rFonts w:ascii="Arial" w:hAnsi="Arial"/>
                <w:sz w:val="14"/>
              </w:rPr>
              <w:t>https://www.ecfr.gov/current/title-12/chapter-I/part-4/subpart-F</w:t>
            </w:r>
          </w:p>
        </w:tc>
      </w:tr>
      <w:tr>
        <w:tc>
          <w:tcPr>
            <w:tcW w:type="dxa" w:w="1077"/>
            <w:shd w:val="clear" w:color="auto" w:fill="F4F6FA"/>
          </w:tcPr>
          <w:p>
            <w:pPr>
              <w:pStyle w:val="TableText"/>
            </w:pPr>
            <w:r>
              <w:rPr>
                <w:rFonts w:ascii="Arial" w:hAnsi="Arial"/>
                <w:sz w:val="14"/>
              </w:rPr>
              <w:t>OCC-CB-2025</w:t>
            </w:r>
          </w:p>
        </w:tc>
        <w:tc>
          <w:tcPr>
            <w:tcW w:type="dxa" w:w="850"/>
            <w:shd w:val="clear" w:color="auto" w:fill="F4F6FA"/>
          </w:tcPr>
          <w:p>
            <w:pPr>
              <w:pStyle w:val="TableText"/>
            </w:pPr>
            <w:r>
              <w:rPr>
                <w:rFonts w:ascii="Arial" w:hAnsi="Arial"/>
                <w:sz w:val="14"/>
              </w:rPr>
              <w:t>OCC</w:t>
            </w:r>
          </w:p>
        </w:tc>
        <w:tc>
          <w:tcPr>
            <w:tcW w:type="dxa" w:w="2494"/>
            <w:shd w:val="clear" w:color="auto" w:fill="F4F6FA"/>
          </w:tcPr>
          <w:p>
            <w:pPr>
              <w:pStyle w:val="TableText"/>
            </w:pPr>
            <w:r>
              <w:rPr>
                <w:rFonts w:ascii="Arial" w:hAnsi="Arial"/>
                <w:sz w:val="14"/>
              </w:rPr>
              <w:t>OCC Bulletin 2025-26 — Model Risk Management: Clarification for Community Banks</w:t>
            </w:r>
          </w:p>
        </w:tc>
        <w:tc>
          <w:tcPr>
            <w:tcW w:type="dxa" w:w="1304"/>
            <w:shd w:val="clear" w:color="auto" w:fill="F4F6FA"/>
          </w:tcPr>
          <w:p>
            <w:pPr>
              <w:pStyle w:val="TableText"/>
            </w:pPr>
            <w:r>
              <w:rPr>
                <w:rFonts w:ascii="Arial" w:hAnsi="Arial"/>
                <w:sz w:val="14"/>
              </w:rPr>
              <w:t>6 Oct 2025</w:t>
            </w:r>
          </w:p>
        </w:tc>
        <w:tc>
          <w:tcPr>
            <w:tcW w:type="dxa" w:w="1701"/>
            <w:shd w:val="clear" w:color="auto" w:fill="F4F6FA"/>
          </w:tcPr>
          <w:p>
            <w:pPr>
              <w:pStyle w:val="TableText"/>
            </w:pPr>
            <w:r>
              <w:rPr>
                <w:rFonts w:ascii="Arial" w:hAnsi="Arial"/>
                <w:sz w:val="14"/>
              </w:rPr>
              <w:t>Bulletin clarifying the application of existing supervisory guidance. Not a regulation. Not rescinded by OCC Bulletin 2026-13.</w:t>
            </w:r>
          </w:p>
        </w:tc>
        <w:tc>
          <w:tcPr>
            <w:tcW w:type="dxa" w:w="1984"/>
            <w:shd w:val="clear" w:color="auto" w:fill="F4F6FA"/>
          </w:tcPr>
          <w:p>
            <w:pPr>
              <w:pStyle w:val="TableText"/>
            </w:pPr>
            <w:r>
              <w:rPr>
                <w:rFonts w:ascii="Arial" w:hAnsi="Arial"/>
                <w:sz w:val="14"/>
              </w:rPr>
              <w:t>https://www.occ.gov/news-issuances/bulletins/2025/bulletin-2025-26.html</w:t>
            </w:r>
          </w:p>
        </w:tc>
      </w:tr>
      <w:tr>
        <w:tc>
          <w:tcPr>
            <w:tcW w:type="dxa" w:w="1077"/>
          </w:tcPr>
          <w:p>
            <w:pPr>
              <w:pStyle w:val="TableText"/>
            </w:pPr>
            <w:r>
              <w:rPr>
                <w:rFonts w:ascii="Arial" w:hAnsi="Arial"/>
                <w:sz w:val="14"/>
              </w:rPr>
              <w:t>OCC-HANDBOOK</w:t>
            </w:r>
          </w:p>
        </w:tc>
        <w:tc>
          <w:tcPr>
            <w:tcW w:type="dxa" w:w="850"/>
          </w:tcPr>
          <w:p>
            <w:pPr>
              <w:pStyle w:val="TableText"/>
            </w:pPr>
            <w:r>
              <w:rPr>
                <w:rFonts w:ascii="Arial" w:hAnsi="Arial"/>
                <w:sz w:val="14"/>
              </w:rPr>
              <w:t>OCC</w:t>
            </w:r>
          </w:p>
        </w:tc>
        <w:tc>
          <w:tcPr>
            <w:tcW w:type="dxa" w:w="2494"/>
          </w:tcPr>
          <w:p>
            <w:pPr>
              <w:pStyle w:val="TableText"/>
            </w:pPr>
            <w:r>
              <w:rPr>
                <w:rFonts w:ascii="Arial" w:hAnsi="Arial"/>
                <w:sz w:val="14"/>
              </w:rPr>
              <w:t>Comptroller's Handbook — Model Risk Management booklet</w:t>
            </w:r>
          </w:p>
        </w:tc>
        <w:tc>
          <w:tcPr>
            <w:tcW w:type="dxa" w:w="1304"/>
          </w:tcPr>
          <w:p>
            <w:pPr>
              <w:pStyle w:val="TableText"/>
            </w:pPr>
            <w:r>
              <w:rPr>
                <w:rFonts w:ascii="Arial" w:hAnsi="Arial"/>
                <w:sz w:val="14"/>
              </w:rPr>
              <w:t>Aug 2021 (rescinded)</w:t>
            </w:r>
          </w:p>
        </w:tc>
        <w:tc>
          <w:tcPr>
            <w:tcW w:type="dxa" w:w="1701"/>
          </w:tcPr>
          <w:p>
            <w:pPr>
              <w:pStyle w:val="TableText"/>
            </w:pPr>
            <w:r>
              <w:rPr>
                <w:rFonts w:ascii="Arial" w:hAnsi="Arial"/>
                <w:sz w:val="14"/>
              </w:rPr>
              <w:t>Examiner handbook booklet, rescinded by OCC Bulletin 2026-13. Was guidance for OCC examiners, not a regulation.</w:t>
            </w:r>
          </w:p>
        </w:tc>
        <w:tc>
          <w:tcPr>
            <w:tcW w:type="dxa" w:w="1984"/>
          </w:tcPr>
          <w:p>
            <w:pPr>
              <w:pStyle w:val="TableText"/>
            </w:pPr>
            <w:r>
              <w:rPr>
                <w:rFonts w:ascii="Arial" w:hAnsi="Arial"/>
                <w:sz w:val="14"/>
              </w:rPr>
              <w:t>https://www.occ.gov/news-issuances/bulletins/2021/bulletin-2021-39.html</w:t>
            </w:r>
          </w:p>
        </w:tc>
      </w:tr>
      <w:tr>
        <w:tc>
          <w:tcPr>
            <w:tcW w:type="dxa" w:w="1077"/>
            <w:shd w:val="clear" w:color="auto" w:fill="F4F6FA"/>
          </w:tcPr>
          <w:p>
            <w:pPr>
              <w:pStyle w:val="TableText"/>
            </w:pPr>
            <w:r>
              <w:rPr>
                <w:rFonts w:ascii="Arial" w:hAnsi="Arial"/>
                <w:sz w:val="14"/>
              </w:rPr>
              <w:t>PRA-SS1-23</w:t>
            </w:r>
          </w:p>
        </w:tc>
        <w:tc>
          <w:tcPr>
            <w:tcW w:type="dxa" w:w="850"/>
            <w:shd w:val="clear" w:color="auto" w:fill="F4F6FA"/>
          </w:tcPr>
          <w:p>
            <w:pPr>
              <w:pStyle w:val="TableText"/>
            </w:pPr>
            <w:r>
              <w:rPr>
                <w:rFonts w:ascii="Arial" w:hAnsi="Arial"/>
                <w:sz w:val="14"/>
              </w:rPr>
              <w:t>PRA</w:t>
            </w:r>
          </w:p>
        </w:tc>
        <w:tc>
          <w:tcPr>
            <w:tcW w:type="dxa" w:w="2494"/>
            <w:shd w:val="clear" w:color="auto" w:fill="F4F6FA"/>
          </w:tcPr>
          <w:p>
            <w:pPr>
              <w:pStyle w:val="TableText"/>
            </w:pPr>
            <w:r>
              <w:rPr>
                <w:rFonts w:ascii="Arial" w:hAnsi="Arial"/>
                <w:sz w:val="14"/>
              </w:rPr>
              <w:t>SS1/23 — Model risk management principles for banks</w:t>
            </w:r>
          </w:p>
        </w:tc>
        <w:tc>
          <w:tcPr>
            <w:tcW w:type="dxa" w:w="1304"/>
            <w:shd w:val="clear" w:color="auto" w:fill="F4F6FA"/>
          </w:tcPr>
          <w:p>
            <w:pPr>
              <w:pStyle w:val="TableText"/>
            </w:pPr>
            <w:r>
              <w:rPr>
                <w:rFonts w:ascii="Arial" w:hAnsi="Arial"/>
                <w:sz w:val="14"/>
              </w:rPr>
              <w:t>17 May 2023; upd. 16 Apr 2026</w:t>
            </w:r>
          </w:p>
        </w:tc>
        <w:tc>
          <w:tcPr>
            <w:tcW w:type="dxa" w:w="1701"/>
            <w:shd w:val="clear" w:color="auto" w:fill="F4F6FA"/>
          </w:tcPr>
          <w:p>
            <w:pPr>
              <w:pStyle w:val="TableText"/>
            </w:pPr>
            <w:r>
              <w:rPr>
                <w:rFonts w:ascii="Arial" w:hAnsi="Arial"/>
                <w:sz w:val="14"/>
              </w:rPr>
              <w:t>Supervisory statement setting out PRA expectations. Not a PRA Rulebook instrument and not binding law.</w:t>
            </w:r>
          </w:p>
        </w:tc>
        <w:tc>
          <w:tcPr>
            <w:tcW w:type="dxa" w:w="1984"/>
            <w:shd w:val="clear" w:color="auto" w:fill="F4F6FA"/>
          </w:tcPr>
          <w:p>
            <w:pPr>
              <w:pStyle w:val="TableText"/>
            </w:pPr>
            <w:r>
              <w:rPr>
                <w:rFonts w:ascii="Arial" w:hAnsi="Arial"/>
                <w:sz w:val="14"/>
              </w:rPr>
              <w:t>https://www.bankofengland.co.uk/prudential-regulation/publication/2023/may/model-risk-management-principles-for-banks</w:t>
            </w:r>
          </w:p>
        </w:tc>
      </w:tr>
      <w:tr>
        <w:tc>
          <w:tcPr>
            <w:tcW w:type="dxa" w:w="1077"/>
          </w:tcPr>
          <w:p>
            <w:pPr>
              <w:pStyle w:val="TableText"/>
            </w:pPr>
            <w:r>
              <w:rPr>
                <w:rFonts w:ascii="Arial" w:hAnsi="Arial"/>
                <w:sz w:val="14"/>
              </w:rPr>
              <w:t>PRA-PS6-23</w:t>
            </w:r>
          </w:p>
        </w:tc>
        <w:tc>
          <w:tcPr>
            <w:tcW w:type="dxa" w:w="850"/>
          </w:tcPr>
          <w:p>
            <w:pPr>
              <w:pStyle w:val="TableText"/>
            </w:pPr>
            <w:r>
              <w:rPr>
                <w:rFonts w:ascii="Arial" w:hAnsi="Arial"/>
                <w:sz w:val="14"/>
              </w:rPr>
              <w:t>PRA</w:t>
            </w:r>
          </w:p>
        </w:tc>
        <w:tc>
          <w:tcPr>
            <w:tcW w:type="dxa" w:w="2494"/>
          </w:tcPr>
          <w:p>
            <w:pPr>
              <w:pStyle w:val="TableText"/>
            </w:pPr>
            <w:r>
              <w:rPr>
                <w:rFonts w:ascii="Arial" w:hAnsi="Arial"/>
                <w:sz w:val="14"/>
              </w:rPr>
              <w:t>PS6/23 — Model risk management principles for banks (Policy Statement)</w:t>
            </w:r>
          </w:p>
        </w:tc>
        <w:tc>
          <w:tcPr>
            <w:tcW w:type="dxa" w:w="1304"/>
          </w:tcPr>
          <w:p>
            <w:pPr>
              <w:pStyle w:val="TableText"/>
            </w:pPr>
            <w:r>
              <w:rPr>
                <w:rFonts w:ascii="Arial" w:hAnsi="Arial"/>
                <w:sz w:val="14"/>
              </w:rPr>
              <w:t>17 May 2023</w:t>
            </w:r>
          </w:p>
        </w:tc>
        <w:tc>
          <w:tcPr>
            <w:tcW w:type="dxa" w:w="1701"/>
          </w:tcPr>
          <w:p>
            <w:pPr>
              <w:pStyle w:val="TableText"/>
            </w:pPr>
            <w:r>
              <w:rPr>
                <w:rFonts w:ascii="Arial" w:hAnsi="Arial"/>
                <w:sz w:val="14"/>
              </w:rPr>
              <w:t>Policy statement. Explains the final policy and feedback; the operative expectations sit in SS1/23.</w:t>
            </w:r>
          </w:p>
        </w:tc>
        <w:tc>
          <w:tcPr>
            <w:tcW w:type="dxa" w:w="1984"/>
          </w:tcPr>
          <w:p>
            <w:pPr>
              <w:pStyle w:val="TableText"/>
            </w:pPr>
            <w:r>
              <w:rPr>
                <w:rFonts w:ascii="Arial" w:hAnsi="Arial"/>
                <w:sz w:val="14"/>
              </w:rPr>
              <w:t>https://www.bankofengland.co.uk/prudential-regulation/publication/2023/may/model-risk-management-principles-for-banks</w:t>
            </w:r>
          </w:p>
        </w:tc>
      </w:tr>
      <w:tr>
        <w:tc>
          <w:tcPr>
            <w:tcW w:type="dxa" w:w="1077"/>
            <w:shd w:val="clear" w:color="auto" w:fill="F4F6FA"/>
          </w:tcPr>
          <w:p>
            <w:pPr>
              <w:pStyle w:val="TableText"/>
            </w:pPr>
            <w:r>
              <w:rPr>
                <w:rFonts w:ascii="Arial" w:hAnsi="Arial"/>
                <w:sz w:val="14"/>
              </w:rPr>
              <w:t>PRA-SS3-18</w:t>
            </w:r>
          </w:p>
        </w:tc>
        <w:tc>
          <w:tcPr>
            <w:tcW w:type="dxa" w:w="850"/>
            <w:shd w:val="clear" w:color="auto" w:fill="F4F6FA"/>
          </w:tcPr>
          <w:p>
            <w:pPr>
              <w:pStyle w:val="TableText"/>
            </w:pPr>
            <w:r>
              <w:rPr>
                <w:rFonts w:ascii="Arial" w:hAnsi="Arial"/>
                <w:sz w:val="14"/>
              </w:rPr>
              <w:t>PRA</w:t>
            </w:r>
          </w:p>
        </w:tc>
        <w:tc>
          <w:tcPr>
            <w:tcW w:type="dxa" w:w="2494"/>
            <w:shd w:val="clear" w:color="auto" w:fill="F4F6FA"/>
          </w:tcPr>
          <w:p>
            <w:pPr>
              <w:pStyle w:val="TableText"/>
            </w:pPr>
            <w:r>
              <w:rPr>
                <w:rFonts w:ascii="Arial" w:hAnsi="Arial"/>
                <w:sz w:val="14"/>
              </w:rPr>
              <w:t>SS3/18 — Model risk management principles for stress testing</w:t>
            </w:r>
          </w:p>
        </w:tc>
        <w:tc>
          <w:tcPr>
            <w:tcW w:type="dxa" w:w="1304"/>
            <w:shd w:val="clear" w:color="auto" w:fill="F4F6FA"/>
          </w:tcPr>
          <w:p>
            <w:pPr>
              <w:pStyle w:val="TableText"/>
            </w:pPr>
            <w:r>
              <w:rPr>
                <w:rFonts w:ascii="Arial" w:hAnsi="Arial"/>
                <w:sz w:val="14"/>
              </w:rPr>
              <w:t>Apr 2018; upd. Apr 2026</w:t>
            </w:r>
          </w:p>
        </w:tc>
        <w:tc>
          <w:tcPr>
            <w:tcW w:type="dxa" w:w="1701"/>
            <w:shd w:val="clear" w:color="auto" w:fill="F4F6FA"/>
          </w:tcPr>
          <w:p>
            <w:pPr>
              <w:pStyle w:val="TableText"/>
            </w:pPr>
            <w:r>
              <w:rPr>
                <w:rFonts w:ascii="Arial" w:hAnsi="Arial"/>
                <w:sz w:val="14"/>
              </w:rPr>
              <w:t>Supervisory statement. PRA expectations, not binding law.</w:t>
            </w:r>
          </w:p>
        </w:tc>
        <w:tc>
          <w:tcPr>
            <w:tcW w:type="dxa" w:w="1984"/>
            <w:shd w:val="clear" w:color="auto" w:fill="F4F6FA"/>
          </w:tcPr>
          <w:p>
            <w:pPr>
              <w:pStyle w:val="TableText"/>
            </w:pPr>
            <w:r>
              <w:rPr>
                <w:rFonts w:ascii="Arial" w:hAnsi="Arial"/>
                <w:sz w:val="14"/>
              </w:rPr>
              <w:t>https://www.bankofengland.co.uk/prudential-regulation/publication/2018/model-risk-management-principles-for-stress-testing-ss</w:t>
            </w:r>
          </w:p>
        </w:tc>
      </w:tr>
      <w:tr>
        <w:tc>
          <w:tcPr>
            <w:tcW w:type="dxa" w:w="1077"/>
          </w:tcPr>
          <w:p>
            <w:pPr>
              <w:pStyle w:val="TableText"/>
            </w:pPr>
            <w:r>
              <w:rPr>
                <w:rFonts w:ascii="Arial" w:hAnsi="Arial"/>
                <w:sz w:val="14"/>
              </w:rPr>
              <w:t>OSFI-E23</w:t>
            </w:r>
          </w:p>
        </w:tc>
        <w:tc>
          <w:tcPr>
            <w:tcW w:type="dxa" w:w="850"/>
          </w:tcPr>
          <w:p>
            <w:pPr>
              <w:pStyle w:val="TableText"/>
            </w:pPr>
            <w:r>
              <w:rPr>
                <w:rFonts w:ascii="Arial" w:hAnsi="Arial"/>
                <w:sz w:val="14"/>
              </w:rPr>
              <w:t>OSFI</w:t>
            </w:r>
          </w:p>
        </w:tc>
        <w:tc>
          <w:tcPr>
            <w:tcW w:type="dxa" w:w="2494"/>
          </w:tcPr>
          <w:p>
            <w:pPr>
              <w:pStyle w:val="TableText"/>
            </w:pPr>
            <w:r>
              <w:rPr>
                <w:rFonts w:ascii="Arial" w:hAnsi="Arial"/>
                <w:sz w:val="14"/>
              </w:rPr>
              <w:t>Guideline E-23 — Model Risk Management (2027)</w:t>
            </w:r>
          </w:p>
        </w:tc>
        <w:tc>
          <w:tcPr>
            <w:tcW w:type="dxa" w:w="1304"/>
          </w:tcPr>
          <w:p>
            <w:pPr>
              <w:pStyle w:val="TableText"/>
            </w:pPr>
            <w:r>
              <w:rPr>
                <w:rFonts w:ascii="Arial" w:hAnsi="Arial"/>
                <w:sz w:val="14"/>
              </w:rPr>
              <w:t>11 Sep 2025; eff. 1 May 2027</w:t>
            </w:r>
          </w:p>
        </w:tc>
        <w:tc>
          <w:tcPr>
            <w:tcW w:type="dxa" w:w="1701"/>
          </w:tcPr>
          <w:p>
            <w:pPr>
              <w:pStyle w:val="TableText"/>
            </w:pPr>
            <w:r>
              <w:rPr>
                <w:rFonts w:ascii="Arial" w:hAnsi="Arial"/>
                <w:sz w:val="14"/>
              </w:rPr>
              <w:t>Final supervisory guideline. Not yet in effect at the as-of date. Sound Business and Financial Practices category.</w:t>
            </w:r>
          </w:p>
        </w:tc>
        <w:tc>
          <w:tcPr>
            <w:tcW w:type="dxa" w:w="1984"/>
          </w:tcPr>
          <w:p>
            <w:pPr>
              <w:pStyle w:val="TableText"/>
            </w:pPr>
            <w:r>
              <w:rPr>
                <w:rFonts w:ascii="Arial" w:hAnsi="Arial"/>
                <w:sz w:val="14"/>
              </w:rPr>
              <w:t>https://www.osfi-bsif.gc.ca/en/guidance/guidance-library/guideline-e-23-model-risk-management-2027</w:t>
            </w:r>
          </w:p>
        </w:tc>
      </w:tr>
      <w:tr>
        <w:tc>
          <w:tcPr>
            <w:tcW w:type="dxa" w:w="1077"/>
            <w:shd w:val="clear" w:color="auto" w:fill="F4F6FA"/>
          </w:tcPr>
          <w:p>
            <w:pPr>
              <w:pStyle w:val="TableText"/>
            </w:pPr>
            <w:r>
              <w:rPr>
                <w:rFonts w:ascii="Arial" w:hAnsi="Arial"/>
                <w:sz w:val="14"/>
              </w:rPr>
              <w:t>OSFI-E23-2017</w:t>
            </w:r>
          </w:p>
        </w:tc>
        <w:tc>
          <w:tcPr>
            <w:tcW w:type="dxa" w:w="850"/>
            <w:shd w:val="clear" w:color="auto" w:fill="F4F6FA"/>
          </w:tcPr>
          <w:p>
            <w:pPr>
              <w:pStyle w:val="TableText"/>
            </w:pPr>
            <w:r>
              <w:rPr>
                <w:rFonts w:ascii="Arial" w:hAnsi="Arial"/>
                <w:sz w:val="14"/>
              </w:rPr>
              <w:t>OSFI</w:t>
            </w:r>
          </w:p>
        </w:tc>
        <w:tc>
          <w:tcPr>
            <w:tcW w:type="dxa" w:w="2494"/>
            <w:shd w:val="clear" w:color="auto" w:fill="F4F6FA"/>
          </w:tcPr>
          <w:p>
            <w:pPr>
              <w:pStyle w:val="TableText"/>
            </w:pPr>
            <w:r>
              <w:rPr>
                <w:rFonts w:ascii="Arial" w:hAnsi="Arial"/>
                <w:sz w:val="14"/>
              </w:rPr>
              <w:t>Guideline E-23 — Enterprise-Wide Model Risk Management for Deposit-Taking Institutions (2017)</w:t>
            </w:r>
          </w:p>
        </w:tc>
        <w:tc>
          <w:tcPr>
            <w:tcW w:type="dxa" w:w="1304"/>
            <w:shd w:val="clear" w:color="auto" w:fill="F4F6FA"/>
          </w:tcPr>
          <w:p>
            <w:pPr>
              <w:pStyle w:val="TableText"/>
            </w:pPr>
            <w:r>
              <w:rPr>
                <w:rFonts w:ascii="Arial" w:hAnsi="Arial"/>
                <w:sz w:val="14"/>
              </w:rPr>
              <w:t>Sep 2017 (superseded)</w:t>
            </w:r>
          </w:p>
        </w:tc>
        <w:tc>
          <w:tcPr>
            <w:tcW w:type="dxa" w:w="1701"/>
            <w:shd w:val="clear" w:color="auto" w:fill="F4F6FA"/>
          </w:tcPr>
          <w:p>
            <w:pPr>
              <w:pStyle w:val="TableText"/>
            </w:pPr>
            <w:r>
              <w:rPr>
                <w:rFonts w:ascii="Arial" w:hAnsi="Arial"/>
                <w:sz w:val="14"/>
              </w:rPr>
              <w:t>Supervisory guideline. OSFI's guidance library presents the 2027 guideline as its replacement from 1 May 2027, but no express supersession clause was located in either the 2027 guideline or its covering letter, so the relationship is stated as OSFI presents it rather than as a quoted provision.</w:t>
            </w:r>
          </w:p>
        </w:tc>
        <w:tc>
          <w:tcPr>
            <w:tcW w:type="dxa" w:w="1984"/>
            <w:shd w:val="clear" w:color="auto" w:fill="F4F6FA"/>
          </w:tcPr>
          <w:p>
            <w:pPr>
              <w:pStyle w:val="TableText"/>
            </w:pPr>
            <w:r>
              <w:rPr>
                <w:rFonts w:ascii="Arial" w:hAnsi="Arial"/>
                <w:sz w:val="14"/>
              </w:rPr>
              <w:t>https://www.osfi-bsif.gc.ca/en/guidance/guidance-library/enterprise-wide-model-risk-management-deposit-taking-institutions</w:t>
            </w:r>
          </w:p>
        </w:tc>
      </w:tr>
      <w:tr>
        <w:tc>
          <w:tcPr>
            <w:tcW w:type="dxa" w:w="1077"/>
          </w:tcPr>
          <w:p>
            <w:pPr>
              <w:pStyle w:val="TableText"/>
            </w:pPr>
            <w:r>
              <w:rPr>
                <w:rFonts w:ascii="Arial" w:hAnsi="Arial"/>
                <w:sz w:val="14"/>
              </w:rPr>
              <w:t>OSFI-B10</w:t>
            </w:r>
          </w:p>
        </w:tc>
        <w:tc>
          <w:tcPr>
            <w:tcW w:type="dxa" w:w="850"/>
          </w:tcPr>
          <w:p>
            <w:pPr>
              <w:pStyle w:val="TableText"/>
            </w:pPr>
            <w:r>
              <w:rPr>
                <w:rFonts w:ascii="Arial" w:hAnsi="Arial"/>
                <w:sz w:val="14"/>
              </w:rPr>
              <w:t>OSFI</w:t>
            </w:r>
          </w:p>
        </w:tc>
        <w:tc>
          <w:tcPr>
            <w:tcW w:type="dxa" w:w="2494"/>
          </w:tcPr>
          <w:p>
            <w:pPr>
              <w:pStyle w:val="TableText"/>
            </w:pPr>
            <w:r>
              <w:rPr>
                <w:rFonts w:ascii="Arial" w:hAnsi="Arial"/>
                <w:sz w:val="14"/>
              </w:rPr>
              <w:t>Guideline B-10 — Third-Party Risk Management</w:t>
            </w:r>
          </w:p>
        </w:tc>
        <w:tc>
          <w:tcPr>
            <w:tcW w:type="dxa" w:w="1304"/>
          </w:tcPr>
          <w:p>
            <w:pPr>
              <w:pStyle w:val="TableText"/>
            </w:pPr>
            <w:r>
              <w:rPr>
                <w:rFonts w:ascii="Arial" w:hAnsi="Arial"/>
                <w:sz w:val="14"/>
              </w:rPr>
              <w:t>Apr 2023; eff. 1 May 2024</w:t>
            </w:r>
          </w:p>
        </w:tc>
        <w:tc>
          <w:tcPr>
            <w:tcW w:type="dxa" w:w="1701"/>
          </w:tcPr>
          <w:p>
            <w:pPr>
              <w:pStyle w:val="TableText"/>
            </w:pPr>
            <w:r>
              <w:rPr>
                <w:rFonts w:ascii="Arial" w:hAnsi="Arial"/>
                <w:sz w:val="14"/>
              </w:rPr>
              <w:t>Supervisory guideline.</w:t>
            </w:r>
          </w:p>
        </w:tc>
        <w:tc>
          <w:tcPr>
            <w:tcW w:type="dxa" w:w="1984"/>
          </w:tcPr>
          <w:p>
            <w:pPr>
              <w:pStyle w:val="TableText"/>
            </w:pPr>
            <w:r>
              <w:rPr>
                <w:rFonts w:ascii="Arial" w:hAnsi="Arial"/>
                <w:sz w:val="14"/>
              </w:rPr>
              <w:t>https://www.osfi-bsif.gc.ca/en/guidance/guidance-library/third-party-risk-management-guideline</w:t>
            </w:r>
          </w:p>
        </w:tc>
      </w:tr>
      <w:tr>
        <w:tc>
          <w:tcPr>
            <w:tcW w:type="dxa" w:w="1077"/>
            <w:shd w:val="clear" w:color="auto" w:fill="F4F6FA"/>
          </w:tcPr>
          <w:p>
            <w:pPr>
              <w:pStyle w:val="TableText"/>
            </w:pPr>
            <w:r>
              <w:rPr>
                <w:rFonts w:ascii="Arial" w:hAnsi="Arial"/>
                <w:sz w:val="14"/>
              </w:rPr>
              <w:t>ECB-GIM</w:t>
            </w:r>
          </w:p>
        </w:tc>
        <w:tc>
          <w:tcPr>
            <w:tcW w:type="dxa" w:w="850"/>
            <w:shd w:val="clear" w:color="auto" w:fill="F4F6FA"/>
          </w:tcPr>
          <w:p>
            <w:pPr>
              <w:pStyle w:val="TableText"/>
            </w:pPr>
            <w:r>
              <w:rPr>
                <w:rFonts w:ascii="Arial" w:hAnsi="Arial"/>
                <w:sz w:val="14"/>
              </w:rPr>
              <w:t>ECB</w:t>
            </w:r>
          </w:p>
        </w:tc>
        <w:tc>
          <w:tcPr>
            <w:tcW w:type="dxa" w:w="2494"/>
            <w:shd w:val="clear" w:color="auto" w:fill="F4F6FA"/>
          </w:tcPr>
          <w:p>
            <w:pPr>
              <w:pStyle w:val="TableText"/>
            </w:pPr>
            <w:r>
              <w:rPr>
                <w:rFonts w:ascii="Arial" w:hAnsi="Arial"/>
                <w:sz w:val="14"/>
              </w:rPr>
              <w:t>ECB Guide to internal models</w:t>
            </w:r>
          </w:p>
        </w:tc>
        <w:tc>
          <w:tcPr>
            <w:tcW w:type="dxa" w:w="1304"/>
            <w:shd w:val="clear" w:color="auto" w:fill="F4F6FA"/>
          </w:tcPr>
          <w:p>
            <w:pPr>
              <w:pStyle w:val="TableText"/>
            </w:pPr>
            <w:r>
              <w:rPr>
                <w:rFonts w:ascii="Arial" w:hAnsi="Arial"/>
                <w:sz w:val="14"/>
              </w:rPr>
              <w:t>Jun 2026 (rel. 4.1)</w:t>
            </w:r>
          </w:p>
        </w:tc>
        <w:tc>
          <w:tcPr>
            <w:tcW w:type="dxa" w:w="1701"/>
            <w:shd w:val="clear" w:color="auto" w:fill="F4F6FA"/>
          </w:tcPr>
          <w:p>
            <w:pPr>
              <w:pStyle w:val="TableText"/>
            </w:pPr>
            <w:r>
              <w:rPr>
                <w:rFonts w:ascii="Arial" w:hAnsi="Arial"/>
                <w:sz w:val="14"/>
              </w:rPr>
              <w:t>Supervisory guide. Sets out how the ECB understands and applies binding EU law; the guide itself is not a legal act and does not create obligations beyond the CRR.</w:t>
            </w:r>
          </w:p>
        </w:tc>
        <w:tc>
          <w:tcPr>
            <w:tcW w:type="dxa" w:w="1984"/>
            <w:shd w:val="clear" w:color="auto" w:fill="F4F6FA"/>
          </w:tcPr>
          <w:p>
            <w:pPr>
              <w:pStyle w:val="TableText"/>
            </w:pPr>
            <w:r>
              <w:rPr>
                <w:rFonts w:ascii="Arial" w:hAnsi="Arial"/>
                <w:sz w:val="14"/>
              </w:rPr>
              <w:t>https://www.bankingsupervision.europa.eu/activities/internal_models/html/index.en.html</w:t>
            </w:r>
          </w:p>
        </w:tc>
      </w:tr>
      <w:tr>
        <w:tc>
          <w:tcPr>
            <w:tcW w:type="dxa" w:w="1077"/>
          </w:tcPr>
          <w:p>
            <w:pPr>
              <w:pStyle w:val="TableText"/>
            </w:pPr>
            <w:r>
              <w:rPr>
                <w:rFonts w:ascii="Arial" w:hAnsi="Arial"/>
                <w:sz w:val="14"/>
              </w:rPr>
              <w:t>ECB-CRR</w:t>
            </w:r>
          </w:p>
        </w:tc>
        <w:tc>
          <w:tcPr>
            <w:tcW w:type="dxa" w:w="850"/>
          </w:tcPr>
          <w:p>
            <w:pPr>
              <w:pStyle w:val="TableText"/>
            </w:pPr>
            <w:r>
              <w:rPr>
                <w:rFonts w:ascii="Arial" w:hAnsi="Arial"/>
                <w:sz w:val="14"/>
              </w:rPr>
              <w:t>EU</w:t>
            </w:r>
          </w:p>
        </w:tc>
        <w:tc>
          <w:tcPr>
            <w:tcW w:type="dxa" w:w="2494"/>
          </w:tcPr>
          <w:p>
            <w:pPr>
              <w:pStyle w:val="TableText"/>
            </w:pPr>
            <w:r>
              <w:rPr>
                <w:rFonts w:ascii="Arial" w:hAnsi="Arial"/>
                <w:sz w:val="14"/>
              </w:rPr>
              <w:t>Regulation (EU) No 575/2013 (Capital Requirements Regulation), internal model provisions: Article 174 Use of models, Article 179 Overall requirements for estimation, Article 185 Validation of internal estimates, Article 188 Validation and documentation, Article 189 Corporate governance, Article 191 Internal audit</w:t>
            </w:r>
          </w:p>
        </w:tc>
        <w:tc>
          <w:tcPr>
            <w:tcW w:type="dxa" w:w="1304"/>
          </w:tcPr>
          <w:p>
            <w:pPr>
              <w:pStyle w:val="TableText"/>
            </w:pPr>
            <w:r>
              <w:rPr>
                <w:rFonts w:ascii="Arial" w:hAnsi="Arial"/>
                <w:sz w:val="14"/>
              </w:rPr>
              <w:t>2013, as amended</w:t>
            </w:r>
          </w:p>
        </w:tc>
        <w:tc>
          <w:tcPr>
            <w:tcW w:type="dxa" w:w="1701"/>
          </w:tcPr>
          <w:p>
            <w:pPr>
              <w:pStyle w:val="TableText"/>
            </w:pPr>
            <w:r>
              <w:rPr>
                <w:rFonts w:ascii="Arial" w:hAnsi="Arial"/>
                <w:sz w:val="14"/>
              </w:rPr>
              <w:t>Binding EU regulation, directly applicable in Member States. This is the binding law that the ECB guide interprets.</w:t>
            </w:r>
          </w:p>
        </w:tc>
        <w:tc>
          <w:tcPr>
            <w:tcW w:type="dxa" w:w="1984"/>
          </w:tcPr>
          <w:p>
            <w:pPr>
              <w:pStyle w:val="TableText"/>
            </w:pPr>
            <w:r>
              <w:rPr>
                <w:rFonts w:ascii="Arial" w:hAnsi="Arial"/>
                <w:sz w:val="14"/>
              </w:rPr>
              <w:t>https://eur-lex.europa.eu/legal-content/EN/TXT/?uri=CELEX%3A32013R0575</w:t>
            </w:r>
          </w:p>
        </w:tc>
      </w:tr>
      <w:tr>
        <w:tc>
          <w:tcPr>
            <w:tcW w:type="dxa" w:w="1077"/>
            <w:shd w:val="clear" w:color="auto" w:fill="F4F6FA"/>
          </w:tcPr>
          <w:p>
            <w:pPr>
              <w:pStyle w:val="TableText"/>
            </w:pPr>
            <w:r>
              <w:rPr>
                <w:rFonts w:ascii="Arial" w:hAnsi="Arial"/>
                <w:sz w:val="14"/>
              </w:rPr>
              <w:t>ECB-RDARR</w:t>
            </w:r>
          </w:p>
        </w:tc>
        <w:tc>
          <w:tcPr>
            <w:tcW w:type="dxa" w:w="850"/>
            <w:shd w:val="clear" w:color="auto" w:fill="F4F6FA"/>
          </w:tcPr>
          <w:p>
            <w:pPr>
              <w:pStyle w:val="TableText"/>
            </w:pPr>
            <w:r>
              <w:rPr>
                <w:rFonts w:ascii="Arial" w:hAnsi="Arial"/>
                <w:sz w:val="14"/>
              </w:rPr>
              <w:t>ECB</w:t>
            </w:r>
          </w:p>
        </w:tc>
        <w:tc>
          <w:tcPr>
            <w:tcW w:type="dxa" w:w="2494"/>
            <w:shd w:val="clear" w:color="auto" w:fill="F4F6FA"/>
          </w:tcPr>
          <w:p>
            <w:pPr>
              <w:pStyle w:val="TableText"/>
            </w:pPr>
            <w:r>
              <w:rPr>
                <w:rFonts w:ascii="Arial" w:hAnsi="Arial"/>
                <w:sz w:val="14"/>
              </w:rPr>
              <w:t>Guide on effective risk data aggregation and risk reporting</w:t>
            </w:r>
          </w:p>
        </w:tc>
        <w:tc>
          <w:tcPr>
            <w:tcW w:type="dxa" w:w="1304"/>
            <w:shd w:val="clear" w:color="auto" w:fill="F4F6FA"/>
          </w:tcPr>
          <w:p>
            <w:pPr>
              <w:pStyle w:val="TableText"/>
            </w:pPr>
            <w:r>
              <w:rPr>
                <w:rFonts w:ascii="Arial" w:hAnsi="Arial"/>
                <w:sz w:val="14"/>
              </w:rPr>
              <w:t>May 2024</w:t>
            </w:r>
          </w:p>
        </w:tc>
        <w:tc>
          <w:tcPr>
            <w:tcW w:type="dxa" w:w="1701"/>
            <w:shd w:val="clear" w:color="auto" w:fill="F4F6FA"/>
          </w:tcPr>
          <w:p>
            <w:pPr>
              <w:pStyle w:val="TableText"/>
            </w:pPr>
            <w:r>
              <w:rPr>
                <w:rFonts w:ascii="Arial" w:hAnsi="Arial"/>
                <w:sz w:val="14"/>
              </w:rPr>
              <w:t>Supervisory guide. Sets out ECB expectations; not a legal act.</w:t>
            </w:r>
          </w:p>
        </w:tc>
        <w:tc>
          <w:tcPr>
            <w:tcW w:type="dxa" w:w="1984"/>
            <w:shd w:val="clear" w:color="auto" w:fill="F4F6FA"/>
          </w:tcPr>
          <w:p>
            <w:pPr>
              <w:pStyle w:val="TableText"/>
            </w:pPr>
            <w:r>
              <w:rPr>
                <w:rFonts w:ascii="Arial" w:hAnsi="Arial"/>
                <w:sz w:val="14"/>
              </w:rPr>
              <w:t>https://www.bankingsupervision.europa.eu/framework/legal-framework/public-consultations/html/rdarr.en.html</w:t>
            </w:r>
          </w:p>
        </w:tc>
      </w:tr>
      <w:tr>
        <w:tc>
          <w:tcPr>
            <w:tcW w:type="dxa" w:w="1077"/>
          </w:tcPr>
          <w:p>
            <w:pPr>
              <w:pStyle w:val="TableText"/>
            </w:pPr>
            <w:r>
              <w:rPr>
                <w:rFonts w:ascii="Arial" w:hAnsi="Arial"/>
                <w:sz w:val="14"/>
              </w:rPr>
              <w:t>MAS-AIMRM-2024</w:t>
            </w:r>
          </w:p>
        </w:tc>
        <w:tc>
          <w:tcPr>
            <w:tcW w:type="dxa" w:w="850"/>
          </w:tcPr>
          <w:p>
            <w:pPr>
              <w:pStyle w:val="TableText"/>
            </w:pPr>
            <w:r>
              <w:rPr>
                <w:rFonts w:ascii="Arial" w:hAnsi="Arial"/>
                <w:sz w:val="14"/>
              </w:rPr>
              <w:t>MAS</w:t>
            </w:r>
          </w:p>
        </w:tc>
        <w:tc>
          <w:tcPr>
            <w:tcW w:type="dxa" w:w="2494"/>
          </w:tcPr>
          <w:p>
            <w:pPr>
              <w:pStyle w:val="TableText"/>
            </w:pPr>
            <w:r>
              <w:rPr>
                <w:rFonts w:ascii="Arial" w:hAnsi="Arial"/>
                <w:sz w:val="14"/>
              </w:rPr>
              <w:t>Artificial Intelligence Model Risk Management — Observations from a Thematic Review</w:t>
            </w:r>
          </w:p>
        </w:tc>
        <w:tc>
          <w:tcPr>
            <w:tcW w:type="dxa" w:w="1304"/>
          </w:tcPr>
          <w:p>
            <w:pPr>
              <w:pStyle w:val="TableText"/>
            </w:pPr>
            <w:r>
              <w:rPr>
                <w:rFonts w:ascii="Arial" w:hAnsi="Arial"/>
                <w:sz w:val="14"/>
              </w:rPr>
              <w:t>Dec 2024</w:t>
            </w:r>
          </w:p>
        </w:tc>
        <w:tc>
          <w:tcPr>
            <w:tcW w:type="dxa" w:w="1701"/>
          </w:tcPr>
          <w:p>
            <w:pPr>
              <w:pStyle w:val="TableText"/>
            </w:pPr>
            <w:r>
              <w:rPr>
                <w:rFonts w:ascii="Arial" w:hAnsi="Arial"/>
                <w:sz w:val="14"/>
              </w:rPr>
              <w:t>Information paper describing observed good practices. Not mandatory guidelines and not a Notice.</w:t>
            </w:r>
          </w:p>
        </w:tc>
        <w:tc>
          <w:tcPr>
            <w:tcW w:type="dxa" w:w="1984"/>
          </w:tcPr>
          <w:p>
            <w:pPr>
              <w:pStyle w:val="TableText"/>
            </w:pPr>
            <w:r>
              <w:rPr>
                <w:rFonts w:ascii="Arial" w:hAnsi="Arial"/>
                <w:sz w:val="14"/>
              </w:rPr>
              <w:t>https://www.mas.gov.sg/publications/monographs-or-information-paper/2024/artificial-intelligence-model-risk-management</w:t>
            </w:r>
          </w:p>
        </w:tc>
      </w:tr>
      <w:tr>
        <w:tc>
          <w:tcPr>
            <w:tcW w:type="dxa" w:w="1077"/>
            <w:shd w:val="clear" w:color="auto" w:fill="F4F6FA"/>
          </w:tcPr>
          <w:p>
            <w:pPr>
              <w:pStyle w:val="TableText"/>
            </w:pPr>
            <w:r>
              <w:rPr>
                <w:rFonts w:ascii="Arial" w:hAnsi="Arial"/>
                <w:sz w:val="14"/>
              </w:rPr>
              <w:t>MAS-FEAT</w:t>
            </w:r>
          </w:p>
        </w:tc>
        <w:tc>
          <w:tcPr>
            <w:tcW w:type="dxa" w:w="850"/>
            <w:shd w:val="clear" w:color="auto" w:fill="F4F6FA"/>
          </w:tcPr>
          <w:p>
            <w:pPr>
              <w:pStyle w:val="TableText"/>
            </w:pPr>
            <w:r>
              <w:rPr>
                <w:rFonts w:ascii="Arial" w:hAnsi="Arial"/>
                <w:sz w:val="14"/>
              </w:rPr>
              <w:t>MAS</w:t>
            </w:r>
          </w:p>
        </w:tc>
        <w:tc>
          <w:tcPr>
            <w:tcW w:type="dxa" w:w="2494"/>
            <w:shd w:val="clear" w:color="auto" w:fill="F4F6FA"/>
          </w:tcPr>
          <w:p>
            <w:pPr>
              <w:pStyle w:val="TableText"/>
            </w:pPr>
            <w:r>
              <w:rPr>
                <w:rFonts w:ascii="Arial" w:hAnsi="Arial"/>
                <w:sz w:val="14"/>
              </w:rPr>
              <w:t>Principles to Promote Fairness, Ethics, Accountability and Transparency (FEAT) in the Use of Artificial Intelligence and Data Analytics in Singapore's Financial Sector</w:t>
            </w:r>
          </w:p>
        </w:tc>
        <w:tc>
          <w:tcPr>
            <w:tcW w:type="dxa" w:w="1304"/>
            <w:shd w:val="clear" w:color="auto" w:fill="F4F6FA"/>
          </w:tcPr>
          <w:p>
            <w:pPr>
              <w:pStyle w:val="TableText"/>
            </w:pPr>
            <w:r>
              <w:rPr>
                <w:rFonts w:ascii="Arial" w:hAnsi="Arial"/>
                <w:sz w:val="14"/>
              </w:rPr>
              <w:t>Nov 2018</w:t>
            </w:r>
          </w:p>
        </w:tc>
        <w:tc>
          <w:tcPr>
            <w:tcW w:type="dxa" w:w="1701"/>
            <w:shd w:val="clear" w:color="auto" w:fill="F4F6FA"/>
          </w:tcPr>
          <w:p>
            <w:pPr>
              <w:pStyle w:val="TableText"/>
            </w:pPr>
            <w:r>
              <w:rPr>
                <w:rFonts w:ascii="Arial" w:hAnsi="Arial"/>
                <w:sz w:val="14"/>
              </w:rPr>
              <w:t>Voluntary principles. Not binding.</w:t>
            </w:r>
          </w:p>
        </w:tc>
        <w:tc>
          <w:tcPr>
            <w:tcW w:type="dxa" w:w="1984"/>
            <w:shd w:val="clear" w:color="auto" w:fill="F4F6FA"/>
          </w:tcPr>
          <w:p>
            <w:pPr>
              <w:pStyle w:val="TableText"/>
            </w:pPr>
            <w:r>
              <w:rPr>
                <w:rFonts w:ascii="Arial" w:hAnsi="Arial"/>
                <w:sz w:val="14"/>
              </w:rPr>
              <w:t>https://www.mas.gov.sg/publications/monographs-or-information-paper/2018/feat</w:t>
            </w:r>
          </w:p>
        </w:tc>
      </w:tr>
      <w:tr>
        <w:tc>
          <w:tcPr>
            <w:tcW w:type="dxa" w:w="1077"/>
          </w:tcPr>
          <w:p>
            <w:pPr>
              <w:pStyle w:val="TableText"/>
            </w:pPr>
            <w:r>
              <w:rPr>
                <w:rFonts w:ascii="Arial" w:hAnsi="Arial"/>
                <w:sz w:val="14"/>
              </w:rPr>
              <w:t>MAS-NOTICE637</w:t>
            </w:r>
          </w:p>
        </w:tc>
        <w:tc>
          <w:tcPr>
            <w:tcW w:type="dxa" w:w="850"/>
          </w:tcPr>
          <w:p>
            <w:pPr>
              <w:pStyle w:val="TableText"/>
            </w:pPr>
            <w:r>
              <w:rPr>
                <w:rFonts w:ascii="Arial" w:hAnsi="Arial"/>
                <w:sz w:val="14"/>
              </w:rPr>
              <w:t>MAS</w:t>
            </w:r>
          </w:p>
        </w:tc>
        <w:tc>
          <w:tcPr>
            <w:tcW w:type="dxa" w:w="2494"/>
          </w:tcPr>
          <w:p>
            <w:pPr>
              <w:pStyle w:val="TableText"/>
            </w:pPr>
            <w:r>
              <w:rPr>
                <w:rFonts w:ascii="Arial" w:hAnsi="Arial"/>
                <w:sz w:val="14"/>
              </w:rPr>
              <w:t>MAS Notice 637 — Risk Based Capital Adequacy Requirements for Banks Incorporated in Singapore</w:t>
            </w:r>
          </w:p>
        </w:tc>
        <w:tc>
          <w:tcPr>
            <w:tcW w:type="dxa" w:w="1304"/>
          </w:tcPr>
          <w:p>
            <w:pPr>
              <w:pStyle w:val="TableText"/>
            </w:pPr>
            <w:r>
              <w:rPr>
                <w:rFonts w:ascii="Arial" w:hAnsi="Arial"/>
                <w:sz w:val="14"/>
              </w:rPr>
              <w:t>As amended</w:t>
            </w:r>
          </w:p>
        </w:tc>
        <w:tc>
          <w:tcPr>
            <w:tcW w:type="dxa" w:w="1701"/>
          </w:tcPr>
          <w:p>
            <w:pPr>
              <w:pStyle w:val="TableText"/>
            </w:pPr>
            <w:r>
              <w:rPr>
                <w:rFonts w:ascii="Arial" w:hAnsi="Arial"/>
                <w:sz w:val="14"/>
              </w:rPr>
              <w:t>Binding Notice issued under the Banking Act. Legally enforceable in Singapore.</w:t>
            </w:r>
          </w:p>
        </w:tc>
        <w:tc>
          <w:tcPr>
            <w:tcW w:type="dxa" w:w="1984"/>
          </w:tcPr>
          <w:p>
            <w:pPr>
              <w:pStyle w:val="TableText"/>
            </w:pPr>
            <w:r>
              <w:rPr>
                <w:rFonts w:ascii="Arial" w:hAnsi="Arial"/>
                <w:sz w:val="14"/>
              </w:rPr>
              <w:t>https://www.mas.gov.sg/regulation/notices/notice-637</w:t>
            </w:r>
          </w:p>
        </w:tc>
      </w:tr>
      <w:tr>
        <w:tc>
          <w:tcPr>
            <w:tcW w:type="dxa" w:w="1077"/>
            <w:shd w:val="clear" w:color="auto" w:fill="F4F6FA"/>
          </w:tcPr>
          <w:p>
            <w:pPr>
              <w:pStyle w:val="TableText"/>
            </w:pPr>
            <w:r>
              <w:rPr>
                <w:rFonts w:ascii="Arial" w:hAnsi="Arial"/>
                <w:sz w:val="14"/>
              </w:rPr>
              <w:t>BCBS-239</w:t>
            </w:r>
          </w:p>
        </w:tc>
        <w:tc>
          <w:tcPr>
            <w:tcW w:type="dxa" w:w="850"/>
            <w:shd w:val="clear" w:color="auto" w:fill="F4F6FA"/>
          </w:tcPr>
          <w:p>
            <w:pPr>
              <w:pStyle w:val="TableText"/>
            </w:pPr>
            <w:r>
              <w:rPr>
                <w:rFonts w:ascii="Arial" w:hAnsi="Arial"/>
                <w:sz w:val="14"/>
              </w:rPr>
              <w:t>BCBS</w:t>
            </w:r>
          </w:p>
        </w:tc>
        <w:tc>
          <w:tcPr>
            <w:tcW w:type="dxa" w:w="2494"/>
            <w:shd w:val="clear" w:color="auto" w:fill="F4F6FA"/>
          </w:tcPr>
          <w:p>
            <w:pPr>
              <w:pStyle w:val="TableText"/>
            </w:pPr>
            <w:r>
              <w:rPr>
                <w:rFonts w:ascii="Arial" w:hAnsi="Arial"/>
                <w:sz w:val="14"/>
              </w:rPr>
              <w:t>Principles for effective risk data aggregation and risk reporting (BCBS 239)</w:t>
            </w:r>
          </w:p>
        </w:tc>
        <w:tc>
          <w:tcPr>
            <w:tcW w:type="dxa" w:w="1304"/>
            <w:shd w:val="clear" w:color="auto" w:fill="F4F6FA"/>
          </w:tcPr>
          <w:p>
            <w:pPr>
              <w:pStyle w:val="TableText"/>
            </w:pPr>
            <w:r>
              <w:rPr>
                <w:rFonts w:ascii="Arial" w:hAnsi="Arial"/>
                <w:sz w:val="14"/>
              </w:rPr>
              <w:t>Jan 2013</w:t>
            </w:r>
          </w:p>
        </w:tc>
        <w:tc>
          <w:tcPr>
            <w:tcW w:type="dxa" w:w="1701"/>
            <w:shd w:val="clear" w:color="auto" w:fill="F4F6FA"/>
          </w:tcPr>
          <w:p>
            <w:pPr>
              <w:pStyle w:val="TableText"/>
            </w:pPr>
            <w:r>
              <w:rPr>
                <w:rFonts w:ascii="Arial" w:hAnsi="Arial"/>
                <w:sz w:val="14"/>
              </w:rPr>
              <w:t>International standard. Not directly binding; effect depends on domestic implementation by national authorities.</w:t>
            </w:r>
          </w:p>
        </w:tc>
        <w:tc>
          <w:tcPr>
            <w:tcW w:type="dxa" w:w="1984"/>
            <w:shd w:val="clear" w:color="auto" w:fill="F4F6FA"/>
          </w:tcPr>
          <w:p>
            <w:pPr>
              <w:pStyle w:val="TableText"/>
            </w:pPr>
            <w:r>
              <w:rPr>
                <w:rFonts w:ascii="Arial" w:hAnsi="Arial"/>
                <w:sz w:val="14"/>
              </w:rPr>
              <w:t>https://www.bis.org/publ/bcbs239.htm</w:t>
            </w:r>
          </w:p>
        </w:tc>
      </w:tr>
      <w:tr>
        <w:tc>
          <w:tcPr>
            <w:tcW w:type="dxa" w:w="1077"/>
          </w:tcPr>
          <w:p>
            <w:pPr>
              <w:pStyle w:val="TableText"/>
            </w:pPr>
            <w:r>
              <w:rPr>
                <w:rFonts w:ascii="Arial" w:hAnsi="Arial"/>
                <w:sz w:val="14"/>
              </w:rPr>
              <w:t>BCBS-STRESS</w:t>
            </w:r>
          </w:p>
        </w:tc>
        <w:tc>
          <w:tcPr>
            <w:tcW w:type="dxa" w:w="850"/>
          </w:tcPr>
          <w:p>
            <w:pPr>
              <w:pStyle w:val="TableText"/>
            </w:pPr>
            <w:r>
              <w:rPr>
                <w:rFonts w:ascii="Arial" w:hAnsi="Arial"/>
                <w:sz w:val="14"/>
              </w:rPr>
              <w:t>BCBS</w:t>
            </w:r>
          </w:p>
        </w:tc>
        <w:tc>
          <w:tcPr>
            <w:tcW w:type="dxa" w:w="2494"/>
          </w:tcPr>
          <w:p>
            <w:pPr>
              <w:pStyle w:val="TableText"/>
            </w:pPr>
            <w:r>
              <w:rPr>
                <w:rFonts w:ascii="Arial" w:hAnsi="Arial"/>
                <w:sz w:val="14"/>
              </w:rPr>
              <w:t>Stress testing principles</w:t>
            </w:r>
          </w:p>
        </w:tc>
        <w:tc>
          <w:tcPr>
            <w:tcW w:type="dxa" w:w="1304"/>
          </w:tcPr>
          <w:p>
            <w:pPr>
              <w:pStyle w:val="TableText"/>
            </w:pPr>
            <w:r>
              <w:rPr>
                <w:rFonts w:ascii="Arial" w:hAnsi="Arial"/>
                <w:sz w:val="14"/>
              </w:rPr>
              <w:t>Oct 2018</w:t>
            </w:r>
          </w:p>
        </w:tc>
        <w:tc>
          <w:tcPr>
            <w:tcW w:type="dxa" w:w="1701"/>
          </w:tcPr>
          <w:p>
            <w:pPr>
              <w:pStyle w:val="TableText"/>
            </w:pPr>
            <w:r>
              <w:rPr>
                <w:rFonts w:ascii="Arial" w:hAnsi="Arial"/>
                <w:sz w:val="14"/>
              </w:rPr>
              <w:t>BIS-classified Guidelines. The document expressly states that the principles do not constitute Standards, for which the Basel Committee expects full implementation. Domestic effect depends on implementation by national authorities.</w:t>
            </w:r>
          </w:p>
        </w:tc>
        <w:tc>
          <w:tcPr>
            <w:tcW w:type="dxa" w:w="1984"/>
          </w:tcPr>
          <w:p>
            <w:pPr>
              <w:pStyle w:val="TableText"/>
            </w:pPr>
            <w:r>
              <w:rPr>
                <w:rFonts w:ascii="Arial" w:hAnsi="Arial"/>
                <w:sz w:val="14"/>
              </w:rPr>
              <w:t>https://www.bis.org/bcbs/publ/d450.htm</w:t>
            </w:r>
          </w:p>
        </w:tc>
      </w:tr>
      <w:tr>
        <w:tc>
          <w:tcPr>
            <w:tcW w:type="dxa" w:w="1077"/>
            <w:shd w:val="clear" w:color="auto" w:fill="F4F6FA"/>
          </w:tcPr>
          <w:p>
            <w:pPr>
              <w:pStyle w:val="TableText"/>
            </w:pPr>
            <w:r>
              <w:rPr>
                <w:rFonts w:ascii="Arial" w:hAnsi="Arial"/>
                <w:sz w:val="14"/>
              </w:rPr>
              <w:t>BCBS-FVP</w:t>
            </w:r>
          </w:p>
        </w:tc>
        <w:tc>
          <w:tcPr>
            <w:tcW w:type="dxa" w:w="850"/>
            <w:shd w:val="clear" w:color="auto" w:fill="F4F6FA"/>
          </w:tcPr>
          <w:p>
            <w:pPr>
              <w:pStyle w:val="TableText"/>
            </w:pPr>
            <w:r>
              <w:rPr>
                <w:rFonts w:ascii="Arial" w:hAnsi="Arial"/>
                <w:sz w:val="14"/>
              </w:rPr>
              <w:t>BCBS</w:t>
            </w:r>
          </w:p>
        </w:tc>
        <w:tc>
          <w:tcPr>
            <w:tcW w:type="dxa" w:w="2494"/>
            <w:shd w:val="clear" w:color="auto" w:fill="F4F6FA"/>
          </w:tcPr>
          <w:p>
            <w:pPr>
              <w:pStyle w:val="TableText"/>
            </w:pPr>
            <w:r>
              <w:rPr>
                <w:rFonts w:ascii="Arial" w:hAnsi="Arial"/>
                <w:sz w:val="14"/>
              </w:rPr>
              <w:t>Supervisory guidance for assessing banks' financial instrument fair value practices</w:t>
            </w:r>
          </w:p>
        </w:tc>
        <w:tc>
          <w:tcPr>
            <w:tcW w:type="dxa" w:w="1304"/>
            <w:shd w:val="clear" w:color="auto" w:fill="F4F6FA"/>
          </w:tcPr>
          <w:p>
            <w:pPr>
              <w:pStyle w:val="TableText"/>
            </w:pPr>
            <w:r>
              <w:rPr>
                <w:rFonts w:ascii="Arial" w:hAnsi="Arial"/>
                <w:sz w:val="14"/>
              </w:rPr>
              <w:t>Apr 2009</w:t>
            </w:r>
          </w:p>
        </w:tc>
        <w:tc>
          <w:tcPr>
            <w:tcW w:type="dxa" w:w="1701"/>
            <w:shd w:val="clear" w:color="auto" w:fill="F4F6FA"/>
          </w:tcPr>
          <w:p>
            <w:pPr>
              <w:pStyle w:val="TableText"/>
            </w:pPr>
            <w:r>
              <w:rPr>
                <w:rFonts w:ascii="Arial" w:hAnsi="Arial"/>
                <w:sz w:val="14"/>
              </w:rPr>
              <w:t>Supervisory guidance. Effect depends on domestic implementation.</w:t>
            </w:r>
          </w:p>
        </w:tc>
        <w:tc>
          <w:tcPr>
            <w:tcW w:type="dxa" w:w="1984"/>
            <w:shd w:val="clear" w:color="auto" w:fill="F4F6FA"/>
          </w:tcPr>
          <w:p>
            <w:pPr>
              <w:pStyle w:val="TableText"/>
            </w:pPr>
            <w:r>
              <w:rPr>
                <w:rFonts w:ascii="Arial" w:hAnsi="Arial"/>
                <w:sz w:val="14"/>
              </w:rPr>
              <w:t>https://www.bis.org/publ/bcbs153.htm</w:t>
            </w:r>
          </w:p>
        </w:tc>
      </w:tr>
      <w:tr>
        <w:tc>
          <w:tcPr>
            <w:tcW w:type="dxa" w:w="1077"/>
          </w:tcPr>
          <w:p>
            <w:pPr>
              <w:pStyle w:val="TableText"/>
            </w:pPr>
            <w:r>
              <w:rPr>
                <w:rFonts w:ascii="Arial" w:hAnsi="Arial"/>
                <w:sz w:val="14"/>
              </w:rPr>
              <w:t>BCBS-DIGI</w:t>
            </w:r>
          </w:p>
        </w:tc>
        <w:tc>
          <w:tcPr>
            <w:tcW w:type="dxa" w:w="850"/>
          </w:tcPr>
          <w:p>
            <w:pPr>
              <w:pStyle w:val="TableText"/>
            </w:pPr>
            <w:r>
              <w:rPr>
                <w:rFonts w:ascii="Arial" w:hAnsi="Arial"/>
                <w:sz w:val="14"/>
              </w:rPr>
              <w:t>BCBS</w:t>
            </w:r>
          </w:p>
        </w:tc>
        <w:tc>
          <w:tcPr>
            <w:tcW w:type="dxa" w:w="2494"/>
          </w:tcPr>
          <w:p>
            <w:pPr>
              <w:pStyle w:val="TableText"/>
            </w:pPr>
            <w:r>
              <w:rPr>
                <w:rFonts w:ascii="Arial" w:hAnsi="Arial"/>
                <w:sz w:val="14"/>
              </w:rPr>
              <w:t>Digitalisation of finance</w:t>
            </w:r>
          </w:p>
        </w:tc>
        <w:tc>
          <w:tcPr>
            <w:tcW w:type="dxa" w:w="1304"/>
          </w:tcPr>
          <w:p>
            <w:pPr>
              <w:pStyle w:val="TableText"/>
            </w:pPr>
            <w:r>
              <w:rPr>
                <w:rFonts w:ascii="Arial" w:hAnsi="Arial"/>
                <w:sz w:val="14"/>
              </w:rPr>
              <w:t>May 2024</w:t>
            </w:r>
          </w:p>
        </w:tc>
        <w:tc>
          <w:tcPr>
            <w:tcW w:type="dxa" w:w="1701"/>
          </w:tcPr>
          <w:p>
            <w:pPr>
              <w:pStyle w:val="TableText"/>
            </w:pPr>
            <w:r>
              <w:rPr>
                <w:rFonts w:ascii="Arial" w:hAnsi="Arial"/>
                <w:sz w:val="14"/>
              </w:rPr>
              <w:t>Analytical report. Not a standard and not binding.</w:t>
            </w:r>
          </w:p>
        </w:tc>
        <w:tc>
          <w:tcPr>
            <w:tcW w:type="dxa" w:w="1984"/>
          </w:tcPr>
          <w:p>
            <w:pPr>
              <w:pStyle w:val="TableText"/>
            </w:pPr>
            <w:r>
              <w:rPr>
                <w:rFonts w:ascii="Arial" w:hAnsi="Arial"/>
                <w:sz w:val="14"/>
              </w:rPr>
              <w:t>https://www.bis.org/bcbs/publ/d575.htm</w:t>
            </w:r>
          </w:p>
        </w:tc>
      </w:tr>
      <w:tr>
        <w:tc>
          <w:tcPr>
            <w:tcW w:type="dxa" w:w="1077"/>
            <w:shd w:val="clear" w:color="auto" w:fill="F4F6FA"/>
          </w:tcPr>
          <w:p>
            <w:pPr>
              <w:pStyle w:val="TableText"/>
            </w:pPr>
            <w:r>
              <w:rPr>
                <w:rFonts w:ascii="Arial" w:hAnsi="Arial"/>
                <w:sz w:val="14"/>
              </w:rPr>
              <w:t>BCBS-AIML</w:t>
            </w:r>
          </w:p>
        </w:tc>
        <w:tc>
          <w:tcPr>
            <w:tcW w:type="dxa" w:w="850"/>
            <w:shd w:val="clear" w:color="auto" w:fill="F4F6FA"/>
          </w:tcPr>
          <w:p>
            <w:pPr>
              <w:pStyle w:val="TableText"/>
            </w:pPr>
            <w:r>
              <w:rPr>
                <w:rFonts w:ascii="Arial" w:hAnsi="Arial"/>
                <w:sz w:val="14"/>
              </w:rPr>
              <w:t>BCBS</w:t>
            </w:r>
          </w:p>
        </w:tc>
        <w:tc>
          <w:tcPr>
            <w:tcW w:type="dxa" w:w="2494"/>
            <w:shd w:val="clear" w:color="auto" w:fill="F4F6FA"/>
          </w:tcPr>
          <w:p>
            <w:pPr>
              <w:pStyle w:val="TableText"/>
            </w:pPr>
            <w:r>
              <w:rPr>
                <w:rFonts w:ascii="Arial" w:hAnsi="Arial"/>
                <w:sz w:val="14"/>
              </w:rPr>
              <w:t>Newsletter on artificial intelligence and machine learning</w:t>
            </w:r>
          </w:p>
        </w:tc>
        <w:tc>
          <w:tcPr>
            <w:tcW w:type="dxa" w:w="1304"/>
            <w:shd w:val="clear" w:color="auto" w:fill="F4F6FA"/>
          </w:tcPr>
          <w:p>
            <w:pPr>
              <w:pStyle w:val="TableText"/>
            </w:pPr>
            <w:r>
              <w:rPr>
                <w:rFonts w:ascii="Arial" w:hAnsi="Arial"/>
                <w:sz w:val="14"/>
              </w:rPr>
              <w:t>16 Mar 2022</w:t>
            </w:r>
          </w:p>
        </w:tc>
        <w:tc>
          <w:tcPr>
            <w:tcW w:type="dxa" w:w="1701"/>
            <w:shd w:val="clear" w:color="auto" w:fill="F4F6FA"/>
          </w:tcPr>
          <w:p>
            <w:pPr>
              <w:pStyle w:val="TableText"/>
            </w:pPr>
            <w:r>
              <w:rPr>
                <w:rFonts w:ascii="Arial" w:hAnsi="Arial"/>
                <w:sz w:val="14"/>
              </w:rPr>
              <w:t>Supervisory newsletter. Not a standard.</w:t>
            </w:r>
          </w:p>
        </w:tc>
        <w:tc>
          <w:tcPr>
            <w:tcW w:type="dxa" w:w="1984"/>
            <w:shd w:val="clear" w:color="auto" w:fill="F4F6FA"/>
          </w:tcPr>
          <w:p>
            <w:pPr>
              <w:pStyle w:val="TableText"/>
            </w:pPr>
            <w:r>
              <w:rPr>
                <w:rFonts w:ascii="Arial" w:hAnsi="Arial"/>
                <w:sz w:val="14"/>
              </w:rPr>
              <w:t>https://www.bis.org/publ/bcbs_nl27.htm</w:t>
            </w:r>
          </w:p>
        </w:tc>
      </w:tr>
      <w:tr>
        <w:tc>
          <w:tcPr>
            <w:tcW w:type="dxa" w:w="1077"/>
          </w:tcPr>
          <w:p>
            <w:pPr>
              <w:pStyle w:val="TableText"/>
            </w:pPr>
            <w:r>
              <w:rPr>
                <w:rFonts w:ascii="Arial" w:hAnsi="Arial"/>
                <w:sz w:val="14"/>
              </w:rPr>
              <w:t>BCBS-TPRM</w:t>
            </w:r>
          </w:p>
        </w:tc>
        <w:tc>
          <w:tcPr>
            <w:tcW w:type="dxa" w:w="850"/>
          </w:tcPr>
          <w:p>
            <w:pPr>
              <w:pStyle w:val="TableText"/>
            </w:pPr>
            <w:r>
              <w:rPr>
                <w:rFonts w:ascii="Arial" w:hAnsi="Arial"/>
                <w:sz w:val="14"/>
              </w:rPr>
              <w:t>BCBS</w:t>
            </w:r>
          </w:p>
        </w:tc>
        <w:tc>
          <w:tcPr>
            <w:tcW w:type="dxa" w:w="2494"/>
          </w:tcPr>
          <w:p>
            <w:pPr>
              <w:pStyle w:val="TableText"/>
            </w:pPr>
            <w:r>
              <w:rPr>
                <w:rFonts w:ascii="Arial" w:hAnsi="Arial"/>
                <w:sz w:val="14"/>
              </w:rPr>
              <w:t>Principles for the sound management of third-party risk (BCBS d605)</w:t>
            </w:r>
          </w:p>
        </w:tc>
        <w:tc>
          <w:tcPr>
            <w:tcW w:type="dxa" w:w="1304"/>
          </w:tcPr>
          <w:p>
            <w:pPr>
              <w:pStyle w:val="TableText"/>
            </w:pPr>
            <w:r>
              <w:rPr>
                <w:rFonts w:ascii="Arial" w:hAnsi="Arial"/>
                <w:sz w:val="14"/>
              </w:rPr>
              <w:t>2025</w:t>
            </w:r>
          </w:p>
        </w:tc>
        <w:tc>
          <w:tcPr>
            <w:tcW w:type="dxa" w:w="1701"/>
          </w:tcPr>
          <w:p>
            <w:pPr>
              <w:pStyle w:val="TableText"/>
            </w:pPr>
            <w:r>
              <w:rPr>
                <w:rFonts w:ascii="Arial" w:hAnsi="Arial"/>
                <w:sz w:val="14"/>
              </w:rPr>
              <w:t>BIS-classified Guidelines, not a Standard. Domestic effect depends on implementation by national authorities.</w:t>
            </w:r>
          </w:p>
        </w:tc>
        <w:tc>
          <w:tcPr>
            <w:tcW w:type="dxa" w:w="1984"/>
          </w:tcPr>
          <w:p>
            <w:pPr>
              <w:pStyle w:val="TableText"/>
            </w:pPr>
            <w:r>
              <w:rPr>
                <w:rFonts w:ascii="Arial" w:hAnsi="Arial"/>
                <w:sz w:val="14"/>
              </w:rPr>
              <w:t>https://www.bis.org/bcbs/publ/d605.htm</w:t>
            </w:r>
          </w:p>
        </w:tc>
      </w:tr>
      <w:tr>
        <w:tc>
          <w:tcPr>
            <w:tcW w:type="dxa" w:w="1077"/>
            <w:shd w:val="clear" w:color="auto" w:fill="F4F6FA"/>
          </w:tcPr>
          <w:p>
            <w:pPr>
              <w:pStyle w:val="TableText"/>
            </w:pPr>
            <w:r>
              <w:rPr>
                <w:rFonts w:ascii="Arial" w:hAnsi="Arial"/>
                <w:sz w:val="14"/>
              </w:rPr>
              <w:t>FSB-AI-2024</w:t>
            </w:r>
          </w:p>
        </w:tc>
        <w:tc>
          <w:tcPr>
            <w:tcW w:type="dxa" w:w="850"/>
            <w:shd w:val="clear" w:color="auto" w:fill="F4F6FA"/>
          </w:tcPr>
          <w:p>
            <w:pPr>
              <w:pStyle w:val="TableText"/>
            </w:pPr>
            <w:r>
              <w:rPr>
                <w:rFonts w:ascii="Arial" w:hAnsi="Arial"/>
                <w:sz w:val="14"/>
              </w:rPr>
              <w:t>FSB</w:t>
            </w:r>
          </w:p>
        </w:tc>
        <w:tc>
          <w:tcPr>
            <w:tcW w:type="dxa" w:w="2494"/>
            <w:shd w:val="clear" w:color="auto" w:fill="F4F6FA"/>
          </w:tcPr>
          <w:p>
            <w:pPr>
              <w:pStyle w:val="TableText"/>
            </w:pPr>
            <w:r>
              <w:rPr>
                <w:rFonts w:ascii="Arial" w:hAnsi="Arial"/>
                <w:sz w:val="14"/>
              </w:rPr>
              <w:t>The Financial Stability Implications of Artificial Intelligence</w:t>
            </w:r>
          </w:p>
        </w:tc>
        <w:tc>
          <w:tcPr>
            <w:tcW w:type="dxa" w:w="1304"/>
            <w:shd w:val="clear" w:color="auto" w:fill="F4F6FA"/>
          </w:tcPr>
          <w:p>
            <w:pPr>
              <w:pStyle w:val="TableText"/>
            </w:pPr>
            <w:r>
              <w:rPr>
                <w:rFonts w:ascii="Arial" w:hAnsi="Arial"/>
                <w:sz w:val="14"/>
              </w:rPr>
              <w:t>14 Nov 2024</w:t>
            </w:r>
          </w:p>
        </w:tc>
        <w:tc>
          <w:tcPr>
            <w:tcW w:type="dxa" w:w="1701"/>
            <w:shd w:val="clear" w:color="auto" w:fill="F4F6FA"/>
          </w:tcPr>
          <w:p>
            <w:pPr>
              <w:pStyle w:val="TableText"/>
            </w:pPr>
            <w:r>
              <w:rPr>
                <w:rFonts w:ascii="Arial" w:hAnsi="Arial"/>
                <w:sz w:val="14"/>
              </w:rPr>
              <w:t>Analytical report. Expressly not a standard.</w:t>
            </w:r>
          </w:p>
        </w:tc>
        <w:tc>
          <w:tcPr>
            <w:tcW w:type="dxa" w:w="1984"/>
            <w:shd w:val="clear" w:color="auto" w:fill="F4F6FA"/>
          </w:tcPr>
          <w:p>
            <w:pPr>
              <w:pStyle w:val="TableText"/>
            </w:pPr>
            <w:r>
              <w:rPr>
                <w:rFonts w:ascii="Arial" w:hAnsi="Arial"/>
                <w:sz w:val="14"/>
              </w:rPr>
              <w:t>https://www.fsb.org/2024/11/the-financial-stability-implications-of-artificial-intelligence/</w:t>
            </w:r>
          </w:p>
        </w:tc>
      </w:tr>
      <w:tr>
        <w:tc>
          <w:tcPr>
            <w:tcW w:type="dxa" w:w="1077"/>
          </w:tcPr>
          <w:p>
            <w:pPr>
              <w:pStyle w:val="TableText"/>
            </w:pPr>
            <w:r>
              <w:rPr>
                <w:rFonts w:ascii="Arial" w:hAnsi="Arial"/>
                <w:sz w:val="14"/>
              </w:rPr>
              <w:t>FSB-AI-2017</w:t>
            </w:r>
          </w:p>
        </w:tc>
        <w:tc>
          <w:tcPr>
            <w:tcW w:type="dxa" w:w="850"/>
          </w:tcPr>
          <w:p>
            <w:pPr>
              <w:pStyle w:val="TableText"/>
            </w:pPr>
            <w:r>
              <w:rPr>
                <w:rFonts w:ascii="Arial" w:hAnsi="Arial"/>
                <w:sz w:val="14"/>
              </w:rPr>
              <w:t>FSB</w:t>
            </w:r>
          </w:p>
        </w:tc>
        <w:tc>
          <w:tcPr>
            <w:tcW w:type="dxa" w:w="2494"/>
          </w:tcPr>
          <w:p>
            <w:pPr>
              <w:pStyle w:val="TableText"/>
            </w:pPr>
            <w:r>
              <w:rPr>
                <w:rFonts w:ascii="Arial" w:hAnsi="Arial"/>
                <w:sz w:val="14"/>
              </w:rPr>
              <w:t>Artificial intelligence and machine learning in financial services</w:t>
            </w:r>
          </w:p>
        </w:tc>
        <w:tc>
          <w:tcPr>
            <w:tcW w:type="dxa" w:w="1304"/>
          </w:tcPr>
          <w:p>
            <w:pPr>
              <w:pStyle w:val="TableText"/>
            </w:pPr>
            <w:r>
              <w:rPr>
                <w:rFonts w:ascii="Arial" w:hAnsi="Arial"/>
                <w:sz w:val="14"/>
              </w:rPr>
              <w:t>1 Nov 2017</w:t>
            </w:r>
          </w:p>
        </w:tc>
        <w:tc>
          <w:tcPr>
            <w:tcW w:type="dxa" w:w="1701"/>
          </w:tcPr>
          <w:p>
            <w:pPr>
              <w:pStyle w:val="TableText"/>
            </w:pPr>
            <w:r>
              <w:rPr>
                <w:rFonts w:ascii="Arial" w:hAnsi="Arial"/>
                <w:sz w:val="14"/>
              </w:rPr>
              <w:t>Analytical report. Not a standard.</w:t>
            </w:r>
          </w:p>
        </w:tc>
        <w:tc>
          <w:tcPr>
            <w:tcW w:type="dxa" w:w="1984"/>
          </w:tcPr>
          <w:p>
            <w:pPr>
              <w:pStyle w:val="TableText"/>
            </w:pPr>
            <w:r>
              <w:rPr>
                <w:rFonts w:ascii="Arial" w:hAnsi="Arial"/>
                <w:sz w:val="14"/>
              </w:rPr>
              <w:t>https://www.fsb.org/2017/11/artificial-intelligence-and-machine-learning-in-financial-service/</w:t>
            </w:r>
          </w:p>
        </w:tc>
      </w:tr>
      <w:tr>
        <w:tc>
          <w:tcPr>
            <w:tcW w:type="dxa" w:w="1077"/>
            <w:shd w:val="clear" w:color="auto" w:fill="F4F6FA"/>
          </w:tcPr>
          <w:p>
            <w:pPr>
              <w:pStyle w:val="TableText"/>
            </w:pPr>
            <w:r>
              <w:rPr>
                <w:rFonts w:ascii="Arial" w:hAnsi="Arial"/>
                <w:sz w:val="14"/>
              </w:rPr>
              <w:t>APRA-CPS220</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Standard CPS 220 Risk Management</w:t>
            </w:r>
          </w:p>
        </w:tc>
        <w:tc>
          <w:tcPr>
            <w:tcW w:type="dxa" w:w="1304"/>
            <w:shd w:val="clear" w:color="auto" w:fill="F4F6FA"/>
          </w:tcPr>
          <w:p>
            <w:pPr>
              <w:pStyle w:val="TableText"/>
            </w:pPr>
            <w:r>
              <w:rPr>
                <w:rFonts w:ascii="Arial" w:hAnsi="Arial"/>
                <w:sz w:val="14"/>
              </w:rPr>
              <w:t>In force</w:t>
            </w:r>
          </w:p>
        </w:tc>
        <w:tc>
          <w:tcPr>
            <w:tcW w:type="dxa" w:w="1701"/>
            <w:shd w:val="clear" w:color="auto" w:fill="F4F6FA"/>
          </w:tcPr>
          <w:p>
            <w:pPr>
              <w:pStyle w:val="TableText"/>
            </w:pPr>
            <w:r>
              <w:rPr>
                <w:rFonts w:ascii="Arial" w:hAnsi="Arial"/>
                <w:sz w:val="14"/>
              </w:rPr>
              <w:t>Binding cross-industry prudential standard.</w:t>
            </w:r>
          </w:p>
        </w:tc>
        <w:tc>
          <w:tcPr>
            <w:tcW w:type="dxa" w:w="1984"/>
            <w:shd w:val="clear" w:color="auto" w:fill="F4F6FA"/>
          </w:tcPr>
          <w:p>
            <w:pPr>
              <w:pStyle w:val="TableText"/>
            </w:pPr>
            <w:r>
              <w:rPr>
                <w:rFonts w:ascii="Arial" w:hAnsi="Arial"/>
                <w:sz w:val="14"/>
              </w:rPr>
              <w:t>https://www.apra.gov.au/standards/cps-220</w:t>
            </w:r>
          </w:p>
        </w:tc>
      </w:tr>
      <w:tr>
        <w:tc>
          <w:tcPr>
            <w:tcW w:type="dxa" w:w="1077"/>
          </w:tcPr>
          <w:p>
            <w:pPr>
              <w:pStyle w:val="TableText"/>
            </w:pPr>
            <w:r>
              <w:rPr>
                <w:rFonts w:ascii="Arial" w:hAnsi="Arial"/>
                <w:sz w:val="14"/>
              </w:rPr>
              <w:t>APRA-SPS220</w:t>
            </w:r>
          </w:p>
        </w:tc>
        <w:tc>
          <w:tcPr>
            <w:tcW w:type="dxa" w:w="850"/>
          </w:tcPr>
          <w:p>
            <w:pPr>
              <w:pStyle w:val="TableText"/>
            </w:pPr>
            <w:r>
              <w:rPr>
                <w:rFonts w:ascii="Arial" w:hAnsi="Arial"/>
                <w:sz w:val="14"/>
              </w:rPr>
              <w:t>APRA</w:t>
            </w:r>
          </w:p>
        </w:tc>
        <w:tc>
          <w:tcPr>
            <w:tcW w:type="dxa" w:w="2494"/>
          </w:tcPr>
          <w:p>
            <w:pPr>
              <w:pStyle w:val="TableText"/>
            </w:pPr>
            <w:r>
              <w:rPr>
                <w:rFonts w:ascii="Arial" w:hAnsi="Arial"/>
                <w:sz w:val="14"/>
              </w:rPr>
              <w:t>Prudential Standard SPS 220 Risk Management</w:t>
            </w:r>
          </w:p>
        </w:tc>
        <w:tc>
          <w:tcPr>
            <w:tcW w:type="dxa" w:w="1304"/>
          </w:tcPr>
          <w:p>
            <w:pPr>
              <w:pStyle w:val="TableText"/>
            </w:pPr>
            <w:r>
              <w:rPr>
                <w:rFonts w:ascii="Arial" w:hAnsi="Arial"/>
                <w:sz w:val="14"/>
              </w:rPr>
              <w:t>In force</w:t>
            </w:r>
          </w:p>
        </w:tc>
        <w:tc>
          <w:tcPr>
            <w:tcW w:type="dxa" w:w="1701"/>
          </w:tcPr>
          <w:p>
            <w:pPr>
              <w:pStyle w:val="TableText"/>
            </w:pPr>
            <w:r>
              <w:rPr>
                <w:rFonts w:ascii="Arial" w:hAnsi="Arial"/>
                <w:sz w:val="14"/>
              </w:rPr>
              <w:t>Binding prudential standard.</w:t>
            </w:r>
          </w:p>
        </w:tc>
        <w:tc>
          <w:tcPr>
            <w:tcW w:type="dxa" w:w="1984"/>
          </w:tcPr>
          <w:p>
            <w:pPr>
              <w:pStyle w:val="TableText"/>
            </w:pPr>
            <w:r>
              <w:rPr>
                <w:rFonts w:ascii="Arial" w:hAnsi="Arial"/>
                <w:sz w:val="14"/>
              </w:rPr>
              <w:t>https://www.apra.gov.au/standards/sps-220</w:t>
            </w:r>
          </w:p>
        </w:tc>
      </w:tr>
      <w:tr>
        <w:tc>
          <w:tcPr>
            <w:tcW w:type="dxa" w:w="1077"/>
            <w:shd w:val="clear" w:color="auto" w:fill="F4F6FA"/>
          </w:tcPr>
          <w:p>
            <w:pPr>
              <w:pStyle w:val="TableText"/>
            </w:pPr>
            <w:r>
              <w:rPr>
                <w:rFonts w:ascii="Arial" w:hAnsi="Arial"/>
                <w:sz w:val="14"/>
              </w:rPr>
              <w:t>APRA-CPS230</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Standard CPS 230 Operational Risk Management</w:t>
            </w:r>
          </w:p>
        </w:tc>
        <w:tc>
          <w:tcPr>
            <w:tcW w:type="dxa" w:w="1304"/>
            <w:shd w:val="clear" w:color="auto" w:fill="F4F6FA"/>
          </w:tcPr>
          <w:p>
            <w:pPr>
              <w:pStyle w:val="TableText"/>
            </w:pPr>
            <w:r>
              <w:rPr>
                <w:rFonts w:ascii="Arial" w:hAnsi="Arial"/>
                <w:sz w:val="14"/>
              </w:rPr>
              <w:t>Determined 23 Apr 2026; commences 1 Jul 2026</w:t>
            </w:r>
          </w:p>
        </w:tc>
        <w:tc>
          <w:tcPr>
            <w:tcW w:type="dxa" w:w="1701"/>
            <w:shd w:val="clear" w:color="auto" w:fill="F4F6FA"/>
          </w:tcPr>
          <w:p>
            <w:pPr>
              <w:pStyle w:val="TableText"/>
            </w:pPr>
            <w:r>
              <w:rPr>
                <w:rFonts w:ascii="Arial" w:hAnsi="Arial"/>
                <w:sz w:val="14"/>
              </w:rPr>
              <w:t>Binding cross-industry prudential standard. The current determination revokes and replaces the 2023 determination, under which CPS 230 commenced on 1 July 2025.</w:t>
            </w:r>
          </w:p>
        </w:tc>
        <w:tc>
          <w:tcPr>
            <w:tcW w:type="dxa" w:w="1984"/>
            <w:shd w:val="clear" w:color="auto" w:fill="F4F6FA"/>
          </w:tcPr>
          <w:p>
            <w:pPr>
              <w:pStyle w:val="TableText"/>
            </w:pPr>
            <w:r>
              <w:rPr>
                <w:rFonts w:ascii="Arial" w:hAnsi="Arial"/>
                <w:sz w:val="14"/>
              </w:rPr>
              <w:t>https://www.apra.gov.au/standards/cps-230</w:t>
            </w:r>
          </w:p>
        </w:tc>
      </w:tr>
      <w:tr>
        <w:tc>
          <w:tcPr>
            <w:tcW w:type="dxa" w:w="1077"/>
          </w:tcPr>
          <w:p>
            <w:pPr>
              <w:pStyle w:val="TableText"/>
            </w:pPr>
            <w:r>
              <w:rPr>
                <w:rFonts w:ascii="Arial" w:hAnsi="Arial"/>
                <w:sz w:val="14"/>
              </w:rPr>
              <w:t>APRA-CPS234</w:t>
            </w:r>
          </w:p>
        </w:tc>
        <w:tc>
          <w:tcPr>
            <w:tcW w:type="dxa" w:w="850"/>
          </w:tcPr>
          <w:p>
            <w:pPr>
              <w:pStyle w:val="TableText"/>
            </w:pPr>
            <w:r>
              <w:rPr>
                <w:rFonts w:ascii="Arial" w:hAnsi="Arial"/>
                <w:sz w:val="14"/>
              </w:rPr>
              <w:t>APRA</w:t>
            </w:r>
          </w:p>
        </w:tc>
        <w:tc>
          <w:tcPr>
            <w:tcW w:type="dxa" w:w="2494"/>
          </w:tcPr>
          <w:p>
            <w:pPr>
              <w:pStyle w:val="TableText"/>
            </w:pPr>
            <w:r>
              <w:rPr>
                <w:rFonts w:ascii="Arial" w:hAnsi="Arial"/>
                <w:sz w:val="14"/>
              </w:rPr>
              <w:t>Prudential Standard CPS 234 Information Security</w:t>
            </w:r>
          </w:p>
        </w:tc>
        <w:tc>
          <w:tcPr>
            <w:tcW w:type="dxa" w:w="1304"/>
          </w:tcPr>
          <w:p>
            <w:pPr>
              <w:pStyle w:val="TableText"/>
            </w:pPr>
            <w:r>
              <w:rPr>
                <w:rFonts w:ascii="Arial" w:hAnsi="Arial"/>
                <w:sz w:val="14"/>
              </w:rPr>
              <w:t>Eff. 1 Jul 2019</w:t>
            </w:r>
          </w:p>
        </w:tc>
        <w:tc>
          <w:tcPr>
            <w:tcW w:type="dxa" w:w="1701"/>
          </w:tcPr>
          <w:p>
            <w:pPr>
              <w:pStyle w:val="TableText"/>
            </w:pPr>
            <w:r>
              <w:rPr>
                <w:rFonts w:ascii="Arial" w:hAnsi="Arial"/>
                <w:sz w:val="14"/>
              </w:rPr>
              <w:t>Binding cross-industry prudential standard.</w:t>
            </w:r>
          </w:p>
        </w:tc>
        <w:tc>
          <w:tcPr>
            <w:tcW w:type="dxa" w:w="1984"/>
          </w:tcPr>
          <w:p>
            <w:pPr>
              <w:pStyle w:val="TableText"/>
            </w:pPr>
            <w:r>
              <w:rPr>
                <w:rFonts w:ascii="Arial" w:hAnsi="Arial"/>
                <w:sz w:val="14"/>
              </w:rPr>
              <w:t>https://www.apra.gov.au/standards/cps-234</w:t>
            </w:r>
          </w:p>
        </w:tc>
      </w:tr>
      <w:tr>
        <w:tc>
          <w:tcPr>
            <w:tcW w:type="dxa" w:w="1077"/>
            <w:shd w:val="clear" w:color="auto" w:fill="F4F6FA"/>
          </w:tcPr>
          <w:p>
            <w:pPr>
              <w:pStyle w:val="TableText"/>
            </w:pPr>
            <w:r>
              <w:rPr>
                <w:rFonts w:ascii="Arial" w:hAnsi="Arial"/>
                <w:sz w:val="14"/>
              </w:rPr>
              <w:t>APRA-CPG235</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Practice Guide CPG 235 Managing Data Risk</w:t>
            </w:r>
          </w:p>
        </w:tc>
        <w:tc>
          <w:tcPr>
            <w:tcW w:type="dxa" w:w="1304"/>
            <w:shd w:val="clear" w:color="auto" w:fill="F4F6FA"/>
          </w:tcPr>
          <w:p>
            <w:pPr>
              <w:pStyle w:val="TableText"/>
            </w:pPr>
            <w:r>
              <w:rPr>
                <w:rFonts w:ascii="Arial" w:hAnsi="Arial"/>
                <w:sz w:val="14"/>
              </w:rPr>
              <w:t>Sep 2013</w:t>
            </w:r>
          </w:p>
        </w:tc>
        <w:tc>
          <w:tcPr>
            <w:tcW w:type="dxa" w:w="1701"/>
            <w:shd w:val="clear" w:color="auto" w:fill="F4F6FA"/>
          </w:tcPr>
          <w:p>
            <w:pPr>
              <w:pStyle w:val="TableText"/>
            </w:pPr>
            <w:r>
              <w:rPr>
                <w:rFonts w:ascii="Arial" w:hAnsi="Arial"/>
                <w:sz w:val="14"/>
              </w:rPr>
              <w:t>Prudential practice guide. Non-enforceable guidance.</w:t>
            </w:r>
          </w:p>
        </w:tc>
        <w:tc>
          <w:tcPr>
            <w:tcW w:type="dxa" w:w="1984"/>
            <w:shd w:val="clear" w:color="auto" w:fill="F4F6FA"/>
          </w:tcPr>
          <w:p>
            <w:pPr>
              <w:pStyle w:val="TableText"/>
            </w:pPr>
            <w:r>
              <w:rPr>
                <w:rFonts w:ascii="Arial" w:hAnsi="Arial"/>
                <w:sz w:val="14"/>
              </w:rPr>
              <w:t>https://www.apra.gov.au/system/files/Prudential-Practice-Guide-CPG-235-Managing-Data-Risk_1.pdf</w:t>
            </w:r>
          </w:p>
        </w:tc>
      </w:tr>
      <w:tr>
        <w:tc>
          <w:tcPr>
            <w:tcW w:type="dxa" w:w="1077"/>
          </w:tcPr>
          <w:p>
            <w:pPr>
              <w:pStyle w:val="TableText"/>
            </w:pPr>
            <w:r>
              <w:rPr>
                <w:rFonts w:ascii="Arial" w:hAnsi="Arial"/>
                <w:sz w:val="14"/>
              </w:rPr>
              <w:t>APRA-APS113</w:t>
            </w:r>
          </w:p>
        </w:tc>
        <w:tc>
          <w:tcPr>
            <w:tcW w:type="dxa" w:w="850"/>
          </w:tcPr>
          <w:p>
            <w:pPr>
              <w:pStyle w:val="TableText"/>
            </w:pPr>
            <w:r>
              <w:rPr>
                <w:rFonts w:ascii="Arial" w:hAnsi="Arial"/>
                <w:sz w:val="14"/>
              </w:rPr>
              <w:t>APRA</w:t>
            </w:r>
          </w:p>
        </w:tc>
        <w:tc>
          <w:tcPr>
            <w:tcW w:type="dxa" w:w="2494"/>
          </w:tcPr>
          <w:p>
            <w:pPr>
              <w:pStyle w:val="TableText"/>
            </w:pPr>
            <w:r>
              <w:rPr>
                <w:rFonts w:ascii="Arial" w:hAnsi="Arial"/>
                <w:sz w:val="14"/>
              </w:rPr>
              <w:t>Prudential Standard APS 113 Capital Adequacy: Internal Ratings-based Approach to Credit Risk</w:t>
            </w:r>
          </w:p>
        </w:tc>
        <w:tc>
          <w:tcPr>
            <w:tcW w:type="dxa" w:w="1304"/>
          </w:tcPr>
          <w:p>
            <w:pPr>
              <w:pStyle w:val="TableText"/>
            </w:pPr>
            <w:r>
              <w:rPr>
                <w:rFonts w:ascii="Arial" w:hAnsi="Arial"/>
                <w:sz w:val="14"/>
              </w:rPr>
              <w:t>In force</w:t>
            </w:r>
          </w:p>
        </w:tc>
        <w:tc>
          <w:tcPr>
            <w:tcW w:type="dxa" w:w="1701"/>
          </w:tcPr>
          <w:p>
            <w:pPr>
              <w:pStyle w:val="TableText"/>
            </w:pPr>
            <w:r>
              <w:rPr>
                <w:rFonts w:ascii="Arial" w:hAnsi="Arial"/>
                <w:sz w:val="14"/>
              </w:rPr>
              <w:t>Binding prudential standard.</w:t>
            </w:r>
          </w:p>
        </w:tc>
        <w:tc>
          <w:tcPr>
            <w:tcW w:type="dxa" w:w="1984"/>
          </w:tcPr>
          <w:p>
            <w:pPr>
              <w:pStyle w:val="TableText"/>
            </w:pPr>
            <w:r>
              <w:rPr>
                <w:rFonts w:ascii="Arial" w:hAnsi="Arial"/>
                <w:sz w:val="14"/>
              </w:rPr>
              <w:t>https://www.apra.gov.au/standards/aps-113</w:t>
            </w:r>
          </w:p>
        </w:tc>
      </w:tr>
      <w:tr>
        <w:tc>
          <w:tcPr>
            <w:tcW w:type="dxa" w:w="1077"/>
            <w:shd w:val="clear" w:color="auto" w:fill="F4F6FA"/>
          </w:tcPr>
          <w:p>
            <w:pPr>
              <w:pStyle w:val="TableText"/>
            </w:pPr>
            <w:r>
              <w:rPr>
                <w:rFonts w:ascii="Arial" w:hAnsi="Arial"/>
                <w:sz w:val="14"/>
              </w:rPr>
              <w:t>APRA-CPS320</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Standard CPS 320 Actuarial and Related Matters</w:t>
            </w:r>
          </w:p>
        </w:tc>
        <w:tc>
          <w:tcPr>
            <w:tcW w:type="dxa" w:w="1304"/>
            <w:shd w:val="clear" w:color="auto" w:fill="F4F6FA"/>
          </w:tcPr>
          <w:p>
            <w:pPr>
              <w:pStyle w:val="TableText"/>
            </w:pPr>
            <w:r>
              <w:rPr>
                <w:rFonts w:ascii="Arial" w:hAnsi="Arial"/>
                <w:sz w:val="14"/>
              </w:rPr>
              <w:t>In force</w:t>
            </w:r>
          </w:p>
        </w:tc>
        <w:tc>
          <w:tcPr>
            <w:tcW w:type="dxa" w:w="1701"/>
            <w:shd w:val="clear" w:color="auto" w:fill="F4F6FA"/>
          </w:tcPr>
          <w:p>
            <w:pPr>
              <w:pStyle w:val="TableText"/>
            </w:pPr>
            <w:r>
              <w:rPr>
                <w:rFonts w:ascii="Arial" w:hAnsi="Arial"/>
                <w:sz w:val="14"/>
              </w:rPr>
              <w:t>Binding prudential standard.</w:t>
            </w:r>
          </w:p>
        </w:tc>
        <w:tc>
          <w:tcPr>
            <w:tcW w:type="dxa" w:w="1984"/>
            <w:shd w:val="clear" w:color="auto" w:fill="F4F6FA"/>
          </w:tcPr>
          <w:p>
            <w:pPr>
              <w:pStyle w:val="TableText"/>
            </w:pPr>
            <w:r>
              <w:rPr>
                <w:rFonts w:ascii="Arial" w:hAnsi="Arial"/>
                <w:sz w:val="14"/>
              </w:rPr>
              <w:t>https://www.apra.gov.au/standards/cps-320</w:t>
            </w:r>
          </w:p>
        </w:tc>
      </w:tr>
      <w:tr>
        <w:tc>
          <w:tcPr>
            <w:tcW w:type="dxa" w:w="1077"/>
          </w:tcPr>
          <w:p>
            <w:pPr>
              <w:pStyle w:val="TableText"/>
            </w:pPr>
            <w:r>
              <w:rPr>
                <w:rFonts w:ascii="Arial" w:hAnsi="Arial"/>
                <w:sz w:val="14"/>
              </w:rPr>
              <w:t>APRA-SPS530</w:t>
            </w:r>
          </w:p>
        </w:tc>
        <w:tc>
          <w:tcPr>
            <w:tcW w:type="dxa" w:w="850"/>
          </w:tcPr>
          <w:p>
            <w:pPr>
              <w:pStyle w:val="TableText"/>
            </w:pPr>
            <w:r>
              <w:rPr>
                <w:rFonts w:ascii="Arial" w:hAnsi="Arial"/>
                <w:sz w:val="14"/>
              </w:rPr>
              <w:t>APRA</w:t>
            </w:r>
          </w:p>
        </w:tc>
        <w:tc>
          <w:tcPr>
            <w:tcW w:type="dxa" w:w="2494"/>
          </w:tcPr>
          <w:p>
            <w:pPr>
              <w:pStyle w:val="TableText"/>
            </w:pPr>
            <w:r>
              <w:rPr>
                <w:rFonts w:ascii="Arial" w:hAnsi="Arial"/>
                <w:sz w:val="14"/>
              </w:rPr>
              <w:t>Prudential Standard SPS 530 Investment Governance</w:t>
            </w:r>
          </w:p>
        </w:tc>
        <w:tc>
          <w:tcPr>
            <w:tcW w:type="dxa" w:w="1304"/>
          </w:tcPr>
          <w:p>
            <w:pPr>
              <w:pStyle w:val="TableText"/>
            </w:pPr>
            <w:r>
              <w:rPr>
                <w:rFonts w:ascii="Arial" w:hAnsi="Arial"/>
                <w:sz w:val="14"/>
              </w:rPr>
              <w:t>In force</w:t>
            </w:r>
          </w:p>
        </w:tc>
        <w:tc>
          <w:tcPr>
            <w:tcW w:type="dxa" w:w="1701"/>
          </w:tcPr>
          <w:p>
            <w:pPr>
              <w:pStyle w:val="TableText"/>
            </w:pPr>
            <w:r>
              <w:rPr>
                <w:rFonts w:ascii="Arial" w:hAnsi="Arial"/>
                <w:sz w:val="14"/>
              </w:rPr>
              <w:t>Binding prudential standard.</w:t>
            </w:r>
          </w:p>
        </w:tc>
        <w:tc>
          <w:tcPr>
            <w:tcW w:type="dxa" w:w="1984"/>
          </w:tcPr>
          <w:p>
            <w:pPr>
              <w:pStyle w:val="TableText"/>
            </w:pPr>
            <w:r>
              <w:rPr>
                <w:rFonts w:ascii="Arial" w:hAnsi="Arial"/>
                <w:sz w:val="14"/>
              </w:rPr>
              <w:t>https://www.apra.gov.au/standards/sps-530</w:t>
            </w:r>
          </w:p>
        </w:tc>
      </w:tr>
      <w:tr>
        <w:tc>
          <w:tcPr>
            <w:tcW w:type="dxa" w:w="1077"/>
            <w:shd w:val="clear" w:color="auto" w:fill="F4F6FA"/>
          </w:tcPr>
          <w:p>
            <w:pPr>
              <w:pStyle w:val="TableText"/>
            </w:pPr>
            <w:r>
              <w:rPr>
                <w:rFonts w:ascii="Arial" w:hAnsi="Arial"/>
                <w:sz w:val="14"/>
              </w:rPr>
              <w:t>APRA-SPS515</w:t>
            </w:r>
          </w:p>
        </w:tc>
        <w:tc>
          <w:tcPr>
            <w:tcW w:type="dxa" w:w="850"/>
            <w:shd w:val="clear" w:color="auto" w:fill="F4F6FA"/>
          </w:tcPr>
          <w:p>
            <w:pPr>
              <w:pStyle w:val="TableText"/>
            </w:pPr>
            <w:r>
              <w:rPr>
                <w:rFonts w:ascii="Arial" w:hAnsi="Arial"/>
                <w:sz w:val="14"/>
              </w:rPr>
              <w:t>APRA</w:t>
            </w:r>
          </w:p>
        </w:tc>
        <w:tc>
          <w:tcPr>
            <w:tcW w:type="dxa" w:w="2494"/>
            <w:shd w:val="clear" w:color="auto" w:fill="F4F6FA"/>
          </w:tcPr>
          <w:p>
            <w:pPr>
              <w:pStyle w:val="TableText"/>
            </w:pPr>
            <w:r>
              <w:rPr>
                <w:rFonts w:ascii="Arial" w:hAnsi="Arial"/>
                <w:sz w:val="14"/>
              </w:rPr>
              <w:t>Prudential Standard SPS 515 Strategic Planning and Member Outcomes</w:t>
            </w:r>
          </w:p>
        </w:tc>
        <w:tc>
          <w:tcPr>
            <w:tcW w:type="dxa" w:w="1304"/>
            <w:shd w:val="clear" w:color="auto" w:fill="F4F6FA"/>
          </w:tcPr>
          <w:p>
            <w:pPr>
              <w:pStyle w:val="TableText"/>
            </w:pPr>
            <w:r>
              <w:rPr>
                <w:rFonts w:ascii="Arial" w:hAnsi="Arial"/>
                <w:sz w:val="14"/>
              </w:rPr>
              <w:t>In force</w:t>
            </w:r>
          </w:p>
        </w:tc>
        <w:tc>
          <w:tcPr>
            <w:tcW w:type="dxa" w:w="1701"/>
            <w:shd w:val="clear" w:color="auto" w:fill="F4F6FA"/>
          </w:tcPr>
          <w:p>
            <w:pPr>
              <w:pStyle w:val="TableText"/>
            </w:pPr>
            <w:r>
              <w:rPr>
                <w:rFonts w:ascii="Arial" w:hAnsi="Arial"/>
                <w:sz w:val="14"/>
              </w:rPr>
              <w:t>Binding prudential standard.</w:t>
            </w:r>
          </w:p>
        </w:tc>
        <w:tc>
          <w:tcPr>
            <w:tcW w:type="dxa" w:w="1984"/>
            <w:shd w:val="clear" w:color="auto" w:fill="F4F6FA"/>
          </w:tcPr>
          <w:p>
            <w:pPr>
              <w:pStyle w:val="TableText"/>
            </w:pPr>
            <w:r>
              <w:rPr>
                <w:rFonts w:ascii="Arial" w:hAnsi="Arial"/>
                <w:sz w:val="14"/>
              </w:rPr>
              <w:t>https://www.apra.gov.au/standards/sps-515</w:t>
            </w:r>
          </w:p>
        </w:tc>
      </w:tr>
    </w:tbl>
    <w:p>
      <w:pPr>
        <w:pStyle w:val="DocMeta"/>
      </w:pPr>
      <w:r>
        <w:br w:type="page"/>
      </w:r>
    </w:p>
    <w:p>
      <w:pPr>
        <w:pStyle w:val="Heading1"/>
      </w:pPr>
      <w:r>
        <w:t>Annex F — Matters requiring legal and policy settlement</w:t>
      </w:r>
    </w:p>
    <w:p>
      <w:pPr>
        <w:pStyle w:val="Guidance"/>
      </w:pPr>
      <w:r>
        <w:t>The following matters must be settled by APRA Legal and the Office of Parliamentary Counsel before this draft is issued for consultation.</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4706"/>
        <w:gridCol w:w="4706"/>
      </w:tblGrid>
      <w:tr>
        <w:trPr>
          <w:tblHeader w:val="true"/>
        </w:trPr>
        <w:tc>
          <w:tcPr>
            <w:tcW w:type="dxa" w:w="2608"/>
            <w:shd w:val="clear" w:color="auto" w:fill="1B335F"/>
          </w:tcPr>
          <w:p>
            <w:pPr>
              <w:pStyle w:val="TableHead"/>
            </w:pPr>
            <w:r>
              <w:rPr>
                <w:rFonts w:ascii="Arial" w:hAnsi="Arial"/>
                <w:b/>
                <w:color w:val="FFFFFF"/>
                <w:sz w:val="17"/>
              </w:rPr>
              <w:t>Decision</w:t>
            </w:r>
          </w:p>
        </w:tc>
        <w:tc>
          <w:tcPr>
            <w:tcW w:type="dxa" w:w="6803"/>
            <w:shd w:val="clear" w:color="auto" w:fill="1B335F"/>
          </w:tcPr>
          <w:p>
            <w:pPr>
              <w:pStyle w:val="TableHead"/>
            </w:pPr>
            <w:r>
              <w:rPr>
                <w:rFonts w:ascii="Arial" w:hAnsi="Arial"/>
                <w:b/>
                <w:color w:val="FFFFFF"/>
                <w:sz w:val="17"/>
              </w:rPr>
              <w:t>Required settlement</w:t>
            </w:r>
          </w:p>
        </w:tc>
      </w:tr>
      <w:tr>
        <w:tc>
          <w:tcPr>
            <w:tcW w:type="dxa" w:w="2608"/>
          </w:tcPr>
          <w:p>
            <w:pPr>
              <w:pStyle w:val="TableText"/>
            </w:pPr>
            <w:r>
              <w:rPr>
                <w:rFonts w:ascii="Arial" w:hAnsi="Arial"/>
                <w:sz w:val="17"/>
              </w:rPr>
              <w:t>Instrument numbering and enabling authority</w:t>
            </w:r>
          </w:p>
        </w:tc>
        <w:tc>
          <w:tcPr>
            <w:tcW w:type="dxa" w:w="6803"/>
          </w:tcPr>
          <w:p>
            <w:pPr>
              <w:pStyle w:val="TableText"/>
            </w:pPr>
            <w:r>
              <w:rPr>
                <w:rFonts w:ascii="Arial" w:hAnsi="Arial"/>
                <w:sz w:val="17"/>
              </w:rPr>
              <w:t>Confirm the instrument number and determine whether one cross-industry standard can be made for ADIs, insurers and RSE licensees, or whether companion instruments are required. 'CPS 240' is a drafting placeholder only.</w:t>
            </w:r>
          </w:p>
        </w:tc>
      </w:tr>
      <w:tr>
        <w:tc>
          <w:tcPr>
            <w:tcW w:type="dxa" w:w="2608"/>
            <w:shd w:val="clear" w:color="auto" w:fill="F4F6FA"/>
          </w:tcPr>
          <w:p>
            <w:pPr>
              <w:pStyle w:val="TableText"/>
            </w:pPr>
            <w:r>
              <w:rPr>
                <w:rFonts w:ascii="Arial" w:hAnsi="Arial"/>
                <w:sz w:val="17"/>
              </w:rPr>
              <w:t>Sectoral application</w:t>
            </w:r>
          </w:p>
        </w:tc>
        <w:tc>
          <w:tcPr>
            <w:tcW w:type="dxa" w:w="6803"/>
            <w:shd w:val="clear" w:color="auto" w:fill="F4F6FA"/>
          </w:tcPr>
          <w:p>
            <w:pPr>
              <w:pStyle w:val="TableText"/>
            </w:pPr>
            <w:r>
              <w:rPr>
                <w:rFonts w:ascii="Arial" w:hAnsi="Arial"/>
                <w:sz w:val="17"/>
              </w:rPr>
              <w:t>Settle application to each regulated industry, to foreign ADIs and branches, to non-operating holding companies and at Level 1, Level 2 and Level 3.</w:t>
            </w:r>
          </w:p>
        </w:tc>
      </w:tr>
      <w:tr>
        <w:tc>
          <w:tcPr>
            <w:tcW w:type="dxa" w:w="2608"/>
          </w:tcPr>
          <w:p>
            <w:pPr>
              <w:pStyle w:val="TableText"/>
            </w:pPr>
            <w:r>
              <w:rPr>
                <w:rFonts w:ascii="Arial" w:hAnsi="Arial"/>
                <w:sz w:val="17"/>
              </w:rPr>
              <w:t>Definitions</w:t>
            </w:r>
          </w:p>
        </w:tc>
        <w:tc>
          <w:tcPr>
            <w:tcW w:type="dxa" w:w="6803"/>
          </w:tcPr>
          <w:p>
            <w:pPr>
              <w:pStyle w:val="TableText"/>
            </w:pPr>
            <w:r>
              <w:rPr>
                <w:rFonts w:ascii="Arial" w:hAnsi="Arial"/>
                <w:sz w:val="17"/>
              </w:rPr>
              <w:t>Settle the definitions of model, model risk, material model and model risk tier, and their interaction with the definitions used in the capital, actuarial and investment governance standards.</w:t>
            </w:r>
          </w:p>
        </w:tc>
      </w:tr>
      <w:tr>
        <w:tc>
          <w:tcPr>
            <w:tcW w:type="dxa" w:w="2608"/>
            <w:shd w:val="clear" w:color="auto" w:fill="F4F6FA"/>
          </w:tcPr>
          <w:p>
            <w:pPr>
              <w:pStyle w:val="TableText"/>
            </w:pPr>
            <w:r>
              <w:rPr>
                <w:rFonts w:ascii="Arial" w:hAnsi="Arial"/>
                <w:sz w:val="17"/>
              </w:rPr>
              <w:t>Interaction with capital standards</w:t>
            </w:r>
          </w:p>
        </w:tc>
        <w:tc>
          <w:tcPr>
            <w:tcW w:type="dxa" w:w="6803"/>
            <w:shd w:val="clear" w:color="auto" w:fill="F4F6FA"/>
          </w:tcPr>
          <w:p>
            <w:pPr>
              <w:pStyle w:val="TableText"/>
            </w:pPr>
            <w:r>
              <w:rPr>
                <w:rFonts w:ascii="Arial" w:hAnsi="Arial"/>
                <w:sz w:val="17"/>
              </w:rPr>
              <w:t>Confirm that APS 113 and the other capital standards prevail on model approval and change where they are more specific, and that no inconsistency is created.</w:t>
            </w:r>
          </w:p>
        </w:tc>
      </w:tr>
      <w:tr>
        <w:tc>
          <w:tcPr>
            <w:tcW w:type="dxa" w:w="2608"/>
          </w:tcPr>
          <w:p>
            <w:pPr>
              <w:pStyle w:val="TableText"/>
            </w:pPr>
            <w:r>
              <w:rPr>
                <w:rFonts w:ascii="Arial" w:hAnsi="Arial"/>
                <w:sz w:val="17"/>
              </w:rPr>
              <w:t>Interaction with the Appointed Actuary framework</w:t>
            </w:r>
          </w:p>
        </w:tc>
        <w:tc>
          <w:tcPr>
            <w:tcW w:type="dxa" w:w="6803"/>
          </w:tcPr>
          <w:p>
            <w:pPr>
              <w:pStyle w:val="TableText"/>
            </w:pPr>
            <w:r>
              <w:rPr>
                <w:rFonts w:ascii="Arial" w:hAnsi="Arial"/>
                <w:sz w:val="17"/>
              </w:rPr>
              <w:t>Settle how the independent validation requirement operates alongside CPS 320 and the sectoral actuarial standards, and confirm that no gap in independent review arises.</w:t>
            </w:r>
          </w:p>
        </w:tc>
      </w:tr>
      <w:tr>
        <w:tc>
          <w:tcPr>
            <w:tcW w:type="dxa" w:w="2608"/>
            <w:shd w:val="clear" w:color="auto" w:fill="F4F6FA"/>
          </w:tcPr>
          <w:p>
            <w:pPr>
              <w:pStyle w:val="TableText"/>
            </w:pPr>
            <w:r>
              <w:rPr>
                <w:rFonts w:ascii="Arial" w:hAnsi="Arial"/>
                <w:sz w:val="17"/>
              </w:rPr>
              <w:t>Application to RSE licensees</w:t>
            </w:r>
          </w:p>
        </w:tc>
        <w:tc>
          <w:tcPr>
            <w:tcW w:type="dxa" w:w="6803"/>
            <w:shd w:val="clear" w:color="auto" w:fill="F4F6FA"/>
          </w:tcPr>
          <w:p>
            <w:pPr>
              <w:pStyle w:val="TableText"/>
            </w:pPr>
            <w:r>
              <w:rPr>
                <w:rFonts w:ascii="Arial" w:hAnsi="Arial"/>
                <w:sz w:val="17"/>
              </w:rPr>
              <w:t>Confirm the model classes named for RSE licensees and the interaction with SPS 530 and SPS 515.</w:t>
            </w:r>
          </w:p>
        </w:tc>
      </w:tr>
      <w:tr>
        <w:tc>
          <w:tcPr>
            <w:tcW w:type="dxa" w:w="2608"/>
          </w:tcPr>
          <w:p>
            <w:pPr>
              <w:pStyle w:val="TableText"/>
            </w:pPr>
            <w:r>
              <w:rPr>
                <w:rFonts w:ascii="Arial" w:hAnsi="Arial"/>
                <w:sz w:val="17"/>
              </w:rPr>
              <w:t>Accountability regime</w:t>
            </w:r>
          </w:p>
        </w:tc>
        <w:tc>
          <w:tcPr>
            <w:tcW w:type="dxa" w:w="6803"/>
          </w:tcPr>
          <w:p>
            <w:pPr>
              <w:pStyle w:val="TableText"/>
            </w:pPr>
            <w:r>
              <w:rPr>
                <w:rFonts w:ascii="Arial" w:hAnsi="Arial"/>
                <w:sz w:val="17"/>
              </w:rPr>
              <w:t>Settle the designation of the accountable senior executive and its interaction with the applicable accountability regime.</w:t>
            </w:r>
          </w:p>
        </w:tc>
      </w:tr>
      <w:tr>
        <w:tc>
          <w:tcPr>
            <w:tcW w:type="dxa" w:w="2608"/>
            <w:shd w:val="clear" w:color="auto" w:fill="F4F6FA"/>
          </w:tcPr>
          <w:p>
            <w:pPr>
              <w:pStyle w:val="TableText"/>
            </w:pPr>
            <w:r>
              <w:rPr>
                <w:rFonts w:ascii="Arial" w:hAnsi="Arial"/>
                <w:sz w:val="17"/>
              </w:rPr>
              <w:t>Notification</w:t>
            </w:r>
          </w:p>
        </w:tc>
        <w:tc>
          <w:tcPr>
            <w:tcW w:type="dxa" w:w="6803"/>
            <w:shd w:val="clear" w:color="auto" w:fill="F4F6FA"/>
          </w:tcPr>
          <w:p>
            <w:pPr>
              <w:pStyle w:val="TableText"/>
            </w:pPr>
            <w:r>
              <w:rPr>
                <w:rFonts w:ascii="Arial" w:hAnsi="Arial"/>
                <w:sz w:val="17"/>
              </w:rPr>
              <w:t>Confirm that CPS 230 and CPS 234 remain the primary notification requirements, and settle whether any model-specific notification trigger is justified.</w:t>
            </w:r>
          </w:p>
        </w:tc>
      </w:tr>
      <w:tr>
        <w:tc>
          <w:tcPr>
            <w:tcW w:type="dxa" w:w="2608"/>
          </w:tcPr>
          <w:p>
            <w:pPr>
              <w:pStyle w:val="TableText"/>
            </w:pPr>
            <w:r>
              <w:rPr>
                <w:rFonts w:ascii="Arial" w:hAnsi="Arial"/>
                <w:sz w:val="17"/>
              </w:rPr>
              <w:t>APRA powers</w:t>
            </w:r>
          </w:p>
        </w:tc>
        <w:tc>
          <w:tcPr>
            <w:tcW w:type="dxa" w:w="6803"/>
          </w:tcPr>
          <w:p>
            <w:pPr>
              <w:pStyle w:val="TableText"/>
            </w:pPr>
            <w:r>
              <w:rPr>
                <w:rFonts w:ascii="Arial" w:hAnsi="Arial"/>
                <w:sz w:val="17"/>
              </w:rPr>
              <w:t>Settle the powers to require information, restriction of model use, independent review or remediation, and ensure procedural fairness.</w:t>
            </w:r>
          </w:p>
        </w:tc>
      </w:tr>
      <w:tr>
        <w:tc>
          <w:tcPr>
            <w:tcW w:type="dxa" w:w="2608"/>
            <w:shd w:val="clear" w:color="auto" w:fill="F4F6FA"/>
          </w:tcPr>
          <w:p>
            <w:pPr>
              <w:pStyle w:val="TableText"/>
            </w:pPr>
            <w:r>
              <w:rPr>
                <w:rFonts w:ascii="Arial" w:hAnsi="Arial"/>
                <w:sz w:val="17"/>
              </w:rPr>
              <w:t>Commencement and transition</w:t>
            </w:r>
          </w:p>
        </w:tc>
        <w:tc>
          <w:tcPr>
            <w:tcW w:type="dxa" w:w="6803"/>
            <w:shd w:val="clear" w:color="auto" w:fill="F4F6FA"/>
          </w:tcPr>
          <w:p>
            <w:pPr>
              <w:pStyle w:val="TableText"/>
            </w:pPr>
            <w:r>
              <w:rPr>
                <w:rFonts w:ascii="Arial" w:hAnsi="Arial"/>
                <w:sz w:val="17"/>
              </w:rPr>
              <w:t>Set commencement, transitional milestones for inventory, tiering and validation coverage, and the treatment of models already in use.</w:t>
            </w:r>
          </w:p>
        </w:tc>
      </w:tr>
      <w:tr>
        <w:tc>
          <w:tcPr>
            <w:tcW w:type="dxa" w:w="2608"/>
          </w:tcPr>
          <w:p>
            <w:pPr>
              <w:pStyle w:val="TableText"/>
            </w:pPr>
            <w:r>
              <w:rPr>
                <w:rFonts w:ascii="Arial" w:hAnsi="Arial"/>
                <w:sz w:val="17"/>
              </w:rPr>
              <w:t>Records and privacy</w:t>
            </w:r>
          </w:p>
        </w:tc>
        <w:tc>
          <w:tcPr>
            <w:tcW w:type="dxa" w:w="6803"/>
          </w:tcPr>
          <w:p>
            <w:pPr>
              <w:pStyle w:val="TableText"/>
            </w:pPr>
            <w:r>
              <w:rPr>
                <w:rFonts w:ascii="Arial" w:hAnsi="Arial"/>
                <w:sz w:val="17"/>
              </w:rPr>
              <w:t>Balance the reconstructability requirement against data minimisation, security and technical feasibility.</w:t>
            </w:r>
          </w:p>
        </w:tc>
      </w:tr>
      <w:tr>
        <w:tc>
          <w:tcPr>
            <w:tcW w:type="dxa" w:w="2608"/>
            <w:shd w:val="clear" w:color="auto" w:fill="F4F6FA"/>
          </w:tcPr>
          <w:p>
            <w:pPr>
              <w:pStyle w:val="TableText"/>
            </w:pPr>
            <w:r>
              <w:rPr>
                <w:rFonts w:ascii="Arial" w:hAnsi="Arial"/>
                <w:sz w:val="17"/>
              </w:rPr>
              <w:t>Boundary with the AI instrument</w:t>
            </w:r>
          </w:p>
        </w:tc>
        <w:tc>
          <w:tcPr>
            <w:tcW w:type="dxa" w:w="6803"/>
            <w:shd w:val="clear" w:color="auto" w:fill="F4F6FA"/>
          </w:tcPr>
          <w:p>
            <w:pPr>
              <w:pStyle w:val="TableText"/>
            </w:pPr>
            <w:r>
              <w:rPr>
                <w:rFonts w:ascii="Arial" w:hAnsi="Arial"/>
                <w:sz w:val="17"/>
              </w:rPr>
              <w:t>Settle the boundary rule between this standard and any AI risk management instrument so that no material system falls outside both.</w:t>
            </w:r>
          </w:p>
        </w:tc>
      </w:tr>
    </w:tbl>
    <w:p>
      <w:pPr>
        <w:pStyle w:val="Heading2"/>
      </w:pPr>
      <w:r>
        <w:t>Requirements carrying a legal flag</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3137"/>
        <w:gridCol w:w="3137"/>
        <w:gridCol w:w="3137"/>
      </w:tblGrid>
      <w:tr>
        <w:trPr>
          <w:tblHeader w:val="true"/>
        </w:trPr>
        <w:tc>
          <w:tcPr>
            <w:tcW w:type="dxa" w:w="850"/>
            <w:shd w:val="clear" w:color="auto" w:fill="1B335F"/>
          </w:tcPr>
          <w:p>
            <w:pPr>
              <w:pStyle w:val="TableHead"/>
            </w:pPr>
            <w:r>
              <w:rPr>
                <w:rFonts w:ascii="Arial" w:hAnsi="Arial"/>
                <w:b/>
                <w:color w:val="FFFFFF"/>
                <w:sz w:val="17"/>
              </w:rPr>
              <w:t>ID</w:t>
            </w:r>
          </w:p>
        </w:tc>
        <w:tc>
          <w:tcPr>
            <w:tcW w:type="dxa" w:w="2608"/>
            <w:shd w:val="clear" w:color="auto" w:fill="1B335F"/>
          </w:tcPr>
          <w:p>
            <w:pPr>
              <w:pStyle w:val="TableHead"/>
            </w:pPr>
            <w:r>
              <w:rPr>
                <w:rFonts w:ascii="Arial" w:hAnsi="Arial"/>
                <w:b/>
                <w:color w:val="FFFFFF"/>
                <w:sz w:val="17"/>
              </w:rPr>
              <w:t>Requirement</w:t>
            </w:r>
          </w:p>
        </w:tc>
        <w:tc>
          <w:tcPr>
            <w:tcW w:type="dxa" w:w="5953"/>
            <w:shd w:val="clear" w:color="auto" w:fill="1B335F"/>
          </w:tcPr>
          <w:p>
            <w:pPr>
              <w:pStyle w:val="TableHead"/>
            </w:pPr>
            <w:r>
              <w:rPr>
                <w:rFonts w:ascii="Arial" w:hAnsi="Arial"/>
                <w:b/>
                <w:color w:val="FFFFFF"/>
                <w:sz w:val="17"/>
              </w:rPr>
              <w:t>Reason for flag</w:t>
            </w:r>
          </w:p>
        </w:tc>
      </w:tr>
      <w:tr>
        <w:tc>
          <w:tcPr>
            <w:tcW w:type="dxa" w:w="850"/>
          </w:tcPr>
          <w:p>
            <w:pPr>
              <w:pStyle w:val="TableText"/>
            </w:pPr>
            <w:r>
              <w:rPr>
                <w:rFonts w:ascii="Arial" w:hAnsi="Arial"/>
                <w:sz w:val="17"/>
              </w:rPr>
              <w:t>M06</w:t>
            </w:r>
          </w:p>
        </w:tc>
        <w:tc>
          <w:tcPr>
            <w:tcW w:type="dxa" w:w="2608"/>
          </w:tcPr>
          <w:p>
            <w:pPr>
              <w:pStyle w:val="TableText"/>
            </w:pPr>
            <w:r>
              <w:rPr>
                <w:rFonts w:ascii="Arial" w:hAnsi="Arial"/>
                <w:sz w:val="17"/>
              </w:rPr>
              <w:t>Senior accountability for the framework</w:t>
            </w:r>
          </w:p>
        </w:tc>
        <w:tc>
          <w:tcPr>
            <w:tcW w:type="dxa" w:w="5953"/>
          </w:tcPr>
          <w:p>
            <w:pPr>
              <w:pStyle w:val="TableText"/>
            </w:pPr>
            <w:r>
              <w:rPr>
                <w:rFonts w:ascii="Arial" w:hAnsi="Arial"/>
                <w:sz w:val="17"/>
              </w:rPr>
              <w:t>The PRA allocates model risk management to a senior management function; OSFI and the US guidance require clear senior ownership.</w:t>
            </w:r>
          </w:p>
        </w:tc>
      </w:tr>
      <w:tr>
        <w:tc>
          <w:tcPr>
            <w:tcW w:type="dxa" w:w="850"/>
            <w:shd w:val="clear" w:color="auto" w:fill="F4F6FA"/>
          </w:tcPr>
          <w:p>
            <w:pPr>
              <w:pStyle w:val="TableText"/>
            </w:pPr>
            <w:r>
              <w:rPr>
                <w:rFonts w:ascii="Arial" w:hAnsi="Arial"/>
                <w:sz w:val="17"/>
              </w:rPr>
              <w:t>M34</w:t>
            </w:r>
          </w:p>
        </w:tc>
        <w:tc>
          <w:tcPr>
            <w:tcW w:type="dxa" w:w="2608"/>
            <w:shd w:val="clear" w:color="auto" w:fill="F4F6FA"/>
          </w:tcPr>
          <w:p>
            <w:pPr>
              <w:pStyle w:val="TableText"/>
            </w:pPr>
            <w:r>
              <w:rPr>
                <w:rFonts w:ascii="Arial" w:hAnsi="Arial"/>
                <w:sz w:val="17"/>
              </w:rPr>
              <w:t>Boundary with the AI risk management framework</w:t>
            </w:r>
          </w:p>
        </w:tc>
        <w:tc>
          <w:tcPr>
            <w:tcW w:type="dxa" w:w="5953"/>
            <w:shd w:val="clear" w:color="auto" w:fill="F4F6FA"/>
          </w:tcPr>
          <w:p>
            <w:pPr>
              <w:pStyle w:val="TableText"/>
            </w:pPr>
            <w:r>
              <w:rPr>
                <w:rFonts w:ascii="Arial" w:hAnsi="Arial"/>
                <w:sz w:val="17"/>
              </w:rPr>
              <w:t>No comparator operates parallel model risk and AI risk instruments, so the boundary rule is an APRA drafting choice required by the proposed two-instrument architecture.</w:t>
            </w:r>
          </w:p>
        </w:tc>
      </w:tr>
      <w:tr>
        <w:tc>
          <w:tcPr>
            <w:tcW w:type="dxa" w:w="850"/>
          </w:tcPr>
          <w:p>
            <w:pPr>
              <w:pStyle w:val="TableText"/>
            </w:pPr>
            <w:r>
              <w:rPr>
                <w:rFonts w:ascii="Arial" w:hAnsi="Arial"/>
                <w:sz w:val="17"/>
              </w:rPr>
              <w:t>M35</w:t>
            </w:r>
          </w:p>
        </w:tc>
        <w:tc>
          <w:tcPr>
            <w:tcW w:type="dxa" w:w="2608"/>
          </w:tcPr>
          <w:p>
            <w:pPr>
              <w:pStyle w:val="TableText"/>
            </w:pPr>
            <w:r>
              <w:rPr>
                <w:rFonts w:ascii="Arial" w:hAnsi="Arial"/>
                <w:sz w:val="17"/>
              </w:rPr>
              <w:t>Models used to determine regulatory capital</w:t>
            </w:r>
          </w:p>
        </w:tc>
        <w:tc>
          <w:tcPr>
            <w:tcW w:type="dxa" w:w="5953"/>
          </w:tcPr>
          <w:p>
            <w:pPr>
              <w:pStyle w:val="TableText"/>
            </w:pPr>
            <w:r>
              <w:rPr>
                <w:rFonts w:ascii="Arial" w:hAnsi="Arial"/>
                <w:sz w:val="17"/>
              </w:rPr>
              <w:t>Regulatory capital models are subject to a distinct approval regime in Australia, the EU and the UK which this Prudential Standard must sit alongside rather than duplicate.</w:t>
            </w:r>
          </w:p>
        </w:tc>
      </w:tr>
      <w:tr>
        <w:tc>
          <w:tcPr>
            <w:tcW w:type="dxa" w:w="850"/>
            <w:shd w:val="clear" w:color="auto" w:fill="F4F6FA"/>
          </w:tcPr>
          <w:p>
            <w:pPr>
              <w:pStyle w:val="TableText"/>
            </w:pPr>
            <w:r>
              <w:rPr>
                <w:rFonts w:ascii="Arial" w:hAnsi="Arial"/>
                <w:sz w:val="17"/>
              </w:rPr>
              <w:t>M37</w:t>
            </w:r>
          </w:p>
        </w:tc>
        <w:tc>
          <w:tcPr>
            <w:tcW w:type="dxa" w:w="2608"/>
            <w:shd w:val="clear" w:color="auto" w:fill="F4F6FA"/>
          </w:tcPr>
          <w:p>
            <w:pPr>
              <w:pStyle w:val="TableText"/>
            </w:pPr>
            <w:r>
              <w:rPr>
                <w:rFonts w:ascii="Arial" w:hAnsi="Arial"/>
                <w:sz w:val="17"/>
              </w:rPr>
              <w:t>Actuarial, reserving and insurance liability models</w:t>
            </w:r>
          </w:p>
        </w:tc>
        <w:tc>
          <w:tcPr>
            <w:tcW w:type="dxa" w:w="5953"/>
            <w:shd w:val="clear" w:color="auto" w:fill="F4F6FA"/>
          </w:tcPr>
          <w:p>
            <w:pPr>
              <w:pStyle w:val="TableText"/>
            </w:pPr>
            <w:r>
              <w:rPr>
                <w:rFonts w:ascii="Arial" w:hAnsi="Arial"/>
                <w:sz w:val="17"/>
              </w:rPr>
              <w:t>OSFI's expansion of E-23 to insurers establishes the precedent; the interaction with the Australian Appointed Actuary framework is an Australian drafting question.</w:t>
            </w:r>
          </w:p>
        </w:tc>
      </w:tr>
      <w:tr>
        <w:tc>
          <w:tcPr>
            <w:tcW w:type="dxa" w:w="850"/>
          </w:tcPr>
          <w:p>
            <w:pPr>
              <w:pStyle w:val="TableText"/>
            </w:pPr>
            <w:r>
              <w:rPr>
                <w:rFonts w:ascii="Arial" w:hAnsi="Arial"/>
                <w:sz w:val="17"/>
              </w:rPr>
              <w:t>M38</w:t>
            </w:r>
          </w:p>
        </w:tc>
        <w:tc>
          <w:tcPr>
            <w:tcW w:type="dxa" w:w="2608"/>
          </w:tcPr>
          <w:p>
            <w:pPr>
              <w:pStyle w:val="TableText"/>
            </w:pPr>
            <w:r>
              <w:rPr>
                <w:rFonts w:ascii="Arial" w:hAnsi="Arial"/>
                <w:sz w:val="17"/>
              </w:rPr>
              <w:t>Models used by RSE licensees</w:t>
            </w:r>
          </w:p>
        </w:tc>
        <w:tc>
          <w:tcPr>
            <w:tcW w:type="dxa" w:w="5953"/>
          </w:tcPr>
          <w:p>
            <w:pPr>
              <w:pStyle w:val="TableText"/>
            </w:pPr>
            <w:r>
              <w:rPr>
                <w:rFonts w:ascii="Arial" w:hAnsi="Arial"/>
                <w:sz w:val="17"/>
              </w:rPr>
              <w:t>No comparator addresses superannuation model risk; cross-industry application to RSE licensees requires the standard to name the model classes that matter in that sector.</w:t>
            </w:r>
          </w:p>
        </w:tc>
      </w:tr>
      <w:tr>
        <w:tc>
          <w:tcPr>
            <w:tcW w:type="dxa" w:w="850"/>
            <w:shd w:val="clear" w:color="auto" w:fill="F4F6FA"/>
          </w:tcPr>
          <w:p>
            <w:pPr>
              <w:pStyle w:val="TableText"/>
            </w:pPr>
            <w:r>
              <w:rPr>
                <w:rFonts w:ascii="Arial" w:hAnsi="Arial"/>
                <w:sz w:val="17"/>
              </w:rPr>
              <w:t>M41</w:t>
            </w:r>
          </w:p>
        </w:tc>
        <w:tc>
          <w:tcPr>
            <w:tcW w:type="dxa" w:w="2608"/>
            <w:shd w:val="clear" w:color="auto" w:fill="F4F6FA"/>
          </w:tcPr>
          <w:p>
            <w:pPr>
              <w:pStyle w:val="TableText"/>
            </w:pPr>
            <w:r>
              <w:rPr>
                <w:rFonts w:ascii="Arial" w:hAnsi="Arial"/>
                <w:sz w:val="17"/>
              </w:rPr>
              <w:t>Records and reconstructability</w:t>
            </w:r>
          </w:p>
        </w:tc>
        <w:tc>
          <w:tcPr>
            <w:tcW w:type="dxa" w:w="5953"/>
            <w:shd w:val="clear" w:color="auto" w:fill="F4F6FA"/>
          </w:tcPr>
          <w:p>
            <w:pPr>
              <w:pStyle w:val="TableText"/>
            </w:pPr>
            <w:r>
              <w:rPr>
                <w:rFonts w:ascii="Arial" w:hAnsi="Arial"/>
                <w:sz w:val="17"/>
              </w:rPr>
              <w:t>Record-keeping is explicit across comparators; the reconstruction standard is a drafting choice.</w:t>
            </w:r>
          </w:p>
        </w:tc>
      </w:tr>
      <w:tr>
        <w:tc>
          <w:tcPr>
            <w:tcW w:type="dxa" w:w="850"/>
          </w:tcPr>
          <w:p>
            <w:pPr>
              <w:pStyle w:val="TableText"/>
            </w:pPr>
            <w:r>
              <w:rPr>
                <w:rFonts w:ascii="Arial" w:hAnsi="Arial"/>
                <w:sz w:val="17"/>
              </w:rPr>
              <w:t>M43</w:t>
            </w:r>
          </w:p>
        </w:tc>
        <w:tc>
          <w:tcPr>
            <w:tcW w:type="dxa" w:w="2608"/>
          </w:tcPr>
          <w:p>
            <w:pPr>
              <w:pStyle w:val="TableText"/>
            </w:pPr>
            <w:r>
              <w:rPr>
                <w:rFonts w:ascii="Arial" w:hAnsi="Arial"/>
                <w:sz w:val="17"/>
              </w:rPr>
              <w:t>Notification and provision of information to APRA</w:t>
            </w:r>
          </w:p>
        </w:tc>
        <w:tc>
          <w:tcPr>
            <w:tcW w:type="dxa" w:w="5953"/>
          </w:tcPr>
          <w:p>
            <w:pPr>
              <w:pStyle w:val="TableText"/>
            </w:pPr>
            <w:r>
              <w:rPr>
                <w:rFonts w:ascii="Arial" w:hAnsi="Arial"/>
                <w:sz w:val="17"/>
              </w:rPr>
              <w:t>Deliberately cross-references existing notification architecture rather than proposing a separate model risk deadline that would conflict with it.</w:t>
            </w:r>
          </w:p>
        </w:tc>
      </w:tr>
    </w:tbl>
    <w:p>
      <w:pPr>
        <w:pStyle w:val="Heading2"/>
      </w:pPr>
      <w:r>
        <w:t>Requirements identified as policy design choices</w:t>
      </w:r>
    </w:p>
    <w:p>
      <w:pPr>
        <w:pStyle w:val="Guidance"/>
      </w:pPr>
      <w:r>
        <w:t>The following requirements are not directly mandated by any comparator authority. They are proposed by APRA and require consultation and a cost-benefit assessment before issue. Identification as a policy choice does not indicate that a requirement is unsupported.</w:t>
      </w:r>
    </w:p>
    <w:tbl>
      <w:tblPr>
        <w:tblW w:type="auto" w:w="0"/>
        <w:jc w:val="center"/>
        <w:tblLook w:firstColumn="1" w:firstRow="1" w:lastColumn="0" w:lastRow="0" w:noHBand="0" w:noVBand="1" w:val="04A0"/>
        <w:tblBorders>
          <w:top w:val="single" w:sz="4" w:space="0" w:color="B7C3D6"/>
          <w:left w:val="single" w:sz="4" w:space="0" w:color="B7C3D6"/>
          <w:bottom w:val="single" w:sz="4" w:space="0" w:color="B7C3D6"/>
          <w:right w:val="single" w:sz="4" w:space="0" w:color="B7C3D6"/>
          <w:insideH w:val="single" w:sz="4" w:space="0" w:color="B7C3D6"/>
          <w:insideV w:val="single" w:sz="4" w:space="0" w:color="B7C3D6"/>
        </w:tblBorders>
        <w:tblLayout w:type="fixed"/>
        <w:tblCellMar>
          <w:top w:w="60" w:type="dxa"/>
          <w:left w:w="110" w:type="dxa"/>
          <w:bottom w:w="60" w:type="dxa"/>
          <w:right w:w="110" w:type="dxa"/>
        </w:tblCellMar>
      </w:tblPr>
      <w:tblGrid>
        <w:gridCol w:w="3137"/>
        <w:gridCol w:w="3137"/>
        <w:gridCol w:w="3137"/>
      </w:tblGrid>
      <w:tr>
        <w:trPr>
          <w:tblHeader w:val="true"/>
        </w:trPr>
        <w:tc>
          <w:tcPr>
            <w:tcW w:type="dxa" w:w="850"/>
            <w:shd w:val="clear" w:color="auto" w:fill="1B335F"/>
          </w:tcPr>
          <w:p>
            <w:pPr>
              <w:pStyle w:val="TableHead"/>
            </w:pPr>
            <w:r>
              <w:rPr>
                <w:rFonts w:ascii="Arial" w:hAnsi="Arial"/>
                <w:b/>
                <w:color w:val="FFFFFF"/>
                <w:sz w:val="17"/>
              </w:rPr>
              <w:t>ID</w:t>
            </w:r>
          </w:p>
        </w:tc>
        <w:tc>
          <w:tcPr>
            <w:tcW w:type="dxa" w:w="2608"/>
            <w:shd w:val="clear" w:color="auto" w:fill="1B335F"/>
          </w:tcPr>
          <w:p>
            <w:pPr>
              <w:pStyle w:val="TableHead"/>
            </w:pPr>
            <w:r>
              <w:rPr>
                <w:rFonts w:ascii="Arial" w:hAnsi="Arial"/>
                <w:b/>
                <w:color w:val="FFFFFF"/>
                <w:sz w:val="17"/>
              </w:rPr>
              <w:t>Requirement</w:t>
            </w:r>
          </w:p>
        </w:tc>
        <w:tc>
          <w:tcPr>
            <w:tcW w:type="dxa" w:w="5953"/>
            <w:shd w:val="clear" w:color="auto" w:fill="1B335F"/>
          </w:tcPr>
          <w:p>
            <w:pPr>
              <w:pStyle w:val="TableHead"/>
            </w:pPr>
            <w:r>
              <w:rPr>
                <w:rFonts w:ascii="Arial" w:hAnsi="Arial"/>
                <w:b/>
                <w:color w:val="FFFFFF"/>
                <w:sz w:val="17"/>
              </w:rPr>
              <w:t>Basis</w:t>
            </w:r>
          </w:p>
        </w:tc>
      </w:tr>
      <w:tr>
        <w:tc>
          <w:tcPr>
            <w:tcW w:type="dxa" w:w="850"/>
          </w:tcPr>
          <w:p>
            <w:pPr>
              <w:pStyle w:val="TableText"/>
            </w:pPr>
            <w:r>
              <w:rPr>
                <w:rFonts w:ascii="Arial" w:hAnsi="Arial"/>
                <w:sz w:val="17"/>
              </w:rPr>
              <w:t>M10</w:t>
            </w:r>
          </w:p>
        </w:tc>
        <w:tc>
          <w:tcPr>
            <w:tcW w:type="dxa" w:w="2608"/>
          </w:tcPr>
          <w:p>
            <w:pPr>
              <w:pStyle w:val="TableText"/>
            </w:pPr>
            <w:r>
              <w:rPr>
                <w:rFonts w:ascii="Arial" w:hAnsi="Arial"/>
                <w:sz w:val="17"/>
              </w:rPr>
              <w:t>Model risk appetite and limits</w:t>
            </w:r>
          </w:p>
        </w:tc>
        <w:tc>
          <w:tcPr>
            <w:tcW w:type="dxa" w:w="5953"/>
          </w:tcPr>
          <w:p>
            <w:pPr>
              <w:pStyle w:val="TableText"/>
            </w:pPr>
            <w:r>
              <w:rPr>
                <w:rFonts w:ascii="Arial" w:hAnsi="Arial"/>
                <w:sz w:val="17"/>
              </w:rPr>
              <w:t>Comparators require a risk appetite for model risk; requiring it to be measurable is a drafting choice that makes the obligation supervisable.</w:t>
            </w:r>
          </w:p>
        </w:tc>
      </w:tr>
      <w:tr>
        <w:tc>
          <w:tcPr>
            <w:tcW w:type="dxa" w:w="850"/>
            <w:shd w:val="clear" w:color="auto" w:fill="F4F6FA"/>
          </w:tcPr>
          <w:p>
            <w:pPr>
              <w:pStyle w:val="TableText"/>
            </w:pPr>
            <w:r>
              <w:rPr>
                <w:rFonts w:ascii="Arial" w:hAnsi="Arial"/>
                <w:sz w:val="17"/>
              </w:rPr>
              <w:t>M19</w:t>
            </w:r>
          </w:p>
        </w:tc>
        <w:tc>
          <w:tcPr>
            <w:tcW w:type="dxa" w:w="2608"/>
            <w:shd w:val="clear" w:color="auto" w:fill="F4F6FA"/>
          </w:tcPr>
          <w:p>
            <w:pPr>
              <w:pStyle w:val="TableText"/>
            </w:pPr>
            <w:r>
              <w:rPr>
                <w:rFonts w:ascii="Arial" w:hAnsi="Arial"/>
                <w:sz w:val="17"/>
              </w:rPr>
              <w:t>Pre-implementation testing</w:t>
            </w:r>
          </w:p>
        </w:tc>
        <w:tc>
          <w:tcPr>
            <w:tcW w:type="dxa" w:w="5953"/>
            <w:shd w:val="clear" w:color="auto" w:fill="F4F6FA"/>
          </w:tcPr>
          <w:p>
            <w:pPr>
              <w:pStyle w:val="TableText"/>
            </w:pPr>
            <w:r>
              <w:rPr>
                <w:rFonts w:ascii="Arial" w:hAnsi="Arial"/>
                <w:sz w:val="17"/>
              </w:rPr>
              <w:t>Development testing is universal; expressing it as a bar to use for material purposes makes it an enforceable gate rather than a process expectation.</w:t>
            </w:r>
          </w:p>
        </w:tc>
      </w:tr>
      <w:tr>
        <w:tc>
          <w:tcPr>
            <w:tcW w:type="dxa" w:w="850"/>
          </w:tcPr>
          <w:p>
            <w:pPr>
              <w:pStyle w:val="TableText"/>
            </w:pPr>
            <w:r>
              <w:rPr>
                <w:rFonts w:ascii="Arial" w:hAnsi="Arial"/>
                <w:sz w:val="17"/>
              </w:rPr>
              <w:t>M34</w:t>
            </w:r>
          </w:p>
        </w:tc>
        <w:tc>
          <w:tcPr>
            <w:tcW w:type="dxa" w:w="2608"/>
          </w:tcPr>
          <w:p>
            <w:pPr>
              <w:pStyle w:val="TableText"/>
            </w:pPr>
            <w:r>
              <w:rPr>
                <w:rFonts w:ascii="Arial" w:hAnsi="Arial"/>
                <w:sz w:val="17"/>
              </w:rPr>
              <w:t>Boundary with the AI risk management framework</w:t>
            </w:r>
          </w:p>
        </w:tc>
        <w:tc>
          <w:tcPr>
            <w:tcW w:type="dxa" w:w="5953"/>
          </w:tcPr>
          <w:p>
            <w:pPr>
              <w:pStyle w:val="TableText"/>
            </w:pPr>
            <w:r>
              <w:rPr>
                <w:rFonts w:ascii="Arial" w:hAnsi="Arial"/>
                <w:sz w:val="17"/>
              </w:rPr>
              <w:t>No comparator operates parallel model risk and AI risk instruments, so the boundary rule is an APRA drafting choice required by the proposed two-instrument architecture.</w:t>
            </w:r>
          </w:p>
        </w:tc>
      </w:tr>
      <w:tr>
        <w:tc>
          <w:tcPr>
            <w:tcW w:type="dxa" w:w="850"/>
            <w:shd w:val="clear" w:color="auto" w:fill="F4F6FA"/>
          </w:tcPr>
          <w:p>
            <w:pPr>
              <w:pStyle w:val="TableText"/>
            </w:pPr>
            <w:r>
              <w:rPr>
                <w:rFonts w:ascii="Arial" w:hAnsi="Arial"/>
                <w:sz w:val="17"/>
              </w:rPr>
              <w:t>M38</w:t>
            </w:r>
          </w:p>
        </w:tc>
        <w:tc>
          <w:tcPr>
            <w:tcW w:type="dxa" w:w="2608"/>
            <w:shd w:val="clear" w:color="auto" w:fill="F4F6FA"/>
          </w:tcPr>
          <w:p>
            <w:pPr>
              <w:pStyle w:val="TableText"/>
            </w:pPr>
            <w:r>
              <w:rPr>
                <w:rFonts w:ascii="Arial" w:hAnsi="Arial"/>
                <w:sz w:val="17"/>
              </w:rPr>
              <w:t>Models used by RSE licensees</w:t>
            </w:r>
          </w:p>
        </w:tc>
        <w:tc>
          <w:tcPr>
            <w:tcW w:type="dxa" w:w="5953"/>
            <w:shd w:val="clear" w:color="auto" w:fill="F4F6FA"/>
          </w:tcPr>
          <w:p>
            <w:pPr>
              <w:pStyle w:val="TableText"/>
            </w:pPr>
            <w:r>
              <w:rPr>
                <w:rFonts w:ascii="Arial" w:hAnsi="Arial"/>
                <w:sz w:val="17"/>
              </w:rPr>
              <w:t>No comparator addresses superannuation model risk; cross-industry application to RSE licensees requires the standard to name the model classes that matter in that sector.</w:t>
            </w:r>
          </w:p>
        </w:tc>
      </w:tr>
    </w:tbl>
    <w:sectPr w:rsidR="00FC693F" w:rsidRPr="0006063C" w:rsidSect="00034616">
      <w:pgSz w:w="11906" w:h="16838"/>
      <w:pgMar w:top="1134" w:right="1247" w:bottom="1077"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ocMeta"/>
      <w:tabs>
        <w:tab w:pos="9411" w:val="left"/>
      </w:tabs>
      <w:jc w:val="left"/>
    </w:pPr>
    <w:r>
      <w:rPr>
        <w:rFonts w:ascii="Arial" w:hAnsi="Arial"/>
        <w:color w:val="595959"/>
        <w:sz w:val="16"/>
      </w:rPr>
    </w:r>
    <w:r>
      <w:rPr>
        <w:rFonts w:ascii="Arial" w:hAnsi="Arial"/>
        <w:color w:val="595959"/>
        <w:sz w:val="16"/>
      </w:rPr>
      <w:t>Australian Prudential Regulation Authority</w:t>
      <w:tab/>
    </w:r>
    <w:r>
      <w:rPr>
        <w:rFonts w:ascii="Arial" w:hAnsi="Arial"/>
        <w:color w:val="595959"/>
        <w:sz w:val="16"/>
      </w:rPr>
      <w:t xml:space="preserve">Page </w:t>
    </w:r>
    <w:r>
      <w:rPr>
        <w:rFonts w:ascii="Arial" w:hAnsi="Arial"/>
        <w:color w:val="595959"/>
        <w:sz w:val="16"/>
      </w:rPr>
      <w:fldChar w:fldCharType="begin"/>
      <w:instrText xml:space="preserve"> PAGE </w:instrText>
      <w:fldChar w:fldCharType="end"/>
    </w:r>
    <w:r>
      <w:rPr>
        <w:rFonts w:ascii="Arial" w:hAnsi="Arial"/>
        <w:color w:val="595959"/>
        <w:sz w:val="16"/>
      </w:rPr>
      <w:t xml:space="preserve"> of </w:t>
    </w:r>
    <w:r>
      <w:rPr>
        <w:rFonts w:ascii="Arial" w:hAnsi="Arial"/>
        <w:color w:val="595959"/>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ocMeta"/>
      <w:jc w:val="right"/>
      <w:pBdr>
        <w:bottom w:val="single" w:sz="4" w:space="4" w:color="C7D0DF"/>
      </w:pBdr>
    </w:pPr>
    <w:r/>
    <w:r>
      <w:rPr>
        <w:rFonts w:ascii="Arial" w:hAnsi="Arial"/>
        <w:color w:val="595959"/>
        <w:sz w:val="16"/>
      </w:rPr>
      <w:t>CPS 240 Model Risk Management — POLICY DEVELOPMENT DRAFT — NOT IN FORCE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54" w:lineRule="auto"/>
      <w:outlineLvl w:val="0"/>
      <w:outlineLvl w:val="0"/>
      <w:keepNext/>
      <w:keepLines/>
    </w:pPr>
    <w:rPr>
      <w:rFonts w:ascii="Arial" w:hAnsi="Arial" w:eastAsia="Arial" w:cs="Arial"/>
      <w:b/>
      <w:bCs/>
      <w:i w:val="0"/>
      <w:color w:val="1B335F"/>
      <w:sz w:val="30"/>
      <w:szCs w:val="28"/>
    </w:rPr>
  </w:style>
  <w:style w:type="paragraph" w:styleId="Heading2">
    <w:name w:val="heading 2"/>
    <w:basedOn w:val="Normal"/>
    <w:next w:val="Normal"/>
    <w:link w:val="Heading2Char"/>
    <w:uiPriority w:val="9"/>
    <w:unhideWhenUsed/>
    <w:qFormat/>
    <w:rsid w:val="00FC693F"/>
    <w:pPr>
      <w:keepNext/>
      <w:keepLines/>
      <w:spacing w:before="220" w:after="80" w:line="254" w:lineRule="auto"/>
      <w:outlineLvl w:val="1"/>
      <w:outlineLvl w:val="1"/>
      <w:keepNext/>
      <w:keepLines/>
    </w:pPr>
    <w:rPr>
      <w:rFonts w:ascii="Arial" w:hAnsi="Arial" w:eastAsia="Arial" w:cs="Arial"/>
      <w:b/>
      <w:bCs/>
      <w:i w:val="0"/>
      <w:color w:val="2F5497"/>
      <w:sz w:val="23"/>
      <w:szCs w:val="26"/>
    </w:rPr>
  </w:style>
  <w:style w:type="paragraph" w:styleId="Heading3">
    <w:name w:val="heading 3"/>
    <w:basedOn w:val="Normal"/>
    <w:next w:val="Normal"/>
    <w:link w:val="Heading3Char"/>
    <w:uiPriority w:val="9"/>
    <w:unhideWhenUsed/>
    <w:qFormat/>
    <w:rsid w:val="00FC693F"/>
    <w:pPr>
      <w:keepNext/>
      <w:keepLines/>
      <w:spacing w:before="160" w:after="60" w:line="254" w:lineRule="auto"/>
      <w:outlineLvl w:val="2"/>
      <w:outlineLvl w:val="2"/>
      <w:keepNext/>
      <w:keepLines/>
    </w:pPr>
    <w:rPr>
      <w:rFonts w:ascii="Arial" w:hAnsi="Arial" w:eastAsia="Arial" w:cs="Arial"/>
      <w:b/>
      <w:bCs/>
      <w:i w:val="0"/>
      <w:color w:val="2F54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before="40" w:after="160"/>
    </w:pPr>
    <w:rPr>
      <w:rFonts w:ascii="Arial" w:hAnsi="Arial" w:eastAsia="Arial" w:cs="Arial"/>
      <w:b w:val="0"/>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0" w:after="40" w:line="254" w:lineRule="auto"/>
    </w:pPr>
    <w:rPr>
      <w:rFonts w:ascii="Arial" w:hAnsi="Arial" w:eastAsia="Arial" w:cs="Arial"/>
      <w:b/>
      <w:i w:val="0"/>
      <w:color w:val="1B335F"/>
      <w:sz w:val="52"/>
    </w:rPr>
  </w:style>
  <w:style w:type="paragraph" w:customStyle="1" w:styleId="DocSubtitle">
    <w:name w:val="DocSubtitle"/>
    <w:basedOn w:val="Normal"/>
    <w:pPr>
      <w:spacing w:before="0" w:after="40" w:line="254" w:lineRule="auto"/>
    </w:pPr>
    <w:rPr>
      <w:rFonts w:ascii="Arial" w:hAnsi="Arial" w:eastAsia="Arial" w:cs="Arial"/>
      <w:b w:val="0"/>
      <w:i w:val="0"/>
      <w:color w:val="2F5497"/>
      <w:sz w:val="26"/>
    </w:rPr>
  </w:style>
  <w:style w:type="paragraph" w:customStyle="1" w:styleId="DocMeta">
    <w:name w:val="DocMeta"/>
    <w:basedOn w:val="Normal"/>
    <w:pPr>
      <w:spacing w:before="0" w:after="40" w:line="254" w:lineRule="auto"/>
    </w:pPr>
    <w:rPr>
      <w:rFonts w:ascii="Arial" w:hAnsi="Arial" w:eastAsia="Arial" w:cs="Arial"/>
      <w:b w:val="0"/>
      <w:i w:val="0"/>
      <w:color w:val="595959"/>
      <w:sz w:val="18"/>
    </w:rPr>
  </w:style>
  <w:style w:type="paragraph" w:customStyle="1" w:styleId="Requirement">
    <w:name w:val="Requirement"/>
    <w:basedOn w:val="Normal"/>
    <w:pPr>
      <w:spacing w:before="60" w:after="120" w:line="254" w:lineRule="auto"/>
      <w:keepNext/>
      <w:keepLines/>
    </w:pPr>
    <w:rPr>
      <w:rFonts w:ascii="Arial" w:hAnsi="Arial" w:eastAsia="Arial" w:cs="Arial"/>
      <w:b/>
      <w:i w:val="0"/>
      <w:sz w:val="20"/>
    </w:rPr>
  </w:style>
  <w:style w:type="paragraph" w:customStyle="1" w:styleId="Guidance">
    <w:name w:val="Guidance"/>
    <w:basedOn w:val="Normal"/>
    <w:pPr>
      <w:spacing w:before="0" w:after="120" w:line="254" w:lineRule="auto"/>
    </w:pPr>
    <w:rPr>
      <w:rFonts w:ascii="Arial" w:hAnsi="Arial" w:eastAsia="Arial" w:cs="Arial"/>
      <w:b w:val="0"/>
      <w:i w:val="0"/>
      <w:sz w:val="20"/>
    </w:rPr>
  </w:style>
  <w:style w:type="paragraph" w:customStyle="1" w:styleId="ContentsHead">
    <w:name w:val="ContentsHead"/>
    <w:basedOn w:val="Normal"/>
    <w:pPr>
      <w:spacing w:before="80" w:after="40" w:line="254" w:lineRule="auto"/>
    </w:pPr>
    <w:rPr>
      <w:rFonts w:ascii="Arial" w:hAnsi="Arial" w:eastAsia="Arial" w:cs="Arial"/>
      <w:b/>
      <w:i w:val="0"/>
      <w:color w:val="1B335F"/>
      <w:sz w:val="20"/>
    </w:rPr>
  </w:style>
  <w:style w:type="paragraph" w:customStyle="1" w:styleId="ContentsItem">
    <w:name w:val="ContentsItem"/>
    <w:basedOn w:val="Normal"/>
    <w:pPr>
      <w:spacing w:before="0" w:after="20" w:line="254" w:lineRule="auto"/>
      <w:ind w:left="340"/>
    </w:pPr>
    <w:rPr>
      <w:rFonts w:ascii="Arial" w:hAnsi="Arial" w:eastAsia="Arial" w:cs="Arial"/>
      <w:b w:val="0"/>
      <w:i w:val="0"/>
      <w:sz w:val="20"/>
    </w:rPr>
  </w:style>
  <w:style w:type="paragraph" w:customStyle="1" w:styleId="CrossRef">
    <w:name w:val="CrossRef"/>
    <w:basedOn w:val="Normal"/>
    <w:pPr>
      <w:spacing w:before="0" w:after="160" w:line="254" w:lineRule="auto"/>
    </w:pPr>
    <w:rPr>
      <w:rFonts w:ascii="Arial" w:hAnsi="Arial" w:eastAsia="Arial" w:cs="Arial"/>
      <w:b w:val="0"/>
      <w:i/>
      <w:color w:val="2F5497"/>
      <w:sz w:val="18"/>
    </w:rPr>
  </w:style>
  <w:style w:type="paragraph" w:customStyle="1" w:styleId="SourceNote">
    <w:name w:val="SourceNote"/>
    <w:basedOn w:val="Normal"/>
    <w:pPr>
      <w:spacing w:before="0" w:after="80" w:line="254" w:lineRule="auto"/>
    </w:pPr>
    <w:rPr>
      <w:rFonts w:ascii="Arial" w:hAnsi="Arial" w:eastAsia="Arial" w:cs="Arial"/>
      <w:b w:val="0"/>
      <w:i/>
      <w:color w:val="595959"/>
      <w:sz w:val="18"/>
    </w:rPr>
  </w:style>
  <w:style w:type="paragraph" w:customStyle="1" w:styleId="Verification">
    <w:name w:val="Verification"/>
    <w:basedOn w:val="Normal"/>
    <w:pPr>
      <w:spacing w:before="0" w:after="160" w:line="254" w:lineRule="auto"/>
    </w:pPr>
    <w:rPr>
      <w:rFonts w:ascii="Arial" w:hAnsi="Arial" w:eastAsia="Arial" w:cs="Arial"/>
      <w:b w:val="0"/>
      <w:i w:val="0"/>
      <w:color w:val="9C6300"/>
      <w:sz w:val="18"/>
    </w:rPr>
  </w:style>
  <w:style w:type="paragraph" w:customStyle="1" w:styleId="Bullet">
    <w:name w:val="Bullet"/>
    <w:basedOn w:val="Normal"/>
    <w:pPr>
      <w:spacing w:before="0" w:after="60" w:line="254" w:lineRule="auto"/>
      <w:ind w:left="312"/>
    </w:pPr>
    <w:rPr>
      <w:rFonts w:ascii="Arial" w:hAnsi="Arial" w:eastAsia="Arial" w:cs="Arial"/>
      <w:b w:val="0"/>
      <w:i w:val="0"/>
      <w:sz w:val="20"/>
    </w:rPr>
  </w:style>
  <w:style w:type="paragraph" w:customStyle="1" w:styleId="TableText">
    <w:name w:val="TableText"/>
    <w:basedOn w:val="Normal"/>
    <w:pPr>
      <w:spacing w:before="20" w:after="20" w:line="254" w:lineRule="auto"/>
    </w:pPr>
    <w:rPr>
      <w:rFonts w:ascii="Arial" w:hAnsi="Arial" w:eastAsia="Arial" w:cs="Arial"/>
      <w:b w:val="0"/>
      <w:i w:val="0"/>
      <w:sz w:val="17"/>
    </w:rPr>
  </w:style>
  <w:style w:type="paragraph" w:customStyle="1" w:styleId="TableHead">
    <w:name w:val="TableHead"/>
    <w:basedOn w:val="Normal"/>
    <w:pPr>
      <w:spacing w:before="20" w:after="20" w:line="254" w:lineRule="auto"/>
    </w:pPr>
    <w:rPr>
      <w:rFonts w:ascii="Arial" w:hAnsi="Arial" w:eastAsia="Arial" w:cs="Arial"/>
      <w:b/>
      <w:i w:val="0"/>
      <w:color w:val="FFFFFF"/>
      <w:sz w:val="17"/>
    </w:rPr>
  </w:style>
  <w:style w:type="paragraph" w:customStyle="1" w:styleId="GuideBody">
    <w:name w:val="GuideBody"/>
    <w:basedOn w:val="Normal"/>
    <w:pPr>
      <w:spacing w:before="0" w:after="120" w:line="254" w:lineRule="auto"/>
    </w:pPr>
    <w:rPr>
      <w:rFonts w:ascii="Arial" w:hAnsi="Arial" w:eastAsia="Arial" w:cs="Arial"/>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