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single" w:color="00B398" w:sz="8"/>
          <w:right w:val="none" w:color="FFFFFF" w:sz="0"/>
          <w:insideH w:val="none" w:color="FFFFFF" w:sz="0"/>
          <w:insideV w:val="none" w:color="FFFFFF" w:sz="0"/>
        </w:tblBorders>
        <w:tblLayout w:type="fixed"/>
      </w:tblPr>
      <w:tblGrid>
        <w:gridCol w:w="5944"/>
        <w:gridCol w:w="3962"/>
      </w:tblGrid>
      <w:tr>
        <w:tc>
          <w:tcPr>
            <w:tcW w:type="dxa" w:w="5944"/>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Arial" w:cs="Arial" w:eastAsia="Arial" w:hAnsi="Arial"/>
                <w:b/>
                <w:bCs/>
                <w:caps/>
                <w:color w:val="00B398"/>
                <w:sz w:val="17"/>
                <w:szCs w:val="17"/>
              </w:rPr>
              <w:t xml:space="preserve">Prudential research note</w:t>
            </w:r>
          </w:p>
        </w:tc>
        <w:tc>
          <w:tcPr>
            <w:tcW w:type="dxa" w:w="3962"/>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rFonts w:ascii="Arial" w:cs="Arial" w:eastAsia="Arial" w:hAnsi="Arial"/>
                <w:color w:val="898781"/>
                <w:sz w:val="15"/>
                <w:szCs w:val="15"/>
              </w:rPr>
              <w:t xml:space="preserve">26 July 2026</w:t>
            </w:r>
          </w:p>
        </w:tc>
      </w:tr>
    </w:tbl>
    <w:p>
      <w:pPr>
        <w:spacing w:after="50" w:before="200" w:line="340"/>
      </w:pPr>
      <w:r>
        <w:rPr>
          <w:rFonts w:ascii="Arial" w:cs="Arial" w:eastAsia="Arial" w:hAnsi="Arial"/>
          <w:b/>
          <w:bCs/>
          <w:color w:val="012169"/>
          <w:sz w:val="34"/>
          <w:szCs w:val="34"/>
        </w:rPr>
        <w:t xml:space="preserve">Division 296 and the prudential framework</w:t>
      </w:r>
    </w:p>
    <w:p>
      <w:pPr>
        <w:spacing w:after="50" w:line="265"/>
      </w:pPr>
      <w:r>
        <w:rPr>
          <w:rFonts w:ascii="Arial" w:cs="Arial" w:eastAsia="Arial" w:hAnsi="Arial"/>
          <w:color w:val="52514E"/>
          <w:sz w:val="19"/>
          <w:szCs w:val="19"/>
        </w:rPr>
        <w:t xml:space="preserve">What Australia's new tax on large superannuation balances asks of prudential regulation — and what it does not</w:t>
      </w:r>
    </w:p>
    <w:p>
      <w:pPr>
        <w:pBdr>
          <w:bottom w:val="single" w:color="D9D8D2" w:sz="8" w:space="7"/>
        </w:pBdr>
        <w:spacing w:after="30" w:line="235"/>
      </w:pPr>
      <w:r>
        <w:rPr>
          <w:rFonts w:ascii="Arial" w:cs="Arial" w:eastAsia="Arial" w:hAnsi="Arial"/>
          <w:i/>
          <w:iCs/>
          <w:color w:val="898781"/>
          <w:sz w:val="14"/>
          <w:szCs w:val="14"/>
        </w:rPr>
        <w:t xml:space="preserve">Prepared from publicly available sources. Not an official publication of any regulator, and not affiliated with APRA, the ATO or Treasury. Claims marked [S] sourced · [I] inferred · [C] created — see Annex C.</w:t>
      </w:r>
    </w:p>
    <w:p>
      <w:pPr>
        <w:spacing w:after="70" w:before="0" w:line="264"/>
      </w:pPr>
      <w:r>
        <w:rPr>
          <w:rFonts w:ascii="Arial" w:cs="Arial" w:eastAsia="Arial" w:hAnsi="Arial"/>
          <w:color w:val="1A1A1A"/>
          <w:sz w:val="19"/>
          <w:szCs w:val="19"/>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012169" w:sz="24"/>
              <w:bottom w:val="none" w:color="FFFFFF" w:sz="0"/>
              <w:right w:val="none" w:color="FFFFFF" w:sz="0"/>
            </w:tcBorders>
            <w:shd w:fill="F4F9FC" w:color="auto" w:val="clear"/>
            <w:tcMar>
              <w:top w:type="dxa" w:w="150"/>
              <w:left w:type="dxa" w:w="180"/>
              <w:bottom w:type="dxa" w:w="150"/>
              <w:right w:type="dxa" w:w="180"/>
            </w:tcMar>
          </w:tcPr>
          <w:p>
            <w:pPr>
              <w:spacing w:after="80" w:line="240"/>
            </w:pPr>
            <w:r>
              <w:rPr>
                <w:rFonts w:ascii="Arial" w:cs="Arial" w:eastAsia="Arial" w:hAnsi="Arial"/>
                <w:b/>
                <w:bCs/>
                <w:caps/>
                <w:color w:val="012169"/>
                <w:sz w:val="19"/>
                <w:szCs w:val="19"/>
              </w:rPr>
              <w:t xml:space="preserve">The bottom line</w:t>
            </w:r>
          </w:p>
          <w:p>
            <w:pPr>
              <w:pStyle w:val="ListParagraph"/>
              <w:numPr>
                <w:ilvl w:val="0"/>
                <w:numId w:val="2"/>
              </w:numPr>
              <w:spacing w:after="60" w:line="258"/>
            </w:pPr>
            <w:r>
              <w:rPr>
                <w:rFonts w:ascii="Arial" w:cs="Arial" w:eastAsia="Arial" w:hAnsi="Arial"/>
                <w:color w:val="1A1A1A"/>
                <w:sz w:val="17"/>
                <w:szCs w:val="17"/>
              </w:rPr>
              <w:t xml:space="preserve">This is not a proposal. Division 296 received Royal Assent on 13 March 2026 and commenced on 1 April 2026. It first applies from the 2026-27 income year, so the first measurement year has been running since 1 July 2026. The final regulations were registered on 18 June 2026, thirteen days before that year began, and the ATO's law companion ruling explaining how to perform the calculation has not yet been published.</w:t>
            </w:r>
            <w:r>
              <w:rPr>
                <w:rFonts w:ascii="Arial" w:cs="Arial" w:eastAsia="Arial" w:hAnsi="Arial"/>
                <w:b/>
                <w:bCs/>
                <w:color w:val="00806D"/>
                <w:sz w:val="13"/>
                <w:szCs w:val="13"/>
                <w:vertAlign w:val="superscript"/>
              </w:rPr>
              <w:t xml:space="preserve"> [S]</w:t>
            </w:r>
          </w:p>
          <w:p>
            <w:pPr>
              <w:pStyle w:val="ListParagraph"/>
              <w:numPr>
                <w:ilvl w:val="0"/>
                <w:numId w:val="2"/>
              </w:numPr>
              <w:spacing w:after="60" w:line="258"/>
            </w:pPr>
            <w:r>
              <w:rPr>
                <w:rFonts w:ascii="Arial" w:cs="Arial" w:eastAsia="Arial" w:hAnsi="Arial"/>
                <w:color w:val="1A1A1A"/>
                <w:sz w:val="17"/>
                <w:szCs w:val="17"/>
              </w:rPr>
              <w:t xml:space="preserve">It is unlikely to be a liquidity event, though that comparison is this note's, not an official one. APRA's System Risk Stress Test had six large funds absorb $174 billion of cumulative demand — just under 16 per cent of net assets, peaking near $30 billion a month — while largely avoiding unlisted sales, selling listed equities instead. No official estimate of Division 296 outflow exists; scaling Treasury's superseded-design costing to the APRA-regulated share gives an indicative $0.9 billion a year, of the order of 1 per cent of the lump sums those funds already pay. On that order of magnitude a forced-asset-sale framing is not supported. The residual risk is composition, not cash: meeting calls by selling listed assets lifted the unlisted share of MySuper options from roughly 29 to 37 per cent.</w:t>
            </w:r>
            <w:r>
              <w:rPr>
                <w:rFonts w:ascii="Arial" w:cs="Arial" w:eastAsia="Arial" w:hAnsi="Arial"/>
                <w:b/>
                <w:bCs/>
                <w:color w:val="898781"/>
                <w:sz w:val="12"/>
                <w:szCs w:val="12"/>
                <w:vertAlign w:val="superscript"/>
              </w:rPr>
              <w:t xml:space="preserve"> [S] figures · [C] comparison</w:t>
            </w:r>
          </w:p>
          <w:p>
            <w:pPr>
              <w:pStyle w:val="ListParagraph"/>
              <w:numPr>
                <w:ilvl w:val="0"/>
                <w:numId w:val="2"/>
              </w:numPr>
              <w:spacing w:after="60" w:line="258"/>
            </w:pPr>
            <w:r>
              <w:rPr>
                <w:rFonts w:ascii="Arial" w:cs="Arial" w:eastAsia="Arial" w:hAnsi="Arial"/>
                <w:color w:val="1A1A1A"/>
                <w:sz w:val="17"/>
                <w:szCs w:val="17"/>
              </w:rPr>
              <w:t xml:space="preserve">The material change is that a trustee judgement now feeds an individual member's personal tax bill. Any APRA-regulated fund with more than six members and at least one member above the threshold must split fund earnings on a 'fair and reasonable' basis it designs itself, and produce that figure to the ATO on request — 28 calendar days for most funds, 10 business days for defined benefit interests. Two funds holding identical assets for identical members can lawfully report different numbers; how far apart has never been measured, and that dispersion is the most consequential unknown here. None of the 27 instruments examined governs how the judgement is made, signed off or checked.</w:t>
            </w:r>
            <w:r>
              <w:rPr>
                <w:rFonts w:ascii="Arial" w:cs="Arial" w:eastAsia="Arial" w:hAnsi="Arial"/>
                <w:b/>
                <w:bCs/>
                <w:color w:val="0072CE"/>
                <w:sz w:val="13"/>
                <w:szCs w:val="13"/>
                <w:vertAlign w:val="superscript"/>
              </w:rPr>
              <w:t xml:space="preserve"> [I]</w:t>
            </w:r>
          </w:p>
          <w:p>
            <w:pPr>
              <w:pStyle w:val="ListParagraph"/>
              <w:numPr>
                <w:ilvl w:val="0"/>
                <w:numId w:val="2"/>
              </w:numPr>
              <w:spacing w:after="60" w:line="258"/>
            </w:pPr>
            <w:r>
              <w:rPr>
                <w:rFonts w:ascii="Arial" w:cs="Arial" w:eastAsia="Arial" w:hAnsi="Arial"/>
                <w:color w:val="1A1A1A"/>
                <w:sz w:val="17"/>
                <w:szCs w:val="17"/>
              </w:rPr>
              <w:t xml:space="preserve">The prudential framework mostly already covers this. Of 27 instruments examined, 11 need no change, 11 need supervisory attention, 4 warrant updated guidance, and exactly one needs amending — SRS 611.0, APRA's own member accounts collection, whose top bracket is an open-ended '$1,000,000+', so it cannot tell a $1.1 million account from a $20 million one. The gaps are guidance, supervisory attention and data — not authority.</w:t>
            </w:r>
            <w:r>
              <w:rPr>
                <w:rFonts w:ascii="Arial" w:cs="Arial" w:eastAsia="Arial" w:hAnsi="Arial"/>
                <w:b/>
                <w:bCs/>
                <w:color w:val="0072CE"/>
                <w:sz w:val="13"/>
                <w:szCs w:val="13"/>
                <w:vertAlign w:val="superscript"/>
              </w:rPr>
              <w:t xml:space="preserve"> [I]</w:t>
            </w:r>
          </w:p>
        </w:tc>
      </w:tr>
    </w:tbl>
    <w:p>
      <w:pPr>
        <w:spacing w:after="80" w:before="0" w:line="264"/>
      </w:pPr>
      <w:r>
        <w:rPr>
          <w:rFonts w:ascii="Arial" w:cs="Arial" w:eastAsia="Arial" w:hAnsi="Arial"/>
          <w:color w:val="1A1A1A"/>
          <w:sz w:val="19"/>
          <w:szCs w:val="19"/>
        </w:rPr>
        <w:t xml:space="preserve"/>
      </w:r>
    </w:p>
    <w:p>
      <w:pPr>
        <w:spacing w:after="60" w:before="0"/>
      </w:pPr>
      <w:r>
        <w:rPr>
          <w:rFonts w:ascii="Arial" w:cs="Arial" w:eastAsia="Arial" w:hAnsi="Arial"/>
          <w:b/>
          <w:bCs/>
          <w:color w:val="0072CE"/>
          <w:sz w:val="19"/>
          <w:szCs w:val="19"/>
        </w:rPr>
        <w:t xml:space="preserve">What Division 296 now does</w:t>
      </w:r>
    </w:p>
    <w:p>
      <w:pPr>
        <w:spacing w:after="40" w:before="90"/>
        <w:jc w:val="center"/>
      </w:pPr>
      <w:r>
        <w:drawing>
          <wp:inline distT="0" distB="0" distL="0" distR="0">
            <wp:extent cx="4762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71725"/>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1 — What Division 296 charges, and on which slice of a member's balance.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rPr>
          <w:cantSplit/>
        </w:trPr>
        <w:tc>
          <w:tcPr>
            <w:tcW w:type="dxa" w:w="3302"/>
            <w:tcBorders>
              <w:top w:val="single" w:color="0072CE" w:sz="14"/>
              <w:left w:val="single" w:color="FFFFFF" w:sz="8"/>
              <w:bottom w:val="none" w:color="FFFFFF" w:sz="0"/>
              <w:right w:val="single" w:color="FFFFFF" w:sz="8"/>
            </w:tcBorders>
            <w:shd w:fill="F4F9FC" w:color="auto" w:val="clear"/>
            <w:tcMar>
              <w:top w:type="dxa" w:w="85"/>
              <w:left w:type="dxa" w:w="140"/>
              <w:bottom w:type="dxa" w:w="85"/>
              <w:right w:type="dxa" w:w="140"/>
            </w:tcMar>
          </w:tcPr>
          <w:p>
            <w:pPr>
              <w:spacing w:after="24" w:line="270"/>
            </w:pPr>
            <w:r>
              <w:rPr>
                <w:rFonts w:ascii="Arial" w:cs="Arial" w:eastAsia="Arial" w:hAnsi="Arial"/>
                <w:b/>
                <w:bCs/>
                <w:color w:val="012169"/>
                <w:sz w:val="30"/>
                <w:szCs w:val="30"/>
              </w:rPr>
              <w:t xml:space="preserve">$3m / $10m</w:t>
            </w:r>
          </w:p>
          <w:p>
            <w:pPr>
              <w:spacing w:after="0" w:line="230"/>
            </w:pPr>
            <w:r>
              <w:rPr>
                <w:rFonts w:ascii="Arial" w:cs="Arial" w:eastAsia="Arial" w:hAnsi="Arial"/>
                <w:color w:val="52514E"/>
                <w:sz w:val="13"/>
                <w:szCs w:val="13"/>
              </w:rPr>
              <w:t xml:space="preserve">Both indexed. Tax applies only to the share of earnings above them — roughly $1,800 at $3.2m, $9,000 at $4m, $63,000 at $10m (6% earnings).</w:t>
            </w:r>
            <w:r>
              <w:rPr>
                <w:rFonts w:ascii="Arial" w:cs="Arial" w:eastAsia="Arial" w:hAnsi="Arial"/>
                <w:b/>
                <w:bCs/>
                <w:color w:val="E87722"/>
                <w:sz w:val="13"/>
                <w:szCs w:val="13"/>
                <w:vertAlign w:val="superscript"/>
              </w:rPr>
              <w:t xml:space="preserve"> [C]</w:t>
            </w:r>
          </w:p>
        </w:tc>
        <w:tc>
          <w:tcPr>
            <w:tcW w:type="dxa" w:w="3302"/>
            <w:tcBorders>
              <w:top w:val="single" w:color="0072CE" w:sz="14"/>
              <w:left w:val="single" w:color="FFFFFF" w:sz="8"/>
              <w:bottom w:val="none" w:color="FFFFFF" w:sz="0"/>
              <w:right w:val="single" w:color="FFFFFF" w:sz="8"/>
            </w:tcBorders>
            <w:shd w:fill="F4F9FC" w:color="auto" w:val="clear"/>
            <w:tcMar>
              <w:top w:type="dxa" w:w="85"/>
              <w:left w:type="dxa" w:w="140"/>
              <w:bottom w:type="dxa" w:w="85"/>
              <w:right w:type="dxa" w:w="140"/>
            </w:tcMar>
          </w:tcPr>
          <w:p>
            <w:pPr>
              <w:spacing w:after="24" w:line="270"/>
            </w:pPr>
            <w:r>
              <w:rPr>
                <w:rFonts w:ascii="Arial" w:cs="Arial" w:eastAsia="Arial" w:hAnsi="Arial"/>
                <w:b/>
                <w:bCs/>
                <w:color w:val="012169"/>
                <w:sz w:val="30"/>
                <w:szCs w:val="30"/>
              </w:rPr>
              <w:t xml:space="preserve">$1m+</w:t>
            </w:r>
          </w:p>
          <w:p>
            <w:pPr>
              <w:spacing w:after="0" w:line="230"/>
            </w:pPr>
            <w:r>
              <w:rPr>
                <w:rFonts w:ascii="Arial" w:cs="Arial" w:eastAsia="Arial" w:hAnsi="Arial"/>
                <w:color w:val="52514E"/>
                <w:sz w:val="13"/>
                <w:szCs w:val="13"/>
              </w:rPr>
              <w:t xml:space="preserve">APRA's top balance bracket — a third of the lower threshold. The affected population cannot be counted from APRA's collections.</w:t>
            </w:r>
            <w:r>
              <w:rPr>
                <w:rFonts w:ascii="Arial" w:cs="Arial" w:eastAsia="Arial" w:hAnsi="Arial"/>
                <w:b/>
                <w:bCs/>
                <w:color w:val="0072CE"/>
                <w:sz w:val="13"/>
                <w:szCs w:val="13"/>
                <w:vertAlign w:val="superscript"/>
              </w:rPr>
              <w:t xml:space="preserve"> [I]</w:t>
            </w:r>
          </w:p>
        </w:tc>
        <w:tc>
          <w:tcPr>
            <w:tcW w:type="dxa" w:w="3302"/>
            <w:tcBorders>
              <w:top w:val="single" w:color="0072CE" w:sz="14"/>
              <w:left w:val="single" w:color="FFFFFF" w:sz="8"/>
              <w:bottom w:val="none" w:color="FFFFFF" w:sz="0"/>
              <w:right w:val="single" w:color="FFFFFF" w:sz="8"/>
            </w:tcBorders>
            <w:shd w:fill="F4F9FC" w:color="auto" w:val="clear"/>
            <w:tcMar>
              <w:top w:type="dxa" w:w="85"/>
              <w:left w:type="dxa" w:w="140"/>
              <w:bottom w:type="dxa" w:w="85"/>
              <w:right w:type="dxa" w:w="140"/>
            </w:tcMar>
          </w:tcPr>
          <w:p>
            <w:pPr>
              <w:spacing w:after="24" w:line="270"/>
            </w:pPr>
            <w:r>
              <w:rPr>
                <w:rFonts w:ascii="Arial" w:cs="Arial" w:eastAsia="Arial" w:hAnsi="Arial"/>
                <w:b/>
                <w:bCs/>
                <w:color w:val="012169"/>
                <w:sz w:val="30"/>
                <w:szCs w:val="30"/>
              </w:rPr>
              <w:t xml:space="preserve">30 Jun 2027</w:t>
            </w:r>
          </w:p>
          <w:p>
            <w:pPr>
              <w:spacing w:after="0" w:line="230"/>
            </w:pPr>
            <w:r>
              <w:rPr>
                <w:rFonts w:ascii="Arial" w:cs="Arial" w:eastAsia="Arial" w:hAnsi="Arial"/>
                <w:color w:val="52514E"/>
                <w:sz w:val="13"/>
                <w:szCs w:val="13"/>
              </w:rPr>
              <w:t xml:space="preserve">First measurement of balances. The attribution method must be settled and reproducible well before it.</w:t>
            </w:r>
            <w:r>
              <w:rPr>
                <w:rFonts w:ascii="Arial" w:cs="Arial" w:eastAsia="Arial" w:hAnsi="Arial"/>
                <w:b/>
                <w:bCs/>
                <w:color w:val="0072CE"/>
                <w:sz w:val="13"/>
                <w:szCs w:val="13"/>
                <w:vertAlign w:val="superscript"/>
              </w:rPr>
              <w:t xml:space="preserve"> [I]</w:t>
            </w:r>
          </w:p>
        </w:tc>
      </w:tr>
    </w:tbl>
    <w:p>
      <w:r>
        <w:br w:type="page"/>
      </w:r>
    </w:p>
    <w:p>
      <w:pPr>
        <w:spacing w:after="60" w:before="0"/>
      </w:pPr>
      <w:r>
        <w:rPr>
          <w:rFonts w:ascii="Arial" w:cs="Arial" w:eastAsia="Arial" w:hAnsi="Arial"/>
          <w:b/>
          <w:bCs/>
          <w:color w:val="0072CE"/>
          <w:sz w:val="19"/>
          <w:szCs w:val="19"/>
        </w:rPr>
        <w:t xml:space="preserve">Why this is a prudential matter, not just a tax matter</w:t>
      </w:r>
    </w:p>
    <w:p>
      <w:pPr>
        <w:pStyle w:val="ListParagraph"/>
        <w:numPr>
          <w:ilvl w:val="0"/>
          <w:numId w:val="2"/>
        </w:numPr>
        <w:spacing w:after="50" w:before="0" w:line="258"/>
      </w:pPr>
      <w:r>
        <w:rPr>
          <w:rFonts w:ascii="Arial" w:cs="Arial" w:eastAsia="Arial" w:hAnsi="Arial"/>
          <w:color w:val="1A1A1A"/>
          <w:sz w:val="17"/>
          <w:szCs w:val="17"/>
        </w:rPr>
        <w:t xml:space="preserve">The tax is assessed on the member, but the work lands on the trustee — a calculation and attribution function that did not exist before, and that no prudential standard was written for.</w:t>
      </w:r>
      <w:r>
        <w:rPr>
          <w:rFonts w:ascii="Arial" w:cs="Arial" w:eastAsia="Arial" w:hAnsi="Arial"/>
          <w:b/>
          <w:bCs/>
          <w:color w:val="0072CE"/>
          <w:sz w:val="13"/>
          <w:szCs w:val="13"/>
          <w:vertAlign w:val="superscript"/>
        </w:rPr>
        <w:t xml:space="preserve"> [I]</w:t>
      </w:r>
    </w:p>
    <w:p>
      <w:pPr>
        <w:pStyle w:val="ListParagraph"/>
        <w:numPr>
          <w:ilvl w:val="0"/>
          <w:numId w:val="2"/>
        </w:numPr>
        <w:spacing w:after="50" w:before="0" w:line="258"/>
      </w:pPr>
      <w:r>
        <w:rPr>
          <w:rFonts w:ascii="Arial" w:cs="Arial" w:eastAsia="Arial" w:hAnsi="Arial"/>
          <w:color w:val="1A1A1A"/>
          <w:sz w:val="17"/>
          <w:szCs w:val="17"/>
        </w:rPr>
        <w:t xml:space="preserve">The attribution standard is a discretion, not a formula. The dividing line is member count, not which regulator applies: funds with more than six members design their own 'fair and reasonable' basis, while funds of six or fewer — including APRA's own small funds — get a prescribed formula and an annual actuarial certificate. The principles-based test therefore falls on every APRA-regulated fund of any size.</w:t>
      </w:r>
      <w:r>
        <w:rPr>
          <w:rFonts w:ascii="Arial" w:cs="Arial" w:eastAsia="Arial" w:hAnsi="Arial"/>
          <w:b/>
          <w:bCs/>
          <w:color w:val="0072CE"/>
          <w:sz w:val="13"/>
          <w:szCs w:val="13"/>
          <w:vertAlign w:val="superscript"/>
        </w:rPr>
        <w:t xml:space="preserve"> [I]</w:t>
      </w:r>
    </w:p>
    <w:p>
      <w:pPr>
        <w:pStyle w:val="ListParagraph"/>
        <w:numPr>
          <w:ilvl w:val="0"/>
          <w:numId w:val="2"/>
        </w:numPr>
        <w:spacing w:after="50" w:before="0" w:line="258"/>
      </w:pPr>
      <w:r>
        <w:rPr>
          <w:rFonts w:ascii="Arial" w:cs="Arial" w:eastAsia="Arial" w:hAnsi="Arial"/>
          <w:color w:val="1A1A1A"/>
          <w:sz w:val="17"/>
          <w:szCs w:val="17"/>
        </w:rPr>
        <w:t xml:space="preserve">It is a member-equity problem wearing a tax label. A whole-of-fund tax figure and a daily unit price cannot be reconciled exactly, so any method advantages some members over others — and ASFA has asked that the judgement sit outside AFCA's reach.</w:t>
      </w:r>
      <w:r>
        <w:rPr>
          <w:rFonts w:ascii="Arial" w:cs="Arial" w:eastAsia="Arial" w:hAnsi="Arial"/>
          <w:b/>
          <w:bCs/>
          <w:color w:val="E87722"/>
          <w:sz w:val="13"/>
          <w:szCs w:val="13"/>
          <w:vertAlign w:val="superscript"/>
        </w:rPr>
        <w:t xml:space="preserve"> [C]</w:t>
      </w:r>
    </w:p>
    <w:p>
      <w:pPr>
        <w:pStyle w:val="ListParagraph"/>
        <w:numPr>
          <w:ilvl w:val="0"/>
          <w:numId w:val="2"/>
        </w:numPr>
        <w:spacing w:after="50" w:before="0" w:line="258"/>
      </w:pPr>
      <w:r>
        <w:rPr>
          <w:rFonts w:ascii="Arial" w:cs="Arial" w:eastAsia="Arial" w:hAnsi="Arial"/>
          <w:color w:val="1A1A1A"/>
          <w:sz w:val="17"/>
          <w:szCs w:val="17"/>
        </w:rPr>
        <w:t xml:space="preserve">There is a hard new duty on a short clock: 14 days for a fund to tell the ATO when an end benefit will be paid, and 7 to correct a material error. The Commissioner keeps the Division 296 debt account for decades, so the fund's member-level records behind it must survive mergers, transfers and changes of administrator — on a transfer protocol that has not yet been settled.</w:t>
      </w:r>
      <w:r>
        <w:rPr>
          <w:rFonts w:ascii="Arial" w:cs="Arial" w:eastAsia="Arial" w:hAnsi="Arial"/>
          <w:b/>
          <w:bCs/>
          <w:color w:val="00806D"/>
          <w:sz w:val="13"/>
          <w:szCs w:val="13"/>
          <w:vertAlign w:val="superscript"/>
        </w:rPr>
        <w:t xml:space="preserve"> [S]</w:t>
      </w:r>
    </w:p>
    <w:p>
      <w:pPr>
        <w:pStyle w:val="ListParagraph"/>
        <w:numPr>
          <w:ilvl w:val="0"/>
          <w:numId w:val="2"/>
        </w:numPr>
        <w:spacing w:after="50" w:before="0" w:line="258"/>
      </w:pPr>
      <w:r>
        <w:rPr>
          <w:rFonts w:ascii="Arial" w:cs="Arial" w:eastAsia="Arial" w:hAnsi="Arial"/>
          <w:color w:val="1A1A1A"/>
          <w:sz w:val="17"/>
          <w:szCs w:val="17"/>
        </w:rPr>
        <w:t xml:space="preserve">The affected population is largely invisible to the prudential regulator. APRA's highest published balance bracket is $1 million, and more brackets would show where the very large accounts sit — but because the threshold spans everything a person holds across every fund, no per-fund collection can produce the threshold view. Only the ATO holds that.</w:t>
      </w:r>
      <w:r>
        <w:rPr>
          <w:rFonts w:ascii="Arial" w:cs="Arial" w:eastAsia="Arial" w:hAnsi="Arial"/>
          <w:b/>
          <w:bCs/>
          <w:color w:val="00806D"/>
          <w:sz w:val="13"/>
          <w:szCs w:val="13"/>
          <w:vertAlign w:val="superscript"/>
        </w:rPr>
        <w:t xml:space="preserve"> [S]</w:t>
      </w:r>
    </w:p>
    <w:p>
      <w:pPr>
        <w:pBdr>
          <w:bottom w:val="single" w:color="0072CE" w:sz="6" w:space="4"/>
        </w:pBdr>
        <w:spacing w:after="100" w:before="240"/>
      </w:pPr>
      <w:r>
        <w:rPr>
          <w:rFonts w:ascii="Arial" w:cs="Arial" w:eastAsia="Arial" w:hAnsi="Arial"/>
          <w:b/>
          <w:bCs/>
          <w:color w:val="012169"/>
          <w:sz w:val="22"/>
          <w:szCs w:val="22"/>
        </w:rPr>
        <w:t xml:space="preserve">Where the prudential risk actually sits</w:t>
      </w:r>
    </w:p>
    <w:p>
      <w:pPr>
        <w:spacing w:after="90" w:before="0" w:line="264"/>
      </w:pPr>
      <w:r>
        <w:rPr>
          <w:rFonts w:ascii="Arial" w:cs="Arial" w:eastAsia="Arial" w:hAnsi="Arial"/>
          <w:color w:val="1A1A1A"/>
          <w:sz w:val="17"/>
          <w:szCs w:val="17"/>
        </w:rPr>
        <w:t xml:space="preserve">Each issue is graded on three things: how material it is prudentially, how likely the adverse consequence is to crystallise, and how directly APRA can act on it. </w:t>
      </w:r>
      <w:r>
        <w:rPr>
          <w:rFonts w:ascii="Arial" w:cs="Arial" w:eastAsia="Arial" w:hAnsi="Arial"/>
          <w:b/>
          <w:bCs/>
          <w:color w:val="1A1A1A"/>
          <w:sz w:val="17"/>
          <w:szCs w:val="17"/>
        </w:rPr>
        <w:t xml:space="preserve">A serious problem that belongs to Treasury is not automatically a priority for the prudential regulator — the map separates the two.</w:t>
      </w:r>
    </w:p>
    <w:p>
      <w:pPr>
        <w:spacing w:after="40" w:before="90"/>
        <w:jc w:val="center"/>
      </w:pPr>
      <w:r>
        <w:drawing>
          <wp:inline distT="0" distB="0" distL="0" distR="0">
            <wp:extent cx="614362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2286000"/>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2 — The graded issues. Position shows materiality against how directly APRA can act; bubble size shows likelihood.</w:t>
      </w:r>
    </w:p>
    <w:p>
      <w:pPr>
        <w:spacing w:after="60" w:before="160"/>
      </w:pPr>
      <w:r>
        <w:rPr>
          <w:rFonts w:ascii="Arial" w:cs="Arial" w:eastAsia="Arial" w:hAnsi="Arial"/>
          <w:b/>
          <w:bCs/>
          <w:color w:val="0072CE"/>
          <w:sz w:val="19"/>
          <w:szCs w:val="19"/>
        </w:rPr>
        <w:t xml:space="preserve">The graded issues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400"/>
        <w:gridCol w:w="860"/>
        <w:gridCol w:w="1150"/>
        <w:gridCol w:w="2936"/>
      </w:tblGrid>
      <w:tr>
        <w:trPr>
          <w:tblHeader/>
        </w:trPr>
        <w:tc>
          <w:tcPr>
            <w:tcW w:type="dxa" w:w="56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ID</w:t>
            </w:r>
          </w:p>
        </w:tc>
        <w:tc>
          <w:tcPr>
            <w:tcW w:type="dxa" w:w="44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Issue</w:t>
            </w:r>
          </w:p>
        </w:tc>
        <w:tc>
          <w:tcPr>
            <w:tcW w:type="dxa" w:w="86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Grade</w:t>
            </w:r>
          </w:p>
        </w:tc>
        <w:tc>
          <w:tcPr>
            <w:tcW w:type="dxa" w:w="115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M · L · P</w:t>
            </w:r>
          </w:p>
        </w:tc>
        <w:tc>
          <w:tcPr>
            <w:tcW w:type="dxa" w:w="293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it needs</w:t>
            </w:r>
          </w:p>
        </w:tc>
      </w:tr>
      <w:tr>
        <w:tc>
          <w:tcPr>
            <w:tcW w:type="dxa" w:w="5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P1</w:t>
            </w:r>
          </w:p>
        </w:tc>
        <w:tc>
          <w:tcPr>
            <w:tcW w:type="dxa" w:w="4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One administrator's calculation engine will serve many funds at once</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8"/>
                <w:szCs w:val="18"/>
              </w:rPr>
              <w:t xml:space="preserve">A</w:t>
            </w:r>
          </w:p>
        </w:tc>
        <w:tc>
          <w:tcPr>
            <w:tcW w:type="dxa" w:w="115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4 · 3 · 5</w:t>
            </w:r>
          </w:p>
        </w:tc>
        <w:tc>
          <w:tcPr>
            <w:tcW w:type="dxa" w:w="293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Supervision</w:t>
            </w:r>
          </w:p>
        </w:tc>
      </w:tr>
      <w:tr>
        <w:tc>
          <w:tcPr>
            <w:tcW w:type="dxa" w:w="5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P2</w:t>
            </w:r>
          </w:p>
        </w:tc>
        <w:tc>
          <w:tcPr>
            <w:tcW w:type="dxa" w:w="4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Fund administration must now perform a new statutory calculation</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8"/>
                <w:szCs w:val="18"/>
              </w:rPr>
              <w:t xml:space="preserve">A</w:t>
            </w:r>
          </w:p>
        </w:tc>
        <w:tc>
          <w:tcPr>
            <w:tcW w:type="dxa" w:w="115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4 · 3 · 5</w:t>
            </w:r>
          </w:p>
        </w:tc>
        <w:tc>
          <w:tcPr>
            <w:tcW w:type="dxa" w:w="293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Supervision</w:t>
            </w:r>
          </w:p>
        </w:tc>
      </w:tr>
      <w:tr>
        <w:tc>
          <w:tcPr>
            <w:tcW w:type="dxa" w:w="5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P3</w:t>
            </w:r>
          </w:p>
        </w:tc>
        <w:tc>
          <w:tcPr>
            <w:tcW w:type="dxa" w:w="4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A trustee judgement now drives an identified member's personal tax bill</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8"/>
                <w:szCs w:val="18"/>
              </w:rPr>
              <w:t xml:space="preserve">A</w:t>
            </w:r>
          </w:p>
        </w:tc>
        <w:tc>
          <w:tcPr>
            <w:tcW w:type="dxa" w:w="115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4 · 3 · 4</w:t>
            </w:r>
          </w:p>
        </w:tc>
        <w:tc>
          <w:tcPr>
            <w:tcW w:type="dxa" w:w="293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Guidance</w:t>
            </w:r>
          </w:p>
        </w:tc>
      </w:tr>
      <w:tr>
        <w:tc>
          <w:tcPr>
            <w:tcW w:type="dxa" w:w="5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P4</w:t>
            </w:r>
          </w:p>
        </w:tc>
        <w:tc>
          <w:tcPr>
            <w:tcW w:type="dxa" w:w="4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Three separate blind spots on the same process</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8"/>
                <w:szCs w:val="18"/>
              </w:rPr>
              <w:t xml:space="preserve">B</w:t>
            </w:r>
          </w:p>
        </w:tc>
        <w:tc>
          <w:tcPr>
            <w:tcW w:type="dxa" w:w="115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3 · 3 · 5</w:t>
            </w:r>
          </w:p>
        </w:tc>
        <w:tc>
          <w:tcPr>
            <w:tcW w:type="dxa" w:w="293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Guidance</w:t>
            </w:r>
          </w:p>
        </w:tc>
      </w:tr>
      <w:tr>
        <w:tc>
          <w:tcPr>
            <w:tcW w:type="dxa" w:w="5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P5</w:t>
            </w:r>
          </w:p>
        </w:tc>
        <w:tc>
          <w:tcPr>
            <w:tcW w:type="dxa" w:w="4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Removing the tax on paper gains did not close the valuation file</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8"/>
                <w:szCs w:val="18"/>
              </w:rPr>
              <w:t xml:space="preserve">B</w:t>
            </w:r>
          </w:p>
        </w:tc>
        <w:tc>
          <w:tcPr>
            <w:tcW w:type="dxa" w:w="115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3 · 3 · 5</w:t>
            </w:r>
          </w:p>
        </w:tc>
        <w:tc>
          <w:tcPr>
            <w:tcW w:type="dxa" w:w="293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Supervision</w:t>
            </w:r>
          </w:p>
        </w:tc>
      </w:tr>
      <w:tr>
        <w:tc>
          <w:tcPr>
            <w:tcW w:type="dxa" w:w="5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P6</w:t>
            </w:r>
          </w:p>
        </w:tc>
        <w:tc>
          <w:tcPr>
            <w:tcW w:type="dxa" w:w="4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APRA cannot see the affected population</w:t>
            </w:r>
            <w:r>
              <w:rPr>
                <w:rFonts w:ascii="Arial" w:cs="Arial" w:eastAsia="Arial" w:hAnsi="Arial"/>
                <w:b/>
                <w:bCs/>
                <w:color w:val="00806D"/>
                <w:sz w:val="13"/>
                <w:szCs w:val="13"/>
                <w:vertAlign w:val="superscript"/>
              </w:rPr>
              <w:t xml:space="preserve"> [S]</w:t>
            </w:r>
          </w:p>
        </w:tc>
        <w:tc>
          <w:tcPr>
            <w:tcW w:type="dxa" w:w="8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8"/>
                <w:szCs w:val="18"/>
              </w:rPr>
              <w:t xml:space="preserve">B</w:t>
            </w:r>
          </w:p>
        </w:tc>
        <w:tc>
          <w:tcPr>
            <w:tcW w:type="dxa" w:w="115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3 · 3 · 5</w:t>
            </w:r>
          </w:p>
        </w:tc>
        <w:tc>
          <w:tcPr>
            <w:tcW w:type="dxa" w:w="293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Amend a standard</w:t>
            </w:r>
          </w:p>
        </w:tc>
      </w:tr>
      <w:tr>
        <w:tc>
          <w:tcPr>
            <w:tcW w:type="dxa" w:w="5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P7</w:t>
            </w:r>
          </w:p>
        </w:tc>
        <w:tc>
          <w:tcPr>
            <w:tcW w:type="dxa" w:w="4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Two major changes commence on the same day</w:t>
            </w:r>
            <w:r>
              <w:rPr>
                <w:rFonts w:ascii="Arial" w:cs="Arial" w:eastAsia="Arial" w:hAnsi="Arial"/>
                <w:b/>
                <w:bCs/>
                <w:color w:val="00806D"/>
                <w:sz w:val="13"/>
                <w:szCs w:val="13"/>
                <w:vertAlign w:val="superscript"/>
              </w:rPr>
              <w:t xml:space="preserve"> [S]</w:t>
            </w:r>
          </w:p>
        </w:tc>
        <w:tc>
          <w:tcPr>
            <w:tcW w:type="dxa" w:w="8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8"/>
                <w:szCs w:val="18"/>
              </w:rPr>
              <w:t xml:space="preserve">B</w:t>
            </w:r>
          </w:p>
        </w:tc>
        <w:tc>
          <w:tcPr>
            <w:tcW w:type="dxa" w:w="115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3 · 3 · 5</w:t>
            </w:r>
          </w:p>
        </w:tc>
        <w:tc>
          <w:tcPr>
            <w:tcW w:type="dxa" w:w="293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Supervision</w:t>
            </w:r>
          </w:p>
        </w:tc>
      </w:tr>
    </w:tbl>
    <w:p>
      <w:pPr>
        <w:spacing w:after="0" w:before="70" w:line="264"/>
      </w:pPr>
      <w:r>
        <w:rPr>
          <w:rFonts w:ascii="Arial" w:cs="Arial" w:eastAsia="Arial" w:hAnsi="Arial"/>
          <w:color w:val="898781"/>
          <w:sz w:val="13"/>
          <w:szCs w:val="13"/>
        </w:rPr>
        <w:t xml:space="preserve">A = high materiality, directly actionable · B = material, indirect or contingent · C = peripheral to the prudential remit.  Scores out of 5.  All 18 issues are in Annex A.</w:t>
      </w:r>
    </w:p>
    <w:p>
      <w:r>
        <w:br w:type="page"/>
      </w:r>
    </w:p>
    <w:p>
      <w:pPr>
        <w:pBdr>
          <w:bottom w:val="single" w:color="0072CE" w:sz="6" w:space="4"/>
        </w:pBdr>
        <w:spacing w:after="100" w:before="0"/>
      </w:pPr>
      <w:r>
        <w:rPr>
          <w:rFonts w:ascii="Arial" w:cs="Arial" w:eastAsia="Arial" w:hAnsi="Arial"/>
          <w:b/>
          <w:bCs/>
          <w:color w:val="012169"/>
          <w:sz w:val="22"/>
          <w:szCs w:val="22"/>
        </w:rPr>
        <w:t xml:space="preserve">What the prudential framework actually needs</w:t>
      </w:r>
    </w:p>
    <w:p>
      <w:pPr>
        <w:spacing w:after="70" w:before="0" w:line="264"/>
      </w:pPr>
      <w:r>
        <w:rPr>
          <w:rFonts w:ascii="Arial" w:cs="Arial" w:eastAsia="Arial" w:hAnsi="Arial"/>
          <w:color w:val="1A1A1A"/>
          <w:sz w:val="16"/>
          <w:szCs w:val="16"/>
        </w:rPr>
        <w:t xml:space="preserve">The most useful finding here is a negative one. Division 296 does not require the prudential framework to be rewritten. Of 27 instruments examined: 11 need no change at all, 11 need only supervisory attention, 4 warrant updated guidance, and exactly one needs amending — SRS 611.0, APRA's own member accounts collection, whose top bracket opens at $1,000,000 — a third of the lower threshold — and is not subdivided above it. The authority already exists. SPS 530 requires a Board-approved investment stress testing programme covering adverse scenarios, and SPG 530 para 79(e) expressly names a change in government policy affecting access to accrued member assets as a liquidity stress factor a prudent licensee would consider; CPS 230 para 36(c) requires an RSE licensee to classify investment management and fund administration as critical operations unless it can justify otherwise. What is missing is guidance confirming these obligations apply to a tax event as much as a market one, supervisory attention on the cohort facing the hardest attribution problem, and data granular enough to observe how the measure lands.</w:t>
      </w:r>
    </w:p>
    <w:p>
      <w:pPr>
        <w:spacing w:after="40" w:before="90"/>
        <w:jc w:val="center"/>
      </w:pPr>
      <w:r>
        <w:drawing>
          <wp:inline distT="0" distB="0" distL="0" distR="0">
            <wp:extent cx="519112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1171575"/>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3 — What each part of the framework needs. Most of the hooks already exist.</w:t>
      </w:r>
    </w:p>
    <w:p>
      <w:pPr>
        <w:pBdr>
          <w:bottom w:val="single" w:color="0072CE" w:sz="6" w:space="4"/>
        </w:pBdr>
        <w:spacing w:after="100" w:before="240"/>
      </w:pPr>
      <w:r>
        <w:rPr>
          <w:rFonts w:ascii="Arial" w:cs="Arial" w:eastAsia="Arial" w:hAnsi="Arial"/>
          <w:b/>
          <w:bCs/>
          <w:color w:val="012169"/>
          <w:sz w:val="22"/>
          <w:szCs w:val="22"/>
        </w:rPr>
        <w:t xml:space="preserve">The runway — when the method fixes</w:t>
      </w:r>
    </w:p>
    <w:p>
      <w:pPr>
        <w:spacing w:after="40" w:before="90"/>
        <w:jc w:val="center"/>
      </w:pPr>
      <w:r>
        <w:drawing>
          <wp:inline distT="0" distB="0" distL="0" distR="0">
            <wp:extent cx="51911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1704975"/>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4 — The runway. The method fixes when the ATO guidance finalises; the first measurement locks at 30 June 2027.</w:t>
      </w:r>
    </w:p>
    <w:p>
      <w:pPr>
        <w:pBdr>
          <w:bottom w:val="single" w:color="0072CE" w:sz="6" w:space="4"/>
        </w:pBdr>
        <w:spacing w:after="100" w:before="240"/>
      </w:pPr>
      <w:r>
        <w:rPr>
          <w:rFonts w:ascii="Arial" w:cs="Arial" w:eastAsia="Arial" w:hAnsi="Arial"/>
          <w:b/>
          <w:bCs/>
          <w:color w:val="012169"/>
          <w:sz w:val="22"/>
          <w:szCs w:val="22"/>
        </w:rPr>
        <w:t xml:space="preserve">Implications</w:t>
      </w:r>
    </w:p>
    <w:p>
      <w:pPr>
        <w:pStyle w:val="ListParagraph"/>
        <w:numPr>
          <w:ilvl w:val="0"/>
          <w:numId w:val="2"/>
        </w:numPr>
        <w:spacing w:after="34" w:line="236"/>
      </w:pPr>
      <w:r>
        <w:rPr>
          <w:rFonts w:ascii="Arial" w:cs="Arial" w:eastAsia="Arial" w:hAnsi="Arial"/>
          <w:b/>
          <w:bCs/>
          <w:caps/>
          <w:color w:val="00B398"/>
          <w:sz w:val="15"/>
          <w:szCs w:val="15"/>
        </w:rPr>
        <w:t xml:space="preserve">Now  </w:t>
      </w:r>
      <w:r>
        <w:rPr>
          <w:rFonts w:ascii="Arial" w:cs="Arial" w:eastAsia="Arial" w:hAnsi="Arial"/>
          <w:color w:val="1A1A1A"/>
          <w:sz w:val="17"/>
          <w:szCs w:val="17"/>
        </w:rPr>
        <w:t xml:space="preserve">The attribution work still under way is the last point at which prudential and member-outcomes considerations can be reflected in how the measure operates. The attribution rule itself is settled in the final regulations; what remains open is the ATO's guidance on applying it, developed with industry through a co-design process. APRA engages with Treasury and the ATO.</w:t>
      </w:r>
      <w:r>
        <w:rPr>
          <w:rFonts w:ascii="Arial" w:cs="Arial" w:eastAsia="Arial" w:hAnsi="Arial"/>
          <w:b/>
          <w:bCs/>
          <w:color w:val="E87722"/>
          <w:sz w:val="13"/>
          <w:szCs w:val="13"/>
          <w:vertAlign w:val="superscript"/>
        </w:rPr>
        <w:t xml:space="preserve"> [C]</w:t>
      </w:r>
    </w:p>
    <w:p>
      <w:pPr>
        <w:pStyle w:val="ListParagraph"/>
        <w:numPr>
          <w:ilvl w:val="0"/>
          <w:numId w:val="2"/>
        </w:numPr>
        <w:spacing w:after="34" w:line="236"/>
      </w:pPr>
      <w:r>
        <w:rPr>
          <w:rFonts w:ascii="Arial" w:cs="Arial" w:eastAsia="Arial" w:hAnsi="Arial"/>
          <w:b/>
          <w:bCs/>
          <w:caps/>
          <w:color w:val="00B398"/>
          <w:sz w:val="15"/>
          <w:szCs w:val="15"/>
        </w:rPr>
        <w:t xml:space="preserve">Now  </w:t>
      </w:r>
      <w:r>
        <w:rPr>
          <w:rFonts w:ascii="Arial" w:cs="Arial" w:eastAsia="Arial" w:hAnsi="Arial"/>
          <w:color w:val="1A1A1A"/>
          <w:sz w:val="17"/>
          <w:szCs w:val="17"/>
        </w:rPr>
        <w:t xml:space="preserve">Confirming that existing obligations already attach would not require a new instrument: fund administration as a critical operation under CPS 230 para 36(c), investment stress testing covering adverse scenarios under SPS 530, and the annual risk management declaration under SPS 220. SPG 530 already names policy-driven liquidity stress as a factor a prudent licensee would consider, but it is guidance rather than an enforceable standard.</w:t>
      </w:r>
      <w:r>
        <w:rPr>
          <w:rFonts w:ascii="Arial" w:cs="Arial" w:eastAsia="Arial" w:hAnsi="Arial"/>
          <w:b/>
          <w:bCs/>
          <w:color w:val="E87722"/>
          <w:sz w:val="13"/>
          <w:szCs w:val="13"/>
          <w:vertAlign w:val="superscript"/>
        </w:rPr>
        <w:t xml:space="preserve"> [C]</w:t>
      </w:r>
    </w:p>
    <w:p>
      <w:pPr>
        <w:pStyle w:val="ListParagraph"/>
        <w:numPr>
          <w:ilvl w:val="0"/>
          <w:numId w:val="2"/>
        </w:numPr>
        <w:spacing w:after="34" w:line="236"/>
      </w:pPr>
      <w:r>
        <w:rPr>
          <w:rFonts w:ascii="Arial" w:cs="Arial" w:eastAsia="Arial" w:hAnsi="Arial"/>
          <w:b/>
          <w:bCs/>
          <w:caps/>
          <w:color w:val="00B398"/>
          <w:sz w:val="15"/>
          <w:szCs w:val="15"/>
        </w:rPr>
        <w:t xml:space="preserve">Now  </w:t>
      </w:r>
      <w:r>
        <w:rPr>
          <w:rFonts w:ascii="Arial" w:cs="Arial" w:eastAsia="Arial" w:hAnsi="Arial"/>
          <w:color w:val="1A1A1A"/>
          <w:sz w:val="17"/>
          <w:szCs w:val="17"/>
        </w:rPr>
        <w:t xml:space="preserve">The material service provider registers APRA already holds can map which administrators will build this for how many funds, allowing engagement provider by provider rather than licensee by licensee.</w:t>
      </w:r>
      <w:r>
        <w:rPr>
          <w:rFonts w:ascii="Arial" w:cs="Arial" w:eastAsia="Arial" w:hAnsi="Arial"/>
          <w:b/>
          <w:bCs/>
          <w:color w:val="0072CE"/>
          <w:sz w:val="13"/>
          <w:szCs w:val="13"/>
          <w:vertAlign w:val="superscript"/>
        </w:rPr>
        <w:t xml:space="preserve"> [I]</w:t>
      </w:r>
    </w:p>
    <w:p>
      <w:pPr>
        <w:pStyle w:val="ListParagraph"/>
        <w:numPr>
          <w:ilvl w:val="0"/>
          <w:numId w:val="2"/>
        </w:numPr>
        <w:spacing w:after="34" w:line="236"/>
      </w:pPr>
      <w:r>
        <w:rPr>
          <w:rFonts w:ascii="Arial" w:cs="Arial" w:eastAsia="Arial" w:hAnsi="Arial"/>
          <w:b/>
          <w:bCs/>
          <w:caps/>
          <w:color w:val="00B398"/>
          <w:sz w:val="15"/>
          <w:szCs w:val="15"/>
        </w:rPr>
        <w:t xml:space="preserve">By Q4 2026  </w:t>
      </w:r>
      <w:r>
        <w:rPr>
          <w:rFonts w:ascii="Arial" w:cs="Arial" w:eastAsia="Arial" w:hAnsi="Arial"/>
          <w:color w:val="1A1A1A"/>
          <w:sz w:val="17"/>
          <w:szCs w:val="17"/>
        </w:rPr>
        <w:t xml:space="preserve">A defensible cohort can be built from material APRA already holds: platform, wrap and member-directed trustees, where members choose their own investments so the attribution method changes the answer, and which show the highest concentration of accounts above $1 million in APRA's Quarterly Superannuation Fund Statistics (March 2026, Table 3). The December 2024 thematic is indicative of governance capacity in that group, not evidence about tax administration.</w:t>
      </w:r>
      <w:r>
        <w:rPr>
          <w:rFonts w:ascii="Arial" w:cs="Arial" w:eastAsia="Arial" w:hAnsi="Arial"/>
          <w:b/>
          <w:bCs/>
          <w:color w:val="0072CE"/>
          <w:sz w:val="13"/>
          <w:szCs w:val="13"/>
          <w:vertAlign w:val="superscript"/>
        </w:rPr>
        <w:t xml:space="preserve"> [I]</w:t>
      </w:r>
    </w:p>
    <w:p>
      <w:pPr>
        <w:pStyle w:val="ListParagraph"/>
        <w:numPr>
          <w:ilvl w:val="0"/>
          <w:numId w:val="2"/>
        </w:numPr>
        <w:spacing w:after="34" w:line="236"/>
      </w:pPr>
      <w:r>
        <w:rPr>
          <w:rFonts w:ascii="Arial" w:cs="Arial" w:eastAsia="Arial" w:hAnsi="Arial"/>
          <w:b/>
          <w:bCs/>
          <w:caps/>
          <w:color w:val="00B398"/>
          <w:sz w:val="15"/>
          <w:szCs w:val="15"/>
        </w:rPr>
        <w:t xml:space="preserve">Before 30 Jun 2027  </w:t>
      </w:r>
      <w:r>
        <w:rPr>
          <w:rFonts w:ascii="Arial" w:cs="Arial" w:eastAsia="Arial" w:hAnsi="Arial"/>
          <w:color w:val="1A1A1A"/>
          <w:sz w:val="17"/>
          <w:szCs w:val="17"/>
        </w:rPr>
        <w:t xml:space="preserve">Modelling the 30 June 2027 measurement date falls within the investment stress testing programme SPS 530 already requires, and SPG 530 para 79(e) gives policy-driven events as an example of a liquidity stress factor a prudent licensee would consider.</w:t>
      </w:r>
      <w:r>
        <w:rPr>
          <w:rFonts w:ascii="Arial" w:cs="Arial" w:eastAsia="Arial" w:hAnsi="Arial"/>
          <w:b/>
          <w:bCs/>
          <w:color w:val="0072CE"/>
          <w:sz w:val="13"/>
          <w:szCs w:val="13"/>
          <w:vertAlign w:val="superscript"/>
        </w:rPr>
        <w:t xml:space="preserve"> [I]</w:t>
      </w:r>
    </w:p>
    <w:p>
      <w:pPr>
        <w:pStyle w:val="ListParagraph"/>
        <w:numPr>
          <w:ilvl w:val="0"/>
          <w:numId w:val="2"/>
        </w:numPr>
        <w:spacing w:after="0" w:line="236"/>
      </w:pPr>
      <w:r>
        <w:rPr>
          <w:rFonts w:ascii="Arial" w:cs="Arial" w:eastAsia="Arial" w:hAnsi="Arial"/>
          <w:b/>
          <w:bCs/>
          <w:caps/>
          <w:color w:val="00B398"/>
          <w:sz w:val="15"/>
          <w:szCs w:val="15"/>
        </w:rPr>
        <w:t xml:space="preserve">2027  </w:t>
      </w:r>
      <w:r>
        <w:rPr>
          <w:rFonts w:ascii="Arial" w:cs="Arial" w:eastAsia="Arial" w:hAnsi="Arial"/>
          <w:color w:val="1A1A1A"/>
          <w:sz w:val="17"/>
          <w:szCs w:val="17"/>
        </w:rPr>
        <w:t xml:space="preserve">Two parts of the data gap sit within APRA's own collections: the SRS 611.0 balance brackets could be extended above the thresholds, and outflows decomposed by driver. The third does not — an ATO information-sharing route for total superannuation balance turns on whether the taxation secrecy provisions permit it. If they do not, the remedy is legislative and belongs to Treasury.</w:t>
      </w:r>
      <w:r>
        <w:rPr>
          <w:rFonts w:ascii="Arial" w:cs="Arial" w:eastAsia="Arial" w:hAnsi="Arial"/>
          <w:b/>
          <w:bCs/>
          <w:color w:val="0072CE"/>
          <w:sz w:val="13"/>
          <w:szCs w:val="13"/>
          <w:vertAlign w:val="superscript"/>
        </w:rPr>
        <w:t xml:space="preserve"> [I]</w:t>
      </w:r>
    </w:p>
    <w:p>
      <w:r>
        <w:br w:type="page"/>
      </w:r>
    </w:p>
    <w:p>
      <w:pPr>
        <w:spacing w:after="30"/>
      </w:pPr>
      <w:r>
        <w:rPr>
          <w:rFonts w:ascii="Arial" w:cs="Arial" w:eastAsia="Arial" w:hAnsi="Arial"/>
          <w:b/>
          <w:bCs/>
          <w:caps/>
          <w:color w:val="00B398"/>
          <w:sz w:val="20"/>
          <w:szCs w:val="20"/>
        </w:rPr>
        <w:t xml:space="preserve">Annex</w:t>
      </w:r>
    </w:p>
    <w:p>
      <w:pPr>
        <w:pBdr>
          <w:bottom w:val="single" w:color="00B398" w:sz="12" w:space="8"/>
        </w:pBdr>
        <w:spacing w:after="60" w:line="330"/>
      </w:pPr>
      <w:r>
        <w:rPr>
          <w:rFonts w:ascii="Arial" w:cs="Arial" w:eastAsia="Arial" w:hAnsi="Arial"/>
          <w:b/>
          <w:bCs/>
          <w:color w:val="012169"/>
          <w:sz w:val="30"/>
          <w:szCs w:val="30"/>
        </w:rPr>
        <w:t xml:space="preserve">Supporting detail, evidence and audit trail</w:t>
      </w:r>
    </w:p>
    <w:p>
      <w:pPr>
        <w:spacing w:after="160" w:before="0" w:line="264"/>
      </w:pPr>
      <w:r>
        <w:rPr>
          <w:rFonts w:ascii="Arial" w:cs="Arial" w:eastAsia="Arial" w:hAnsi="Arial"/>
          <w:color w:val="52514E"/>
          <w:sz w:val="17"/>
          <w:szCs w:val="17"/>
        </w:rPr>
        <w:t xml:space="preserve">Every claim in the three-page note traces back to this annex. Nothing is asserted without a provenance mark, and all sources are public.</w:t>
      </w:r>
    </w:p>
    <w:p>
      <w:pPr>
        <w:pBdr>
          <w:bottom w:val="single" w:color="0072CE" w:sz="6" w:space="4"/>
        </w:pBdr>
        <w:spacing w:after="100" w:before="0"/>
      </w:pPr>
      <w:r>
        <w:rPr>
          <w:rFonts w:ascii="Arial" w:cs="Arial" w:eastAsia="Arial" w:hAnsi="Arial"/>
          <w:b/>
          <w:bCs/>
          <w:color w:val="012169"/>
          <w:sz w:val="22"/>
          <w:szCs w:val="22"/>
        </w:rPr>
        <w:t xml:space="preserve">Where the obligations actually sit</w:t>
      </w:r>
    </w:p>
    <w:p>
      <w:pPr>
        <w:spacing w:after="120" w:before="0" w:line="264"/>
      </w:pPr>
      <w:r>
        <w:rPr>
          <w:rFonts w:ascii="Arial" w:cs="Arial" w:eastAsia="Arial" w:hAnsi="Arial"/>
          <w:color w:val="52514E"/>
          <w:sz w:val="17"/>
          <w:szCs w:val="17"/>
        </w:rPr>
        <w:t xml:space="preserve">A note on where to look, because the numbering misleads. Division 296 of the Income Tax Assessment Act 1997 does not itself place obligations on funds — its own Guide points to the Taxation Administration Act for the administration rules, and the term 'RSE licensee' does not appear in the Act at all. It uses 'superannuation provider'. The table below sets out where each part of the machinery actually sits.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00"/>
        <w:gridCol w:w="1500"/>
        <w:gridCol w:w="1206"/>
      </w:tblGrid>
      <w:tr>
        <w:trPr>
          <w:tblHeader/>
        </w:trPr>
        <w:tc>
          <w:tcPr>
            <w:tcW w:type="dxa" w:w="23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Provision</w:t>
            </w:r>
          </w:p>
        </w:tc>
        <w:tc>
          <w:tcPr>
            <w:tcW w:type="dxa" w:w="49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it does</w:t>
            </w:r>
          </w:p>
        </w:tc>
        <w:tc>
          <w:tcPr>
            <w:tcW w:type="dxa" w:w="15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Heading</w:t>
            </w:r>
          </w:p>
        </w:tc>
        <w:tc>
          <w:tcPr>
            <w:tcW w:type="dxa" w:w="12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Obliges</w:t>
            </w:r>
          </w:p>
        </w:tc>
      </w:tr>
      <w:tr>
        <w:tc>
          <w:tcPr>
            <w:tcW w:type="dxa" w:w="2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Subdivision 296-A (ITAA 1997)</w:t>
            </w:r>
          </w:p>
        </w:tc>
        <w:tc>
          <w:tcPr>
            <w:tcW w:type="dxa" w:w="4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 single objects clause, s 296-5, and nothing else. It imposes no obligation on the trustee, the member or the Commissioner. Its only legal work is interpretive — but that matters here, because it is the lens against which a trustee's 'fair and reasonable' attribution would be construed.</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Object of this Division</w:t>
            </w:r>
          </w:p>
        </w:tc>
        <w:tc>
          <w:tcPr>
            <w:tcW w:type="dxa" w:w="12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8781"/>
                <w:sz w:val="14"/>
                <w:szCs w:val="14"/>
              </w:rPr>
              <w:t xml:space="preserve">No one</w:t>
            </w:r>
          </w:p>
        </w:tc>
      </w:tr>
      <w:tr>
        <w:tc>
          <w:tcPr>
            <w:tcW w:type="dxa" w:w="2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Subdivision 296-B (ITAA 1997)</w:t>
            </w:r>
          </w:p>
        </w:tc>
        <w:tc>
          <w:tcPr>
            <w:tcW w:type="dxa" w:w="4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Where the tax actually bites: liability (s 296-15), both thresholds (ss 296-30, 296-35), taxable and total superannuation earnings, Division 296 fund earnings (s 296-60), and the separate treatment of defined benefit and other interests (s 296-70).</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Better targeted superannuation concessions</w:t>
            </w:r>
          </w:p>
        </w:tc>
        <w:tc>
          <w:tcPr>
            <w:tcW w:type="dxa" w:w="12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4"/>
                <w:szCs w:val="14"/>
              </w:rPr>
              <w:t xml:space="preserve">The member</w:t>
            </w:r>
          </w:p>
        </w:tc>
      </w:tr>
      <w:tr>
        <w:tc>
          <w:tcPr>
            <w:tcW w:type="dxa" w:w="2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 134-140, Sch 1 TAA 1953</w:t>
            </w:r>
          </w:p>
        </w:tc>
        <w:tc>
          <w:tcPr>
            <w:tcW w:type="dxa" w:w="4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clearest new duty on a fund. Where the Commissioner keeps a Division 296 debt account for an interest and the end benefit becomes payable, the provider must notify the Commissioner of the expected payment date within 14 days, in the approved form. The section carries an express note that a dissatisfied person may complain under the AFCA scheme.</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Division 296 end benefit notice</w:t>
            </w:r>
          </w:p>
        </w:tc>
        <w:tc>
          <w:tcPr>
            <w:tcW w:type="dxa" w:w="12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4"/>
                <w:szCs w:val="14"/>
              </w:rPr>
              <w:t xml:space="preserve">The fund</w:t>
            </w:r>
          </w:p>
        </w:tc>
      </w:tr>
      <w:tr>
        <w:tc>
          <w:tcPr>
            <w:tcW w:type="dxa" w:w="2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 134-145, Sch 1 TAA 1953</w:t>
            </w:r>
          </w:p>
        </w:tc>
        <w:tc>
          <w:tcPr>
            <w:tcW w:type="dxa" w:w="4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 material change or omission in a s 134-140 notice must be corrected within 7 days of the fund becoming aware of it.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Material changes or omissions</w:t>
            </w:r>
          </w:p>
        </w:tc>
        <w:tc>
          <w:tcPr>
            <w:tcW w:type="dxa" w:w="12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4"/>
                <w:szCs w:val="14"/>
              </w:rPr>
              <w:t xml:space="preserve">The fund</w:t>
            </w:r>
          </w:p>
        </w:tc>
      </w:tr>
      <w:tr>
        <w:tc>
          <w:tcPr>
            <w:tcW w:type="dxa" w:w="2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Division 131, Sch 1 TAA 1953</w:t>
            </w:r>
          </w:p>
        </w:tc>
        <w:tc>
          <w:tcPr>
            <w:tcW w:type="dxa" w:w="4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Extends the existing release authority machinery to Division 296, so a member can direct that the liability be paid from their superannuation.</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Release authorities</w:t>
            </w:r>
          </w:p>
        </w:tc>
        <w:tc>
          <w:tcPr>
            <w:tcW w:type="dxa" w:w="12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4"/>
                <w:szCs w:val="14"/>
              </w:rPr>
              <w:t xml:space="preserve">The fund</w:t>
            </w:r>
          </w:p>
        </w:tc>
      </w:tr>
      <w:tr>
        <w:tc>
          <w:tcPr>
            <w:tcW w:type="dxa" w:w="2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Regulations F2026L00726</w:t>
            </w:r>
          </w:p>
        </w:tc>
        <w:tc>
          <w:tcPr>
            <w:tcW w:type="dxa" w:w="4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'fair and reasonable' attribution standard for funds with more than six members, and the prescribed formula plus actuarial certificate for funds with six or fewer. Made 11 June 2026, registered 18 June 2026 — thirteen days before the first measurement year began.</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Attribution method</w:t>
            </w:r>
          </w:p>
        </w:tc>
        <w:tc>
          <w:tcPr>
            <w:tcW w:type="dxa" w:w="12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4"/>
                <w:szCs w:val="14"/>
              </w:rPr>
              <w:t xml:space="preserve">The fund</w:t>
            </w:r>
          </w:p>
        </w:tc>
      </w:tr>
    </w:tbl>
    <w:p>
      <w:pPr>
        <w:spacing w:after="200" w:before="0" w:line="264"/>
      </w:pPr>
      <w:r>
        <w:rPr>
          <w:rFonts w:ascii="Arial" w:cs="Arial" w:eastAsia="Arial" w:hAnsi="Arial"/>
          <w:color w:val="1A1A1A"/>
          <w:sz w:val="19"/>
          <w:szCs w:val="19"/>
        </w:rPr>
        <w:t xml:space="preserve"/>
      </w:r>
    </w:p>
    <w:p>
      <w:pPr>
        <w:spacing w:after="40" w:before="90"/>
        <w:jc w:val="center"/>
      </w:pPr>
      <w:r>
        <w:drawing>
          <wp:inline distT="0" distB="0" distL="0" distR="0">
            <wp:extent cx="614362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609600"/>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A1 — Where the affected population actually sits. Most of it is outside the prudential perimeter.</w:t>
      </w:r>
    </w:p>
    <w:p>
      <w:pPr>
        <w:spacing w:after="60" w:before="160"/>
      </w:pPr>
      <w:r>
        <w:rPr>
          <w:rFonts w:ascii="Arial" w:cs="Arial" w:eastAsia="Arial" w:hAnsi="Arial"/>
          <w:b/>
          <w:bCs/>
          <w:color w:val="0072CE"/>
          <w:sz w:val="19"/>
          <w:szCs w:val="19"/>
        </w:rPr>
        <w:t xml:space="preserve">How much of this is ours to fix</w:t>
      </w:r>
    </w:p>
    <w:p>
      <w:pPr>
        <w:spacing w:after="40" w:before="90"/>
        <w:jc w:val="center"/>
      </w:pPr>
      <w:r>
        <w:drawing>
          <wp:inline distT="0" distB="0" distL="0" distR="0">
            <wp:extent cx="31432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133600"/>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A2 — How much of the register APRA can act on directly.</w:t>
      </w:r>
    </w:p>
    <w:p>
      <w:pPr>
        <w:pBdr>
          <w:bottom w:val="single" w:color="0072CE" w:sz="6" w:space="4"/>
        </w:pBdr>
        <w:spacing w:after="100" w:before="0"/>
      </w:pPr>
      <w:r>
        <w:rPr>
          <w:rFonts w:ascii="Arial" w:cs="Arial" w:eastAsia="Arial" w:hAnsi="Arial"/>
          <w:b/>
          <w:bCs/>
          <w:color w:val="012169"/>
          <w:sz w:val="22"/>
          <w:szCs w:val="22"/>
        </w:rPr>
        <w:t xml:space="preserve">Annex A — Full prudential issue register</w:t>
      </w:r>
    </w:p>
    <w:p>
      <w:pPr>
        <w:spacing w:after="60" w:before="200" w:line="264"/>
      </w:pPr>
      <w:r>
        <w:rPr>
          <w:rFonts w:ascii="Arial" w:cs="Arial" w:eastAsia="Arial" w:hAnsi="Arial"/>
          <w:b/>
          <w:bCs/>
          <w:color w:val="012169"/>
          <w:sz w:val="19"/>
          <w:szCs w:val="19"/>
        </w:rPr>
        <w:t xml:space="preserve">P1. </w:t>
      </w:r>
      <w:r>
        <w:rPr>
          <w:rFonts w:ascii="Arial" w:cs="Arial" w:eastAsia="Arial" w:hAnsi="Arial"/>
          <w:b/>
          <w:bCs/>
          <w:color w:val="012169"/>
          <w:sz w:val="19"/>
          <w:szCs w:val="19"/>
        </w:rPr>
        <w:t xml:space="preserve">One administrator's calculation engine will serve many funds at once, and APRA already holds the register that maps it</w:t>
      </w:r>
      <w:r>
        <w:rPr>
          <w:rFonts w:ascii="Arial" w:cs="Arial" w:eastAsia="Arial" w:hAnsi="Arial"/>
          <w:b/>
          <w:bCs/>
          <w:color w:val="890C58"/>
          <w:sz w:val="15"/>
          <w:szCs w:val="15"/>
        </w:rPr>
        <w:t xml:space="preserve">   GRADE A</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About fifty licensed super trustees must now work out, for each member with a very large balance, how much of the fund's investment income belongs to that member, report it to the Tax Office, and pay money out when the Tax Office demands it. They will not build fifty separate systems to do this. A small number of shared administration providers, custodians and external tax agents will build it once and run it for many funds. That is efficient, but it means one flawed build, or one provider that is late, is not one fund's problem - it is the same problem in every client fund, in the same few weeks, in the first year. It also means dozens of boards will in practice adopt a supplier's judgement about how to split income between members and call it their own. APRA does not need new data to see this: it already required every trustee to lodge a register of its material service providers by 1 October 2025, for exactly the purpose of spotting concentrations like this one.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the single largest operational-resilience feature of the measure and it is the one that turns an ordinary implementation risk into a correlated, industry-wide one. It also cuts against the assumption that a board-approved methodology means an independently formed methodology. The offsetting point is genuinely positive for a CEO conversation: APRA is not blind here. It holds the dataset that maps which licensees share which administrator, so it can size this exposure at essentially zero collection cost and target engagement at the providers rather than one licensee at a time.</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Every RSE licensee sharing a common administrator; concentrated first in platform, wrap and mid-sized licensees that outsource most of the administration stack. Members bear it through simultaneous mis-reporting across multiple funds.</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Use the material service provider registers already held to map, before the December 2026 quarter, which administrators, custodians and tax agents will deliver the Division 296 calculation, attribution, lodgement and release-authority function, and how many licensees sit behind each. Then engage provider by provider rather than licensee by licensee. Ask exposed licensees three questions: (a) is the Division 296 function inside the material service provider arrangement, with defined service levels tied to the Tax Office's response windows; (b) where the provider supplies the attribution method, what independent review did the board obtain before adopting it as its own; (c) what happens if the provider cannot deliver by the measurement date, and is that scenario in the tolerance levels and business continuity testing. Consider stating in guidance that the trustee's accountability for a 'fair and reasonable' attribution is non-delegable even where the calculation is performed by a supplier.</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4/5 · Likelihood 3/5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CPS 230 Operational Risk Management, service provider management limb (Part 4, paras 48-60) - note this limb replaced SPS 231 Outsourcing from 1 July 2025; CPS 230 paras 24, 35, 36(c), 38, 44 (critical operations, tolerance levels, business continuity testing); APRA material service provider register (template issued 2025; completed registers required from superannuation trustees by 1 October 2025); Targeted amendments to CPS 230 finalised 30 April 2026; SPS 220 Risk Management paras 15, 18, 32</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GRADING RULE APPLIED TO THIS REGISTER (state on the page): Grade A where apra_proximity &gt;= 4 AND materiality &gt;= 4 AND likelihood &gt;= 3. Grade B where the A test fails but materiality + likelihood + apra_proximity &gt;= 9. Grade C where the sum is 8 or less. Applied mechanically; no overrides used. Likelihood throughout is scored as the probability that the named ADVERSE CONSEQUENCE crystallises in the named window, not the probability that a present-tense fact is true.  ·  LIKELIHOOD PROPOSITION: P(a defect, delay or methodology weakness originating in one shared provider produces a correlated, multi-fund Division 296 reporting or attribution failure in the FY2027-28 reporting window) = 3.  ·  SOURCED: APRA required a completed material service provider register from all superannuation trustees by 1 October 2025, stating the purpose is to 'help APRA identify concentration risks across the financial services sector' - https://www.apra.gov.au/news-and-publications/apra-releases-material-service-provider-register-template  ·  SOURCED: CPS 230 para 36 - an entity 'must, at a minimum, classify the following business operations as critical operations, unless it can justify otherwise: ... (c) for an RSE licensee: investment management and fund administration' - https://www.apra.gov.au/system/files/2023-07/Prudential%20Standard%20CPS%20230%20Operational%20Risk%20Management%20-%20clean.pdf  ·  SOURCED: CPS 230 para 24 (NOT para 23, which is senior management's duty to inform the Board) - 'An APRA-regulated entity must manage its full range of operational risks, including but not limited to legal risk, regulatory risk, compliance risk, conduct risk, technology risk, data risk and change management risk.'  ·  INFERRED CHAIN: (1) the Division 296 calculation, attribution, Tax Office lodgement and release-authority payment are all fund administration functions; (2) fund administration is overwhelmingly outsourced to a small number of providers, and the fund income tax return from which fund earnings derive is often prepared by an external tax agent; (3) therefore a single methodology or build defect propagates simultaneously across every client fund; (4) the CPS 230 service provider limb, not only the critical operations limb, is the governing requirement; (5) APRA already holds the register that identifies the providers.  ·  GAP: the register does not yet identify WHICH providers dominate the Division 296 build. That is an internal data query, not new collection, and should be run before the meeting.</w:t>
      </w:r>
    </w:p>
    <w:p>
      <w:pPr>
        <w:spacing w:after="60" w:before="200" w:line="264"/>
      </w:pPr>
      <w:r>
        <w:rPr>
          <w:rFonts w:ascii="Arial" w:cs="Arial" w:eastAsia="Arial" w:hAnsi="Arial"/>
          <w:b/>
          <w:bCs/>
          <w:color w:val="012169"/>
          <w:sz w:val="19"/>
          <w:szCs w:val="19"/>
        </w:rPr>
        <w:t xml:space="preserve">P2. </w:t>
      </w:r>
      <w:r>
        <w:rPr>
          <w:rFonts w:ascii="Arial" w:cs="Arial" w:eastAsia="Arial" w:hAnsi="Arial"/>
          <w:b/>
          <w:bCs/>
          <w:color w:val="012169"/>
          <w:sz w:val="19"/>
          <w:szCs w:val="19"/>
        </w:rPr>
        <w:t xml:space="preserve">Fund administration must now perform a new statutory calculation, reporting and payment function on someone else's clock</w:t>
      </w:r>
      <w:r>
        <w:rPr>
          <w:rFonts w:ascii="Arial" w:cs="Arial" w:eastAsia="Arial" w:hAnsi="Arial"/>
          <w:b/>
          <w:bCs/>
          <w:color w:val="890C58"/>
          <w:sz w:val="15"/>
          <w:szCs w:val="15"/>
        </w:rPr>
        <w:t xml:space="preserve">   GRADE A</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From 1 July 2026 every dividend, rent payment and asset sale is already inside the tax base for the first measurement year. Three new jobs now sit in fund administration and none of them existed before. First, work out the fund's taxable earnings and split them across affected members, then answer the Tax Office when it asks - defined benefit and alternative-method funds are indicated to get ten business days, other funds twenty-eight calendar days. Second, when the Tax Office sends a release notice, pay the money out of the member's super on a short clock, with a penalty for missing it. Third, when the fund later amends its tax return - which happens routinely, because income from unlisted and overseas investments is often not final when the return is due - the change flows back through to members' personal tax assessments, for up to four years. The Tax Office guidance explaining how to do the calculation has not been published.</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one exposure, not three, and it is the exposure the whole measure comes down to for an APRA-regulated fund: a new statutory calculation and payment function, largely outsourced, performed to external deadlines that all fall in the same annual window across the industry. The consequence of failure leaves the fund and lands on an identified member's personal tax position. The first external test is roughly sixteen to twenty months away, and by the time it fails the underlying FY2026-27 data is historical and cannot be reconstructed.</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All RSE licensees with in-scope members; first and hardest on defined benefit and alternative-method funds, which face the shorter response window. Members bear mis-calculation through their personal tax assessments; legal personal representatives and estates bear the amendment cascade.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Treat Division 296 readiness as compliance with operative law, not contingency planning, and test it with document-based questions in FY2027 engagements: has the licensee set CPS 230 tolerance levels for the Division 296 calculation, reporting and release-authority processes inside fund administration; are Division 296 failure scenarios in business continuity testing; does the FY2027 risk appetite statement and risk management declaration address it; has the FY2027 Operational Risk Financial Requirement target amount moved. Gate the expectation on exposure - for a licensee with a handful of in-scope members, not moving the target amount is a proportionate judgement, not a governance failure. Set expectations for adaptable rather than hard-coded builds while the Tax Office guidance is unsettled; day-one perfection is not the standard. Also treat the Division 296 dataset - which identifies by name the members with the largest balances in the country, assembled and transmitted largely by outsourced administrators - as a new information asset that should be classified in the CPS 234 information asset register.</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4/5 · Likelihood 3/5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CPS 230 paras 24, 35, 36(c), 38, 44 (critical operations, tolerance levels, business continuity testing); CPS 230 Part 4 (service provider management) - see P1; SPS 220 Risk Management paras 15, 18, 21, 32 (risk appetite statement; annual risk management declaration signed by two directors); SPS 114 Operational Risk Financial Requirement paras 8-12, 15-20; SPS 515 paras 9-11 (business plan and financial projections); paras 30, 36-44 (transfer preparation); CPS 234 Information Security paras 16, 21-22, 27-36; Taxation Administration Act 1953 Sch 1 (Division 296 reporting and release authority obligations); Income Tax Assessment Act 1997 Div 296</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material licensee fails, or materially misstates, its first Tax Office information request or a release authority payment during the FY2027-28 window, in a way requiring member-level rectification) = 3. It is not near-certain: there will be a Tax Office co-design process, a law companion ruling and at least one dry run before the first request lands.  ·  SOURCED: response windows - defined benefit and alternative-method funds 'generally given 10 business days to respond'; other APRA funds 'will commence issuing in April, with a response period of 28 calendar days' - ATO Superannuation Administration Group key messages, 20 May 2026, https://www.ato.gov.au/about-ato/consultation/in-detail/stakeholder-relationship-groups-key-messages/superannuation-administration-group/superannuation-administration-group-key-messages-20-may-2026 . CAVEAT: the 18 February 2026 key messages record different indicative dates (DB requests from November 2027, other APRA funds February 2028). The schedule moved between meetings and no year is stated in the May quote. Treat all dates as ATO indicative planning dates, not settled.  ·  SOURCED: final regulations F2026L00726 made 11 June 2026, registered 18 June 2026 - thirteen days before the first measurement year began - https://www.legislation.gov.au/F2026L00726/asmade  ·  SOURCED: the ATO advice-under-development programme for superannuation (last updated 6 July 2026) lists five items, none of them Division 296 - https://www.ato.gov.au/about-ato/ato-advice-and-guidance/advice-under-development-program/advice-under-development-superannuation-issues . The separate ATO statement that it is 'currently drafting a law companion ruling' appears in ATO super funds newsroom material, not on this page; cite it to its own source or drop the quote.  ·  SOURCED: ASFA - 'It is relatively common for funds with more than 6 members to amend tax returns after they have been lodged ... (in particular, unlisted investment income)'; typical variation 'a few basis points'; ASFA asks for a 5% materiality threshold and a 12-month post-year-end reporting window - ASFA submission to Treasury, 7 April 2026, pp.4-5, https://www.superannuation.asn.au/wp-content/uploads/2026/05/202619_Treasury_Division-296_Regulations_7_April.pdf  ·  SOURCED: Tax Institute - amendment periods 'may extend for up to four years', so funds 'may be required to retrospectively identify affected members and re-perform attribution calculations across multiple income years' - Tax Institute submission, 16 April 2026  ·  SOURCED (existing release authority regime, NOT yet confirmed for Division 296): for existing release authority types APRA-regulated funds must pay and send the release authority statement within 10 business days, with a non-compliance penalty up to 20 penalty units, and the cashing order permits release of preserved benefits third in priority - https://www.ato.gov.au/tax-and-super-professionals/for-superannuation-professionals/apra-regulated-funds/paying-benefits/releasing-benefits/release-authorities . The ATO's published list of release authority types does not yet include Division 296, so the specific Division 296 timeframe is unconfirmed. Do not state the ten-day clock as settled for this tax.  ·  SOURCED: the successor fund transfer protocol 'needs to be updated to accommodate the reporting of Div 296 tax information', and funds must amend Division 296 information within 30 days of becoming aware of a change - ATO Superannuation Administration Group key messages, 17 June 2025. CAVEAT: this material predates the October 2025 redesign and the enacted regulations and may have been overtaken. The associated 2025 'retrospective law' concern is obsolete - Royal Assent (13 March 2026) precedes commencement (1 July 2026), so there is no retrospectivity of the kind described.  ·  SOURCED: the ATO will reuse the existing Division 293 and Division Deferred SuperStream product type codes for Division 296 release authorities, distinguished by a reference number, avoiding a SuperStream change - ATO Superannuation Administration Group key messages, 17 June 2025. IMPORTANT DISCLOSURE: ASFA asked for exactly this reuse on cost-to-members grounds ('The ATO should use the existing Div 293 Release Authority channel and messaging in SuperStream with the messaging tagged'). APRA should therefore NOT ask for a new message type; the proportionate ask is a machine-readable Division 296 flag on the existing message so the flow can be isolated in fund and regulator reporting.  ·  INFERRED CHAIN: calculation, attribution, lodgement and release-authority payment are all fund administration; fund administration is a default critical operation under CPS 230 para 36(c); therefore the obligation binds today with no amendment, and the external response windows are natural CPS 230 para 38 tolerance levels.  ·  GAP: SPS 515 paragraph numbers carry a plus-or-minus-one risk; verify against the registered instrument before formal citation.</w:t>
      </w:r>
    </w:p>
    <w:p>
      <w:pPr>
        <w:spacing w:after="60" w:before="200" w:line="264"/>
      </w:pPr>
      <w:r>
        <w:rPr>
          <w:rFonts w:ascii="Arial" w:cs="Arial" w:eastAsia="Arial" w:hAnsi="Arial"/>
          <w:b/>
          <w:bCs/>
          <w:color w:val="012169"/>
          <w:sz w:val="19"/>
          <w:szCs w:val="19"/>
        </w:rPr>
        <w:t xml:space="preserve">P3. </w:t>
      </w:r>
      <w:r>
        <w:rPr>
          <w:rFonts w:ascii="Arial" w:cs="Arial" w:eastAsia="Arial" w:hAnsi="Arial"/>
          <w:b/>
          <w:bCs/>
          <w:color w:val="012169"/>
          <w:sz w:val="19"/>
          <w:szCs w:val="19"/>
        </w:rPr>
        <w:t xml:space="preserve">A trustee judgement now drives an identified member's personal tax bill, and no instrument governs how that judgement is made</w:t>
      </w:r>
      <w:r>
        <w:rPr>
          <w:rFonts w:ascii="Arial" w:cs="Arial" w:eastAsia="Arial" w:hAnsi="Arial"/>
          <w:b/>
          <w:bCs/>
          <w:color w:val="890C58"/>
          <w:sz w:val="15"/>
          <w:szCs w:val="15"/>
        </w:rPr>
        <w:t xml:space="preserve">   GRADE A</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A fund with more than six members must split its investment income across affected members on a 'fair and reasonable' basis. The law does not say how. Two funds holding identical investments for identical members can lawfully report different numbers. To be precise about what that number does: it is an input the Tax Office uses to assess the member, not the member's tax bill itself. The Tax Office assesses the individual, and the individual can object to that assessment. But the trustee's number is what the assessment is built on. Here is what is at stake, which no version of this note has stated: only the slice of earnings above three million dollars is taxed. A member with $3.2 million earning six per cent owes roughly $1,800. At $4 million, roughly $9,000. At $10 million, roughly $63,000. So for members just over the line, differences between lawful methods are worth tens of dollars; for members well above it, and particularly in options where members pick their own investments, they can be worth real money. Nobody has set a standard for how a fund makes the judgement, how a board signs it off, or who independently checks it.</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a new, recurring exercise of trustee power over identified members, with no prescribed method, no external assurance and no APRA line of sight. It engages the covenants to act in members' best financial interests and to treat members fairly as between members. Because the first measurement year is already running, a methodology not documented now cannot be reconstructed when the Tax Office ruling lands - which is the classic precondition for a remediation programme in FY2029. The honest qualification is that nobody has measured how far two lawful methods actually diverge, so the size of the equity problem is currently asserted rather than known.</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All RSE licensees with in-scope members; the sharpest consequence lands on members in member-directed and platform options, where assets are individually identifiable and method choice genuinely bites. Members of the same fund in different investment options can bear different outcomes from the same methodology choice.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Consider writing to all RSE licensees before 31 December 2026 stating that the Division 296 attribution methodology is a member-equity decision inside the investment governance framework, not only a tax-compliance choice, and setting five expectations: a written, board-approved methodology; consistency year to year with any change explained; reproducibility of the FY2026-27 attribution four years later; an explicit stated treatment of unallocated reserves, mid-year joiners, leavers and option switchers, and of members holding both an accumulation and a pension interest in the same fund; and independent review or assurance. Note in that letter that RSE auditor assurance under SPS 310 does not currently reach this calculation, because it is reported to the Tax Office under tax law rather than under an APRA reporting standard or the SIS Act, and ask what voluntary assurance has been obtained. Before asserting materiality, run the measurement: ask two or three exposed licensees to apply two defensible methods to their FY2026-27 data to date and report the spread. If the spread is a few basis points, this is a platform-specific issue; if it is percentage points, the expectation is evidenced. Also settle which board committee owns the methodology, since on this characterisation the audit committee will assume the investment committee has it and vice versa.</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4/5 · Likelihood 3/5 · APRA proximity 4/5 · Action: new-or-updated-guidance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Income Tax Assessment Act 1997 Div 296; Superannuation (Building a Stronger and Fairer Super System) Imposition Act 2026 (the Act that imposes the tax and fixes the rates); Income Tax Assessment (1997 Act) Amendment Regulations 2026 (F2026L00726) Sch 1; SPG 530 Investment Governance para 9 (member equity risk); SPS 530 paras 39-41 (valuation governance framework); SPS 220 Risk Management paras 15, 18, 32; CPS 230 paras 24, 35, 36(c); SPS 310 Audit and Related Matters, Attachments A and B; SPS 510 Governance and SPS 520 Fit and Proper (board capability and committee ownership of the methodology decision); SIS Act s52(2) covenants (best financial interests; fairness as between members); Joint APRA-ASIC unit pricing good practice guidance; ASIC RG 94</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methodology choice made in FY2026-27 produces a member-equity failure or a member-level remediation programme by FY2029) = 3.  ·  SOURCED: attribution for funds with more than six members is on a 'fair and reasonable' basis with the method left to the trustee; a prescribed formula plus an annual actuarial certificate applies to funds of six or fewer members - Parliamentary Library Bills Digest No. 48, 2025-26, https://www.aph.gov.au/Parliamentary_Business/Bills_Legislation/bd/bd2526/26bd048  ·  SOURCED: ASFA proposes the 'fair and reasonable' approach 'be tested and governed in a similar way to how the current tax provision is attributed at the option level by each fund in the context of unit pricing and crediting rates. ASIC's Regulatory Guide 94 is relevant in this context', and notes Explanatory Statement Example 6 gives an attribution of 1.01 per cent with no working shown - ASFA submission, 7 April 2026, pp.2-3  ·  SOURCED (corrects an overstatement in the draft): ASFA states 'It will be open to individuals who receive a Division 296 assessment from the ATO to lodge an objection if they consider that the realised investment income reported by a fund is not correct', and recommends 'It should be the responsibility of the ATO to determine whether reporting by specific funds is fair and reasonable'. The trustee's number is an INPUT; the assessment and the member's statutory remedy sit with the Commissioner.  ·  SOURCED: SPG 530 para 9 - APRA expects the investment governance framework to consider member equity risk 'with a view to all beneficiaries being dealt with fairly' - https://www.apra.gov.au/system/files/2023-07/Prudential%20Practice%20Guide%20SPG%20530%20Investment%20Governance%20Integrated%20version%20-%20clean.pdf  ·  CREATED (own arithmetic, illustrative, assumes a 6% earnings rate and the $3m threshold): taxed proportion = (TSB - $3m) / TSB. At $3.2m: earnings $192,000, proportion 6.25%, taxable earnings $12,000, tax at 15% = $1,800. At $4m: $240,000, 25%, $60,000, = $9,000. At $10m: $600,000, 70%, $420,000, = $63,000. This is APRA's own derivation, not a Treasury or ATO figure, and it should be labelled as such in the note.  ·  CREATED (sizing inference APRA can own): APRA's own data shows 305,000 accounts in the $1,000,000+ bracket with an average balance of $1.45m, implying a steeply decaying right tail. Set against Treasury's superseded-design estimate of 31,800 affected individuals across APRA-regulated funds and exempt public sector schemes, this suggests a typical large licensee has in-scope members in the hundreds, not thousands. Use it to calibrate supervisory intensity, and state it as an inference.  ·  INFERRED CHAIN: (1) Division 296 fund earnings is a whole-of-fund figure derived from the fund's income tax return; (2) a member's entitlement is a unit price struck on market value net of a deferred tax provision; (3) the two are built on different bases at different granularity and cannot be reconciled; (4) therefore attribution is an estimate produced by trustee judgement; (5) a judgement that drives an identified member's assessment is a member-equity question under SPG 530 para 9 and the s52(2) covenants.  ·  GAP: the operative attribution text in F2026L00726 and its Explanatory Statement could not be read directly (the Federal Register serves documents through a JavaScript front end). The 'more than six members' boundary and the principles wording come from the Bills Digest, ASFA and practitioner commentary. Also unmeasured: the actual dispersion between two lawful methods.</w:t>
      </w:r>
    </w:p>
    <w:p>
      <w:pPr>
        <w:spacing w:after="60" w:before="200" w:line="264"/>
      </w:pPr>
      <w:r>
        <w:rPr>
          <w:rFonts w:ascii="Arial" w:cs="Arial" w:eastAsia="Arial" w:hAnsi="Arial"/>
          <w:b/>
          <w:bCs/>
          <w:color w:val="012169"/>
          <w:sz w:val="19"/>
          <w:szCs w:val="19"/>
        </w:rPr>
        <w:t xml:space="preserve">P4. </w:t>
      </w:r>
      <w:r>
        <w:rPr>
          <w:rFonts w:ascii="Arial" w:cs="Arial" w:eastAsia="Arial" w:hAnsi="Arial"/>
          <w:b/>
          <w:bCs/>
          <w:color w:val="012169"/>
          <w:sz w:val="19"/>
          <w:szCs w:val="19"/>
        </w:rPr>
        <w:t xml:space="preserve">Three separate blind spots on the same process: no auditor assurance, no APRA reporting standard, and no breach-notification trigger</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The largest new calculation these funds will ever perform sits outside all three of APRA's normal ways of finding out something has gone wrong. The fund auditor's assurance covers data reported under APRA's reporting standards and compliance with superannuation law; this calculation is reported to the Tax Office under tax law, so it falls outside both. There is no APRA reporting form that collects anything about it. And the duty to tell APRA about a significant breach is tied to breaches of superannuation licensing law, which this is not - so a late, incomplete or materially wrong report to the Tax Office is not by itself something the fund must tell APRA about. It becomes reportable only indirectly, if it shows the fund's compliance arrangements are inadequate or a member loses money. The practical result is that APRA is likely to hear about a systemic failure late, or from the Tax Office.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An assurance gap on a high-consequence, member-specific calculation is the pattern that precedes a large remediation. Three independent blind spots layered on the same process is worse than any one of them. The fix is the cheapest recommendation available in this pack: APRA can state its notification expectation in a letter, with no instrument change and without waiting for a reporting standard amendment that cannot deliver in time. APRA did exactly this for another measure commencing the same day.</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APRA's own supervisory capability; members, who bear the consequence of a failure that surfaces late.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State in the recommended letter to RSE licensees that APRA expects to be notified of material Division 296 calculation, attribution or reporting failures, using the same framing APRA used for Payday Super on 25 March 2026. Separately, form a view on whether SPS 310 should be extended to bring the Division 296 calculation within RSE auditor assurance; the proportionate first step is to ask what voluntary assurance licensees have obtained. Where a licensee is materially exposed and cannot evidence readiness, the escalation ladder should be stated rather than implied: engagement, board attestation of readiness, a special-purpose auditor or actuary report, an ad hoc data notice under the collection-of-data legislation, and licence conditions.</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5/5 · Action: new-or-updated-guidance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SIS Act s29JA (significant breach notification, in writing within 30 days); SPS 310 Audit and Related Matters paras 8, 10, 12, 24, 26 and Attachments A and B; Financial Sector (Collection of Data) Act 2001 (power to require data from named entities by written notice, without making a reporting standard); CPS 230 paras 24, 44</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material Division 296 failure occurs and APRA learns of it late, indirectly, or from the ATO rather than from the licensee, in FY2028-29) = 3.  ·  SOURCED: SIS Act s29JA requires an RSE licensee to notify APRA where it has breached or will breach a licence condition and the breach is significant, with significance assessed by reference to inadequacies in arrangements to comply with the RSE licensee law and Chapter 2M of the Corporations Act, in writing within 30 days.  ·  SOURCED: Division 296 obligations arise under the Income Tax Assessment Act 1997 and the Taxation Administration Act 1953. The enacting Act does not use the term 'RSE licensee' at all; it uses 'superannuation provider' (Treasury Laws Amendment (Building a Stronger and Fairer Super System) Act 2026).  ·  SOURCED: SPS 310 Attachment A covers data reported under APRA reporting standards; Attachment B covers specified legislative compliance. Division 296 reporting falls within neither.  ·  SOURCED (precedent): APRA's 'Payday Super Readiness' letter to all RSE licensees, 25 March 2026, states that significant breaches of the new requirements 'would necessitate a breach notification to APRA' - https://www.apra.gov.au/news-and-publications/payday-super-readiness-0  ·  INFERRED CHAIN: the reasoning P3 applies to auditor assurance (tax law, not SIS or an APRA standard) applies identically to breach notification; therefore a Division 296 failure is notifiable only derivatively, and APRA's information pathway is indirect.</w:t>
      </w:r>
    </w:p>
    <w:p>
      <w:pPr>
        <w:spacing w:after="60" w:before="200" w:line="264"/>
      </w:pPr>
      <w:r>
        <w:rPr>
          <w:rFonts w:ascii="Arial" w:cs="Arial" w:eastAsia="Arial" w:hAnsi="Arial"/>
          <w:b/>
          <w:bCs/>
          <w:color w:val="012169"/>
          <w:sz w:val="19"/>
          <w:szCs w:val="19"/>
        </w:rPr>
        <w:t xml:space="preserve">P5. </w:t>
      </w:r>
      <w:r>
        <w:rPr>
          <w:rFonts w:ascii="Arial" w:cs="Arial" w:eastAsia="Arial" w:hAnsi="Arial"/>
          <w:b/>
          <w:bCs/>
          <w:color w:val="012169"/>
          <w:sz w:val="19"/>
          <w:szCs w:val="19"/>
        </w:rPr>
        <w:t xml:space="preserve">Removing the tax on paper gains did not close the valuation file - the 30 June unit price still decides who is caught and how much</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The earlier 2023 version of this tax would have taxed increases in the value of assets that had not been sold. That is gone, and any argument built on forced sales to pay tax on paper gains is obsolete. But valuation still matters twice over: a member's balance at 30 June decides whether they are over the threshold at all, and the same balance sets what share of the fund's earnings is taxed. That balance comes from the unit price, which comes from how the fund values assets that are not traded on a market. The direction most people assume - that funds might hold valuations down to keep wealthy members under the line - is the less likely one, because it requires misconduct and it damages every other member's exit price. The more likely and more awkward direction is upward: a routine revaluation at 30 June pushes members over the line or raises their taxed share, entirely innocently, and the fund has to answer the complaint. APRA has already published findings that only eleven of twenty-three large trustees had a dedicated valuation committee, that some committees included people whose pay may depend on the valuation outcome, and that some assets go unvalued for several quarters.</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The conflict is smaller than under the old design but sharper in character: it now touches a small, wealthy, individually identifiable group and produces a personal tax consequence, not only a unit-pricing one. The reputational exposure runs to APRA as much as to trustees, because APRA published adverse findings on this exact control in December 2024 and knew the measure first applies from 1 July 2026 (the start of the 2026-27 income year). Supervisors should not treat the removal of unrealised-gains taxation as closing the valuation governance question.</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Funds with material unlisted allocations - industry funds at roughly 20-22% of investments and public sector funds at roughly 19-23%, retail at roughly 5-7%; platform trustees through externally managed exposures. Remaining members bear the equity consequence of stale or conflicted valuations.</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State plainly, internally and to industry, that the shift to a realised-earnings base reduces but does not remove the valuation conflict and redirects it onto a small identifiable cohort. Use the SRS 553.0 out-of-cycle valuation series, which began reporting for the December 2025 quarter, as a clean pre-commencement baseline against which to detect changes in revaluation behaviour around 30 June 2027. Reinforce SPS 530 para 40 expectations on conflicted valuation committee membership at the licensees identified in the December 2024 thematic. Confirm, in a letter or FAQ, that Division 296 is a 'change in Government policy settings' trigger for more frequent valuations under SPG 530 para 110. Expect upward-revaluation complaints, not only allegations of suppression.</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SPS 530 paras 39-41 (valuation governance framework; policy covering frequency, methodologies, interim valuation circumstances at 40(f) and triggers at 40(g)); SPG 530 paras 9, 109, 110, 114; SRS 553.0 Investment Exposure Concentrations and Valuations / SRF 553.3 Out Of Cycle Valuations; Joint APRA-ASIC unit pricing good practice guidance; ASIC RG 94</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valuation decision at 30 June 2027 produces a member complaint, a media allegation or an APRA finding connecting valuation governance to Division 296 outcomes, by FY2029) = 3.  ·  SOURCED: the enacted design 'explicitly removes the taxation of unrealised gains, switching instead to a realised-earnings base' - Bills Digest No. 48, 2025-26. Arguments built on paper gains, forced realisation, unusable paper losses and unindexed bracket creep are all answered by the enacted design and should not be carried into the meeting.  ·  SOURCED: APRA thematic review, 17 December 2024 - only 11 of 23 licensees had a dedicated valuation committee; committee members included 'individuals whose remuneration may be dependent on the outcome of the valuation process'; 'some assets may not be revalued for multiple quarters at a time' - https://www.apra.gov.au/governance-of-unlisted-asset-valuation-and-liquidity-risk-management-superannuation-december-2024  ·  SOURCED: SPG 530 para 110 lists 'changes in Government policy settings' among triggers for more frequent valuations; para 114 requires protocols for reviewing interim valuations for unit pricing purposes.  ·  SOURCED: SRS 553.0 first reporting period is the December 2025 quarter - one cycle before Division 296 commenced - https://www.apra.gov.au/system/files/2024-12/Reporting%20Standard%20SRS%20553.0%20Investment%20Exposure%20Concentrations%20and%20Valuations_clean.pdf  ·  INFERRED CHAIN: total superannuation balance at 30 June determines both eligibility and the taxed proportion; for an accumulation interest that balance is a function of the unit price, which is a function of unlisted asset valuations; therefore 30 June valuations remain tax-determinative for in-scope members even though unrealised gains are not taxed.</w:t>
      </w:r>
    </w:p>
    <w:p>
      <w:pPr>
        <w:spacing w:after="60" w:before="200" w:line="264"/>
      </w:pPr>
      <w:r>
        <w:rPr>
          <w:rFonts w:ascii="Arial" w:cs="Arial" w:eastAsia="Arial" w:hAnsi="Arial"/>
          <w:b/>
          <w:bCs/>
          <w:color w:val="012169"/>
          <w:sz w:val="19"/>
          <w:szCs w:val="19"/>
        </w:rPr>
        <w:t xml:space="preserve">P6. </w:t>
      </w:r>
      <w:r>
        <w:rPr>
          <w:rFonts w:ascii="Arial" w:cs="Arial" w:eastAsia="Arial" w:hAnsi="Arial"/>
          <w:b/>
          <w:bCs/>
          <w:color w:val="012169"/>
          <w:sz w:val="19"/>
          <w:szCs w:val="19"/>
        </w:rPr>
        <w:t xml:space="preserve">APRA cannot see the affected population, and the obvious remedy - Tax Office data - may not be lawful without amendment</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The tax applies above three million dollars and again above ten million. The highest balance band APRA collects and publishes is 'one million and above'. So APRA cannot count members above three million, cannot see where they are concentrated, and cannot size a fund's exposure. A deeper problem sits behind that: the threshold is measured across everything a person holds, in every fund including a self-managed one. APRA's collections are per fund and per account, so more balance bands would still not produce that view. Only the Tax Office holds it. But the obvious fix - a standing data feed from the Tax Office - runs into taxpayer secrecy law, and nobody has checked whether it is permitted. There is also a quieter gap: APRA collects nothing at all about the Division 296 process itself - not how many in-scope members a fund reports, not which method it uses, not how many release notices it received. Balance bands tell APRA who is exposed; a single process question would tell APRA who is ready.</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Without this, every APRA statement about the measure's effect on regulated funds is an estimate rather than an observation, and APRA cannot challenge a licensee that says it has very few affected members. It is also the main reputational risk in a CEO-level conversation: APRA should not promise to monitor a population it structurally cannot see. The honest framing is that APRA can monitor large-account behaviour in APRA-regulated funds, not the affected population.</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APRA's own supervisory capability; indirectly every licensee whose exposure cannot be sized or benchmarked; Ministers and committees who will ask APRA questions it cannot currently answer.</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Decide now, not in 2027, whether to add balance brackets at $2m, $3m, $5m and $10m to SRS 611.0 - a cheap change to an existing quarterly collection, but one needing its own consultation, and it will not deliver before the first assessments issue. Test two things the draft analysis assumed away: whether fund-level counts in a $10m+ bracket can be published at all given re-identification constraints, and whether a single process question (in-scope member count, attribution method, release authorities received) would be more useful than more brackets. For anything urgent, use the ad hoc written-notice power to named licensees rather than amending the newly commenced SRS 551.0. Before recommending an ATO data exchange, establish whether taxation secrecy permits it and whether the existing memorandum of understanding covers it; if not, the ask is a legislated disclosure exception, not an administrative arrangement. Note the forum point: the Council of Financial Regulators has four members and the ATO is not one of them; the grouping that includes the ATO is CFR Plus.</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5/5 · Action: standard-amendment</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SRS 611.0 Member Accounts; SRF 611.0 Instructions Table 1 Column 3 (Members Benefit Bracket Type); SRS 551.0 Liquidity; SRF 551.1 Tables 1 and 2; SRS 553.0 Investment Exposure Concentrations and Valuations; Financial Sector (Collection of Data) Act 2001 (ad hoc notice power; confidentiality determinations for publication); Taxation Administration Act 1953 Sch 1 Div 355 (taxation secrecy) and the APRA-ATO memorandum of understanding; Superannuation Data Transformation programme (closed to new collections)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P(APRA is asked a Division 296 exposure question by a Minister, a committee or the Council of Financial Regulators during 2027-28 and cannot answer it from its own data) = 3.  ·  SOURCED: SRF 611.0 Instructions Table 1 Column 3 valid values top out at '$1,000,000+' - https://www.apra.gov.au/sites/default/files/2021-10/Reporting%20Standard%20SRS%20611.0%20Member%20Accounts%20-%20marked%20up.pdf  ·  SOURCED: at 31 March 2026 there were 305,000 member accounts (1.28%) in the $1,000,000+ bracket holding $441,461m of $3,206,214m total members' benefits (13.8%), average balance $1.45m - APRA Quarterly Superannuation Industry Publication, March 2026, Table 8.  ·  SOURCED: SRF 551.1 Table 1 requires only Actual Net Cash Flows, Estimated Stressed Net Cash Flows and Number Of Days Covered - no decomposition by driver, so a release authority payment, a Division 296-motivated rollover and an ordinary retirement lump sum are indistinguishable - https://www.apra.gov.au/system/files/2024-12/Reporting%20Standard%20SRS%20551.0%20Liquidity_clean.pdf  ·  SOURCED: the Council of Financial Regulators comprises APRA, ASIC, Treasury and the RBA - https://www.cfr.gov.au/about/member-agencies.html . The ATO participates in the broader CFR Plus grouping.  ·  INFERRED CHAIN: SRS 611.0 requires reporting separately for each RSE and is keyed on member account, not person; therefore a member with $1.8m in each of two APRA funds appears twice below $2m and never as a $3.6m total balance. More brackets improve large-account visibility but cannot produce the threshold view.  ·  GAP: could not obtain SRS 710.0 Conditions of Release or SRS 610.1 Changes in Membership Profile; check whether either decomposes outflows by reason before concluding no collection does. Also unverified: whether Division 355 permits the ATO to give APRA aggregated by-fund Division 296 data.  ·  GAP: the absence of APRA-published material on Division 296 is based on search, not an exhaustive internal index; confirm internally before relying on it.</w:t>
      </w:r>
    </w:p>
    <w:p>
      <w:pPr>
        <w:spacing w:after="60" w:before="200" w:line="264"/>
      </w:pPr>
      <w:r>
        <w:rPr>
          <w:rFonts w:ascii="Arial" w:cs="Arial" w:eastAsia="Arial" w:hAnsi="Arial"/>
          <w:b/>
          <w:bCs/>
          <w:color w:val="012169"/>
          <w:sz w:val="19"/>
          <w:szCs w:val="19"/>
        </w:rPr>
        <w:t xml:space="preserve">P7. </w:t>
      </w:r>
      <w:r>
        <w:rPr>
          <w:rFonts w:ascii="Arial" w:cs="Arial" w:eastAsia="Arial" w:hAnsi="Arial"/>
          <w:b/>
          <w:bCs/>
          <w:color w:val="012169"/>
          <w:sz w:val="19"/>
          <w:szCs w:val="19"/>
        </w:rPr>
        <w:t xml:space="preserve">Two major changes commence on the same day, in the same systems, at the same providers - and Division 296 is the one that will get deprioritised</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Payday Super also first applied from 1 July 2026 (the start of the 2026-27 income year). It requires funds to receive and allocate contributions, or return them, within three business days, delivered through a new data standard that started the same day. In March 2026 APRA wrote to all trustees warning that many were not on track. Both changes land on the same administration platforms, the same data pipelines and the same limited pool of administrator change capacity, in the same year. Payday Super has the earlier, louder and more visible deadline. Division 296 is the one with no published guidance, no external assurance and a four-year tail during which errors can be reopened. When capacity is short, that is the one that slips.</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change management risk at industry scale, and it is the reason a readiness question asked in FY2027 is worth asking. It also supplies the two things the Division 296 case otherwise lacks: a precedent, because the Payday Super letter is exactly the intervention proposed here and is only four months old, and an argument, because APRA has already acted on one measure first applying from 1 July 2026.</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All RSE licensees; concentrated at the shared administrators identified through the material service provider registers.</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Ask exposed licensees, and their major administrators, for a single view of the FY2027 change portfolio showing how Payday Super and Division 296 are sequenced and resourced, and what gives way if capacity is short. Use the 25 March 2026 Payday Super letter as the template for a Division 296 equivalent - it removes the 'is this APRA's business?' objection, supplies drafting, and makes the Division 296 letter a consistency step rather than a new initiative.</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CPS 230 para 24 (change management risk); paras 35, 36(c), 38, 44; CPS 230 Part 4 (service provider management); SPS 220 paras 15, 18, 32; APRA letter 'Payday Super Readiness', 25 March 2026</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P(Division 296 implementation is materially deprioritised behind Payday Super at one or more major administrators, contributing to a first-year failure) = 3.  ·  SOURCED: APRA, 'Payday Super Readiness', 25 March 2026 - warns that many licensees were not on track to implement the Member Verification Request component of the new SuperStream standard, tells them to revisit implementation timelines, states that contribution processing should be treated as a CPS 230 critical operation, and states that significant breaches would necessitate a breach notification - https://www.apra.gov.au/news-and-publications/payday-super-readiness-0  ·  SOURCED: Payday Super first applies from 1 July 2026 (the start of the 2026-27 income year), the same day Division 296 commences.  ·  INFERRED: the two changes share platforms, pipelines and a finite pool of administrator change capacity; Payday Super carries the earlier and more visible deadline; therefore Division 296 is the more likely casualty of capacity constraints. Unquantified - state as an APRA analytical proposition.</w:t>
      </w:r>
    </w:p>
    <w:p>
      <w:pPr>
        <w:spacing w:after="60" w:before="200" w:line="264"/>
      </w:pPr>
      <w:r>
        <w:rPr>
          <w:rFonts w:ascii="Arial" w:cs="Arial" w:eastAsia="Arial" w:hAnsi="Arial"/>
          <w:b/>
          <w:bCs/>
          <w:color w:val="012169"/>
          <w:sz w:val="19"/>
          <w:szCs w:val="19"/>
        </w:rPr>
        <w:t xml:space="preserve">P8. </w:t>
      </w:r>
      <w:r>
        <w:rPr>
          <w:rFonts w:ascii="Arial" w:cs="Arial" w:eastAsia="Arial" w:hAnsi="Arial"/>
          <w:b/>
          <w:bCs/>
          <w:color w:val="012169"/>
          <w:sz w:val="19"/>
          <w:szCs w:val="19"/>
        </w:rPr>
        <w:t xml:space="preserve">The hardest attribution problems sit in platform, wrap and member-directed options - and that is where to look first</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Where members pick their own investments - platforms, wraps and member-directed options - each member's assets are individually identifiable. That makes the split of income between members both more meaningful and more variable: the method actually changes the answer, and different funds will land in different places. In a large pooled option the method matters much less, because every lawful method must start from the same whole-of-fund earnings figure and stay broadly proportionate to balances. Those same platform and wrap trustees also hold the highest share of very large member accounts. APRA has separately taken enforcement action against five platform trustees for investment governance failings, and its December 2024 review found weaknesses across a group of trustees that included platform and mid-sized businesses - that is useful background about general governance capacity, but it is not evidence about tax and member administration capability, which is a different function run by different teams.</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gives APRA a named, defensible shortlist without any new data, and it locates the member-equity exposure where it is real rather than asserting it across the whole industry. Concentration also runs the other way: a handful of funds hold most of the very large accounts, so a targeted review covers most of the exposure at low cost.</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Platform, wrap and master-trust retail trustees; closed public sector and corporate schemes with concentrated large accounts; their members. Large industry funds face a broad but shallow exposure.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Run a targeted Division 296 readiness review in FY2027 covering platform and wrap trustees and the licensees with the highest concentration of very large accounts, folded into existing remediation engagement rather than launched as a new programme. Reason it on the attribution difficulty in member-directed options, and cite the December 2024 thematic only as indicative evidence of general governance capacity, flagged as such. For small licensees with high-balance-skewed membership, ask whether sustained outflow from that cohort features in the CPS 190 trigger framework - losing a few hundred large accounts is a scale event for them and not for a mega-fund.</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SPS 530 paras 31-38 (comprehensive investment stress testing programme at para 31; liquidity management plan at para 36) and paras 39-41 (valuation governance); SPG 530 paras 9, 79, 92, 109-110, 114; CPS 190 Recovery and Exit Planning paras 7, 8(b), 8(d); SPS 515 paras 23-28 (business performance review, cohorts)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materially divergent or unsupportable attribution method is found at one or more platform or member-directed licensees on review by FY2028) = 3.  ·  SOURCED (corrected figure): APRA's 17 December 2024 review covered 23 in-scope RSE licensees holding $2,018bn and 18.7m member accounts, about 80% of system assets; 12 of those 23 'require material improvement in either or both their valuation governance or liquidity risk frameworks. APRA regards these findings as concerning'; the liquidity subgroup of eight represents about 27% of funds under management and 5.4m member accounts. The $2,018bn and 18.7m figures describe the REVIEW SCOPE, not the 12. - https://www.apra.gov.au/governance-of-unlisted-asset-valuation-and-liquidity-risk-management-superannuation-december-2024  ·  SOURCED: APRA Chair, June 2026 Senate opening statement - enforcement action against five trustees for investment governance failings; licence conditions on Diversa Trustees, Fiducian, Equity Trustees and HTFS; a court enforceable undertaking from Netwealth - https://www.apra.gov.au/news-and-publications/opening-statement-senate-economics-legislation-committee-june-2026  ·  INFERRED (from APRA Quarterly Superannuation Fund Statistics, March 2026, Table 3): share of accounts at $1,000,000+ by fund type - corporate 4.86%, public sector 1.70%, retail 1.63%, industry 0.89%. Platform and wrap concentrations include Macquarie Superannuation Plan 8.17%, Avanteos 7.37%, ASGARD Independence Plan Division Two 6.57%, Netwealth 5.89%, HUB24 4.77%. Largest absolute holders: Australian Retirement Trust 37,570; AustralianSuper 35,590; UniSuper 28,050.  ·  CAVEAT: the Commonwealth scheme figures in the same table (including CSS at 23.58% of accounts above $1m) cannot be relied on until the data-integrity question in P11 is resolved with Commonwealth Superannuation Corporation. Do not use CSS as a headline number.  ·  CAVEAT: the $1,000,000+ bracket is a proxy at one third of the threshold; its relationship to the $3m population has not been validated.  ·  CORRECTED REASONING: the December 2024 findings concern unlisted asset valuation governance and liquidity risk frameworks, and the enforcement actions concern investment governance. Neither is evidence about tax and member administration capability. The cohort is right; the reason is attribution difficulty in member-directed options, not bootstrapped unreadiness.</w:t>
      </w:r>
    </w:p>
    <w:p>
      <w:pPr>
        <w:spacing w:after="60" w:before="200" w:line="264"/>
      </w:pPr>
      <w:r>
        <w:rPr>
          <w:rFonts w:ascii="Arial" w:cs="Arial" w:eastAsia="Arial" w:hAnsi="Arial"/>
          <w:b/>
          <w:bCs/>
          <w:color w:val="012169"/>
          <w:sz w:val="19"/>
          <w:szCs w:val="19"/>
        </w:rPr>
        <w:t xml:space="preserve">P9. </w:t>
      </w:r>
      <w:r>
        <w:rPr>
          <w:rFonts w:ascii="Arial" w:cs="Arial" w:eastAsia="Arial" w:hAnsi="Arial"/>
          <w:b/>
          <w:bCs/>
          <w:color w:val="012169"/>
          <w:sz w:val="19"/>
          <w:szCs w:val="19"/>
        </w:rPr>
        <w:t xml:space="preserve">A new statutory duty attaches to a debt account that must survive mergers, transfers and administrator changes for decades</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For members whose tax is deferred - principally defined benefit members - the Tax Office keeps a running debt account and collects when the benefit is finally paid. That creates a new, concrete duty on the fund: when the end benefit becomes payable, it must tell the Tax Office the expected payment date within fourteen days, in the approved form, and correct any material change or omission within seven days. This is the clearest new obligation the law places on a fund, and it is not a one-off. The record that triggers it may have to survive thirty or forty years, a fund merger, a transfer to another fund and two or three changes of administrator. The provision carries an express note that a person who is dissatisfied may complain through the external complaints scheme - which cuts against the industry request that Division 296 trustee judgements sit outside that scheme.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a long-duration data custody obligation with a short-fuse notification duty on the end of it, and it is the point where the register's operational and record-keeping themes meet the sector's consolidation agenda. APRA actively encourages fund mergers; an unresolved transfer protocol for debt account and Division 296 data puts two APRA objectives in tension. The express complaints note is also useful ammunition: it indicates Parliament contemplated member recourse against the provider, which is directly relevant to how APRA reads the industry's carve-out request.</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Defined benefit and hybrid licensees, and any fund receiving members through a transfer; members and estates, whose benefit payment can be delayed or mis-reported decades after the liability arose.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Ask defined benefit and hybrid licensees to demonstrate how a Division 296 debt account record and its end benefit notification trigger will survive a merger, a successor fund transfer and an administrator change, and how the 14-day and 7-day clocks are controlled. Where a licensee is planning a successor fund transfer spanning the 30 June 2027 measurement date, ask specifically how member-level Division 296 and debt account data will transfer. Press the ATO to settle the transfer protocol before the FY2027 merger season. Note internally that the express complaints note in s 134-140 weighs against carving trustee Division 296 judgements out of external dispute resolution.</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Taxation Administration Act 1953 Sch 1 s 134-140 (notice of expected end benefit payment date, 14 days, approved form; express note as to AFCA complaints); Taxation Administration Act 1953 Sch 1 s 134-145 (correction of material change or omission within 7 days); SPS 515 paras 30, 36-44 (transfer preparation and successor fund transfers); CPS 230 paras 24, 35, 36(c), 38 and Part 4 (service provider management); CPS 234 Information Security (record retention through third parties); SPS 160 Defined Benefit Matters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debt account or end benefit notification obligation is lost or missed through a merger, transfer or administrator change, producing member detriment or a Tax Office issue, over the next five years) = 3.  ·  SOURCED: Taxation Administration Act 1953 Sch 1 s 134-140 - where the Commissioner keeps a Division 296 debt account and the end benefit becomes payable, the superannuation provider must notify the Commissioner of the expected payment date within 14 days in the approved form; the section carries an express note that a dissatisfied person may complain under the AFCA scheme. s 134-145 requires a material change or omission to be corrected within 7 days.  ·  SOURCED: Subdivision 296-A of the ITAA 1997 contains only s 296-5, an objects clause, and imposes no obligation on anyone (Compiled ITAA 1997, Compilation No. 266, 1 July 2026). The operative duty on funds is in the Taxation Administration Act, not in Division 296 itself.  ·  SOURCED: the successor fund transfer protocol 'needs to be updated to accommodate the reporting of Div 296 tax information by funds involved in an SFT or intra fund transfer' - ATO Superannuation Administration Group key messages, 17 June 2025. CAVEAT: predates the redesign and the enacted regulations.  ·  SOURCED: ATO - Division 296 amounts for defined benefit interests not in retirement phase are deferred to a debt account and become payable when benefits are first paid - https://www.ato.gov.au/individuals-and-families/super-for-individuals-and-families/super/growing-and-keeping-track-of-your-super/caps-limits-and-tax-on-super-contributions/division-296-tax/paying-division-296-tax  ·  INFERRED: a deferred liability tracked to the end of a defined benefit member's life will in many cases outlive the fund's current administrator, and in some cases the fund itself; therefore the notification duty is only as reliable as the data migration discipline behind it.</w:t>
      </w:r>
    </w:p>
    <w:p>
      <w:pPr>
        <w:spacing w:after="60" w:before="200" w:line="264"/>
      </w:pPr>
      <w:r>
        <w:rPr>
          <w:rFonts w:ascii="Arial" w:cs="Arial" w:eastAsia="Arial" w:hAnsi="Arial"/>
          <w:b/>
          <w:bCs/>
          <w:color w:val="012169"/>
          <w:sz w:val="19"/>
          <w:szCs w:val="19"/>
        </w:rPr>
        <w:t xml:space="preserve">P10. </w:t>
      </w:r>
      <w:r>
        <w:rPr>
          <w:rFonts w:ascii="Arial" w:cs="Arial" w:eastAsia="Arial" w:hAnsi="Arial"/>
          <w:b/>
          <w:bCs/>
          <w:color w:val="012169"/>
          <w:sz w:val="19"/>
          <w:szCs w:val="19"/>
        </w:rPr>
        <w:t xml:space="preserve">Defined benefit funds must build an annual actuarial valuation capability they have never had, from a very small pool of providers</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For a defined benefit member there is no pot of money to look at, so an actuary has to estimate what the promised pension is worth. The tax looks at how much that estimate rose over the year, cut by about seventeen and a half per cent. Funds have only ever done this estimate one member at a time, by hand, when a couple divorced. Now they must do it for every member, every year, and they face the shorter response window when the Tax Office asks. A small number of consulting actuarial firms will do this for essentially every defined benefit scheme in the country, on the same timetable - a concentration in its own right. For small corporate schemes with a handful of members, the annual cost may simply not be economic, which is a plausible trigger for winding up. One thing to be clear about: defined benefit members are measured on the movement in value, not on income actually received, so they are on a different basis from everyone else. That is Parliament's choice, not the trustee's, and a trustee does not breach its duty of fairness by applying the law - but it will have to explain it.</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a genuinely new operational and actuarial capability, concentrated in about ten public sector licensees plus a small number of corporate schemes, delivered by a handful of external providers on a tight clock. It is an operational and viability question, not an equity failing. There is no near-term call on fund solvency, because the tax on a defined benefit interest is deferred to a debt account, so SPS 160's shortfall and restoration machinery is unaffected.</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Approximately ten public sector RSE licensees carrying about 78% of defined benefit contributions, UniSuper, and small corporate defined benefit plans; defined benefit pensioners already in payment, who can neither defer nor commute and must fund the liability from elsewhere.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De-prioritise defined benefit funds for liquidity purposes and prioritise them for operational readiness. Engage directly with the public sector licensees, UniSuper and residual corporate defined benefit funds. Treat the actuarial provider as a material service provider question, not a legacy outsourcing question: a handful of firms will perform every scheme's annual valuation on the same short clock. Identify small defined benefit plans for which the annual valuation cost is not economic and expect a considered response - a decision to wind up and transfer, taken deliberately and with member outcomes assessed - rather than drift. Do not frame the accumulation/defined benefit differential as a trustee equity failing; treat it as a member communication obligation.</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SPS 160 Defined Benefit Matters paras 8-14, 29, 31-35, 39-40; Income Tax Assessment (1997 Act) Amendment Regulations 2026 (F2026L00726) Sch 2 and Sch 4; CPS 230 Part 4 (service provider management) - note this replaced SPS 231 Outsourcing from 1 July 2025; SPS 220 Risk Management; SPS 515 paras 30, 36-44 (transfer preparation)</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P(one or more defined benefit licensees cannot deliver a compliant annual member-level actuarial valuation within the response window in the first cycle, or a small scheme is driven to wind-up by the cost) = 3.  ·  SOURCED: defined benefit earnings are the movement between closing and opening actuarial value adjusted for contributions and withdrawals, multiplied by a prescribed reduction factor of 0.825 - Grant Thornton client alert on the draft regulations, https://www.grantthornton.com.au/insights/client-alerts/what-do-the-division-296-draft-tax-regulations-tell-us/ . CAVEAT: written against the draft; confirm against F2026L00726.  ·  SOURCED: ASFA - family law valuations are 'largely manual and only done when there is a family law split request'; operationalising them fund-wide 'is likely a new process'; for small corporate plans 'it may not be economically feasible to create an automated process' - ASFA submission, 7 April 2026, pp.5-9  ·  SOURCED: Actuaries Institute welcomes the redesign including 'a single set of unisex pensioner mortality rates based on male rates' and states the Regulations 'have in general struck an appropriate balance' - Actuaries Institute submission, 7 April 2026, pp.1-2. NOT SETTLED: ASFA's 7 April 2026 submission still contains a live section headed 'Use of only male valuation factors'. Do not tell the CEO the gender-equity question is closed; confirm the position adopted in the made regulations.  ·  SOURCED: public sector funds accounted for $16,224m of $20,700m defined benefit contributions (78.4%) in the year to March 2026 - APRA Quarterly Superannuation Performance Statistics, March 2026.  ·  SOURCED: Treasury Impact Analysis (January 2024) - approximately 10,000 members with defined benefit interests affected; 144 defined benefit scheme products required to change valuation methodology, costed at $12,877,200. CAVEAT: struck under the superseded change-in-balance design on 2022-vintage data, before the realised-earnings switch and threshold indexation; the best available Commonwealth estimate, not a current official number.  ·  INFERRED: exposure draft explanatory materials indicate the debt-account deferral is unavailable once an end benefit has become payable and that voluntary payments cannot come from the defined benefit interest; a pensioner in payment can therefore neither defer nor commute.  ·  GAP: APRA's fund-level balance-bracket data for the largest Commonwealth schemes looks like a reporting artefact - PSS and MilitarySuper report fewer than 20 accounts above $1m despite average balances of about $585,000 and $546,000, with 70-83% of accounts in a single bracket. Put this to Commonwealth Superannuation Corporation before relying on any Commonwealth scheme figure, including CSS.</w:t>
      </w:r>
    </w:p>
    <w:p>
      <w:pPr>
        <w:spacing w:after="60" w:before="200" w:line="264"/>
      </w:pPr>
      <w:r>
        <w:rPr>
          <w:rFonts w:ascii="Arial" w:cs="Arial" w:eastAsia="Arial" w:hAnsi="Arial"/>
          <w:b/>
          <w:bCs/>
          <w:color w:val="012169"/>
          <w:sz w:val="19"/>
          <w:szCs w:val="19"/>
        </w:rPr>
        <w:t xml:space="preserve">P11. </w:t>
      </w:r>
      <w:r>
        <w:rPr>
          <w:rFonts w:ascii="Arial" w:cs="Arial" w:eastAsia="Arial" w:hAnsi="Arial"/>
          <w:b/>
          <w:bCs/>
          <w:color w:val="012169"/>
          <w:sz w:val="19"/>
          <w:szCs w:val="19"/>
        </w:rPr>
        <w:t xml:space="preserve">Before the operational questions: can the fund's own trust deed do this, and who pays when it goes wrong?</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Two legal questions sit underneath everything else and neither has been asked. First, when the Tax Office directs the fund to release money to pay a member's tax bill, does the fund's own governing document actually permit the trustee to debit that member's interest and pay it out? Deeds were written before this tax existed. If a deed does not permit it, the fund needs a deed amendment before the first release notices arrive. The same question applies to recovering the cost of building the new system from members. Second, if a trustee gets the split wrong and a member suffers a tax detriment or a penalty, can the trustee reimburse itself out of the fund - that is, out of other members' money? Superannuation law limits when a trustee may be indemnified, particularly for penalties. If it can, the cost of a mistake made about a handful of very wealthy members is paid by everyone else. If it cannot, the trustee company's own capital is exposed to a liability it has never carried before.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These are threshold questions: if the answer to the first is no for a meaningful number of funds, an industry-wide deed amendment programme is needed before the first release notices, and nobody is running one. The second question is the sharper version of the cross-subsidy point, and it is the question the operational risk financial requirement analysis quietly assumes away - that reserve is itself members' money.</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All RSE licensees receiving release authorities; the trustee company's own capital; unaffected members, if the cost of errors made about affected members falls on the fund.</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Ask exposed licensees to confirm they have obtained advice that their governing rules permit both debiting a member's interest to satisfy a Division 296 release authority and recovering the build and run cost in the manner they propose, and to state the remediation timetable where they do not. Separately, ask for the licensee's legal position on whether a Division 296 error producing member detriment or a penalty may be met from fund assets, from the operational risk financial requirement, or must be met from the trustee's own resources - and to reflect that answer in the FY2027 target amount. Where a trustee's answer is that fund assets would bear the cost, that is a member-equity question worth putting on the record.</w:t>
      </w:r>
      <w:r>
        <w:rPr>
          <w:rFonts w:ascii="Arial" w:cs="Arial" w:eastAsia="Arial" w:hAnsi="Arial"/>
          <w:b/>
          <w:bCs/>
          <w:color w:val="E87722"/>
          <w:sz w:val="13"/>
          <w:szCs w:val="13"/>
          <w:vertAlign w:val="superscript"/>
        </w:rPr>
        <w:t xml:space="preserve"> [C]</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SIS Act ss 56 and 57 (limits on trustee indemnification out of fund assets, including for penalties); RSE governing rules / trust deeds; SPS 114 Operational Risk Financial Requirement paras 8-12, 15-20; SPS 515 paras 13, 17-18 (fee-setting and expenditure decisions); SIS Act s52(2)(c) best financial interests duty; Taxation Administration Act 1953 Sch 1 (release authority obligations)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licensee finds its governing rules inadequate to give effect to a Division 296 release authority, or a Division 296 error is met from fund assets in a way that raises a member-equity question, by FY2029) = 3.  ·  SOURCED: for existing release authority types, the ATO cashing order 'permits release of preserved benefits as the third priority after unrestricted and restricted non-preserved benefits' - ATO release authorities guidance for APRA-regulated funds. The equivalent Division 296 position is not yet published.  ·  SOURCED: SIS Act ss 56 and 57 restrict trustee indemnification from fund assets, including in respect of penalties.  ·  INFERRED: a release authority compels payment of preserved money outside the ordinary conditions of release; whether the trustee's own governing rules authorise that debit is a trust-law question that no prudential standard, and no Commonwealth instrument, answers for a given fund. It must be answered fund by fund, before the first notices arrive.  ·  INFERRED: the operational risk financial requirement exists to absorb losses to beneficiaries from operational risk, and is funded from fund assets; applying it to compensate an individual's personal tax detriment therefore transfers cost from affected to unaffected members. Whether that is permissible is a legal question the register cannot answer and should not assume.  ·  CREATED: no source was found addressing deed capacity for Division 296 release authorities. This is an original proposition for the meeting, offered as a question to be settled, not as a finding.</w:t>
      </w:r>
    </w:p>
    <w:p>
      <w:pPr>
        <w:spacing w:after="60" w:before="200" w:line="264"/>
      </w:pPr>
      <w:r>
        <w:rPr>
          <w:rFonts w:ascii="Arial" w:cs="Arial" w:eastAsia="Arial" w:hAnsi="Arial"/>
          <w:b/>
          <w:bCs/>
          <w:color w:val="012169"/>
          <w:sz w:val="19"/>
          <w:szCs w:val="19"/>
        </w:rPr>
        <w:t xml:space="preserve">P13. </w:t>
      </w:r>
      <w:r>
        <w:rPr>
          <w:rFonts w:ascii="Arial" w:cs="Arial" w:eastAsia="Arial" w:hAnsi="Arial"/>
          <w:b/>
          <w:bCs/>
          <w:color w:val="012169"/>
          <w:sz w:val="19"/>
          <w:szCs w:val="19"/>
        </w:rPr>
        <w:t xml:space="preserve">The Act also rewrites how every member's total balance is measured, and defined benefit members can lose the ability to contribute because of it</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A second part of the Act changes how a person's total super is measured, and gives each separate pot of super its own value. That total is used for far more than this tax: it decides whether someone can put more money in, whether they can use unused contribution room from earlier years, and whether they qualify for government contributions. The change mainly affects defined benefit members, and the great majority of them will never pay this tax. Their measured balance can move because the measuring method changed, not because anything happened to their money. The concrete harm is easy to state: a member sees a lower reported balance, makes an extra contribution or a bring-forward election in reliance on it, and receives an excess contributions assessment. The fund is the entity that reports the number and the entity the member will ask.</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the element most likely to be missed at executive level, because the whole debate is framed around a small high-balance cohort. It affects a far larger population, it is a disclosure and member-communication exposure that falls on trustees to explain, and the failure mode produces real financial detriment to ordinary members. The remedy - a reliable, well-explained published figure - largely sits with the Tax Office, which is why it is not graded higher.</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Defined benefit members generally, including the great majority who will never be subject to the tax; the defined benefit licensees who must explain it; members who incur an excess contributions assessment.</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Expect defined benefit licensees to have a member communication plan for a reported balance that moves for methodology reasons rather than economic ones, and to warn members not to rely on a moving figure for contribution decisions without checking the Tax Office's published figure. Support ASFA's proposal that the Tax Office figure on myGov be the authoritative and readily accessible number for defined benefit members, with a clear statement that it is not a family law split value. Flag to ASIC. No APRA instrument change is warranted.</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3/5 · Action: new-or-updated-guidance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Treasury Laws Amendment (Building a Stronger and Fairer Super System) Act 2026, Schedule 2 (total superannuation balance definition and per-interest value); Income Tax Assessment (1997 Act) Regulations 2021, reg 307-230A series (per ASFA); SPS 515 member outcomes and disclosure practice; ASIC disclosure obligations; SIS Act s52(2) covenants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P(defined benefit members make contribution decisions in reliance on a methodology-shifted balance and incur excess contributions assessments or comparable detriment, in FY2027-FY2029) = 3.  ·  SOURCED: the Act 'amends rules for calculating an individual's total superannuation balance (TSB) and introduces the concept of a TSB value for each of the individual's superannuation interests' - Federal Register table of contents for C2026A00008, Schedule 2.  ·  SOURCED: ASFA - 'There are no significant proposed changes to the TSB calculation reporting for accumulation fund members ... the proposed changes to calculating TSB will largely impact defined benefit members'; members crossing the threshold 'would see their TSB value change due to methodology shifts rather than actual earnings, which could mislead members and affect financial decision-making'; downstream uses listed are carry-forward concessional contributions, non-concessional contribution eligibility and bring-forward, government co-contribution and spouse contribution tax offset - ASFA submission, 7 April 2026, pp.5-6, 10-13.  ·  SOURCED: ASFA proposes the TSB published by the ATO on myGov be the reliable and readily accessible figure for defined benefit members, with disclaimers.  ·  GAP: ASFA's reference to a '$1.5 million threshold' does not map to a standard contribution threshold and could not be reconciled. Do not repeat the figure until it is verified.</w:t>
      </w:r>
    </w:p>
    <w:p>
      <w:pPr>
        <w:spacing w:after="60" w:before="200" w:line="264"/>
      </w:pPr>
      <w:r>
        <w:rPr>
          <w:rFonts w:ascii="Arial" w:cs="Arial" w:eastAsia="Arial" w:hAnsi="Arial"/>
          <w:b/>
          <w:bCs/>
          <w:color w:val="012169"/>
          <w:sz w:val="19"/>
          <w:szCs w:val="19"/>
        </w:rPr>
        <w:t xml:space="preserve">P14. </w:t>
      </w:r>
      <w:r>
        <w:rPr>
          <w:rFonts w:ascii="Arial" w:cs="Arial" w:eastAsia="Arial" w:hAnsi="Arial"/>
          <w:b/>
          <w:bCs/>
          <w:color w:val="012169"/>
          <w:sz w:val="19"/>
          <w:szCs w:val="19"/>
        </w:rPr>
        <w:t xml:space="preserve">Members will ask their fund where they stand, and the fund cannot answer without a conflict</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No single fund can tell a member whether this tax will catch them, because the threshold is measured across all of a person's super, including any self-managed fund. Only the Tax Office holds that view, and taxpayer confidentiality law is why the fund cannot be given it. But members will ask, and any answer risks being wrong. There is a sharper problem behind that. Because the first year turns on the balance at 30 June 2027, a fund that helpfully prompts its largest members about the deadline is prompting them to take money out of the fund - against its own revenue - and may be doing so with advice paid for collectively by members who receive nothing. A fund that says nothing leaves its largest members unserved and pushes them toward advisers who will recommend a self-managed fund. Every posture is exposed. Meanwhile the main industry body has asked that the trustee's 'fair and reasonable' split be put outside the reach of the external complaints scheme. Even if that were granted, members would keep their right to object to the Tax Office assessment - the question is whether that is a real remedy when the disputed judgement was made by someone else.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where a conduct failure is most likely to actually materialise, because it involves a fund talking to identified wealthy members about a dated decision under a direct conflict. It is joint APRA-ASIC territory rather than APRA's alone, which is why proximity is scored low. It also exposes a real impossibility under the retirement income covenant: the trustee must gather the information needed to formulate its strategy, and the decisive variable sits with the Tax Office.</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Members above the thresholds, roughly two thirds of whom are in retirement phase and 85% of whom are over 60; trustees' complaint-handling and advice functions; funds that are the convenient liquid account in a member's portfolio.</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Route the external-dispute question to ASIC with an APRA member-outcomes view attached rather than owning it, and establish where it landed in the final regulations. Tell licensees that member communications must not describe this as a tax on 'what you earned' - the base includes grossed-up franking credits and gross foreign income, so a member can owe tax on amounts the fund never received in cash, and it draws in retirement-phase earnings that are exempt to the fund. Expect any targeted prompt to high-balance members about the 30 June 2027 deadline to be governed under the conflicts framework, with the conflict, the funding source for any advice, and the member's alternatives documented. Make Division 296 a named question in retirement income strategy reviews from FY2028. Frame the data ask correctly: giving trustees a member's whole-of-system balance requires a legislated disclosure exception, not an administrative arrangement, because taxpayer confidentiality is the obstacle.</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3/5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SIS Act s52(8A) and s52AA retirement income covenant; SPS 515 para 8A; SPS 521 Conflicts of Interest; SPS 515 paras 24-28 (member cohorts); SPG 515; SPG 516; AFCA scheme jurisdiction (Corporations Act scheme approval and AFCA Rules); ASIC RG 271 internal dispute resolution; Taxation Administration Act 1953 Sch 1 Div 355 (taxpayer confidentiality); Delivering Better Financial Outcomes reforms (scope of collectively charged advice; targeted prompts)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conduct, disclosure or conflicted-advice issue arises from fund communications to high-balance members about the 30 June 2027 deadline, or from answering member queries, by FY2029) = 3.  ·  SOURCED: ASFA recommends 'the Regulations make it clear that fair and reasonable estimates of realised investment income by funds ... are outside of the scope of matters subject to AFCA review' and that 'Funds should not be subject to dealing with disputes directly with members on an allocation made on a fair and reasonable basis' - ASFA submission, 7 April 2026, pp.4-5. ASFA also states members may object to the ATO assessment, so an AFCA carve-out would remove one route, not all recourse.  ·  SOURCED: Taxation Administration Act 1953 Sch 1 s 134-140 carries an express note that a dissatisfied person may complain under the AFCA scheme - which cuts against the carve-out request (see P9).  ·  SOURCED: the taxable base includes grossed-up franking credits and gross foreign income, and foreign tax offsets do not reduce Division 296 fund earnings; net exempt current pension income is added back - Explanatory Memorandum paras 1.66-1.70 via Bills Digest No. 48; Heffron commentary.  ·  SOURCED: Treasury Impact Analysis (January 2024) - about 65% of affected individuals are in retirement phase; ASFA analysis of ATO unit-record data - 85% aged over 60, 46% over 70.  ·  INFERRED CHAIN: each fund reports only its own attributed earnings and balances and only the ATO aggregates; therefore no trustee can tell a member whether the report matters, yet members will ask and any answer is a potential misleading-conduct exposure. Separately, the member elects which fund receives the release authority, so outflow can land on a fund that generated none of the taxed earnings.  ·  INFERRED: the equity question inside a single fund that a trustee ACTUALLY controls is not the defined benefit differential (which is legislated) but the treatment of retirement-phase members under the exempt-income add-back, where the chosen attribution method determines how the burden falls between pension and accumulation members with identical balances.  ·  GAP: whether the final regulations addressed the AFCA question or a materiality threshold could not be confirmed; this requires reading F2026L00726 and its Explanatory Statement.</w:t>
      </w:r>
    </w:p>
    <w:p>
      <w:pPr>
        <w:spacing w:after="60" w:before="200" w:line="264"/>
      </w:pPr>
      <w:r>
        <w:rPr>
          <w:rFonts w:ascii="Arial" w:cs="Arial" w:eastAsia="Arial" w:hAnsi="Arial"/>
          <w:b/>
          <w:bCs/>
          <w:color w:val="012169"/>
          <w:sz w:val="19"/>
          <w:szCs w:val="19"/>
        </w:rPr>
        <w:t xml:space="preserve">P12. </w:t>
      </w:r>
      <w:r>
        <w:rPr>
          <w:rFonts w:ascii="Arial" w:cs="Arial" w:eastAsia="Arial" w:hAnsi="Arial"/>
          <w:b/>
          <w:bCs/>
          <w:color w:val="012169"/>
          <w:sz w:val="19"/>
          <w:szCs w:val="19"/>
        </w:rPr>
        <w:t xml:space="preserve">Building this for a fraction of one per cent of members feeds a legislated pass/fail test that APRA itself administers</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Even a fund with several million members may have fewer than about 1,500 members caught by this tax, yet it must build and run the whole capability. In dollars per member the cost is small - even on a generous assumption it is of the order of a dollar or two per member per year. The point is not the size of the cost; it is where it lands. If it is recovered through a flat administration fee, it feeds into the annual performance test, which compares a product's administration fees against the median for its category and combines that with investment performance. Fail by more than half a per cent two years running and the fund cannot take new members into that product. Because the benchmark is a median, the effect is uneven: a fund with a small affected population relative to its total membership carries the same fixed build cost over a smaller fee base. There is a perverse edge to this that is worth saying out loud - the test rewards absorbing, capitalising or quietly burying the cost over recovering it transparently from the members who generate it.</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converts a governance observation into a dated consequence in a regime APRA operates. It is also the kind of second-order effect that is obvious in hindsight and invisible at the time. FY2028 fee-setting is not yet locked in, so raising it now costs nothing.</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Members not affected by the tax, if the cost is recovered through flat fees; the licensee's board, which must justify the expenditure and fee decisions; products close to the performance test fee median.</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Ask licensees, before FY2028 fee-setting is locked in, how Division 296 build and run costs are being recovered and from whom, and to demonstrate under SPS 515 paras 17-18 the purpose, funding source and monitoring metrics for that expenditure - including whether they have modelled the effect on their FY2027 and FY2028 administration fee metric, and whether recovering from affected members only is both more defensible under the best financial interests duty and better for the metric. Consider updating SPG 516 to name high-balance members as an expected cohort in the annual business performance review. This is a low-materiality issue with a genuinely high-value, low-cost action, and saying so plainly builds credibility.</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2/5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Annual superannuation performance test (administration fee metric combined with investment performance; two consecutive failures close the product to new members); SPS 515 paras 13, 17-18 (prudent and transparent fees; demonstrable purpose and funding source for expenditure); SPS 515 paras 24-28 and SPG 516 (business performance review, member cohorts); SIS Act s52(2)(c) best financial interests duty</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P(Division 296 cost recovery materially affects a product's performance test outcome, or produces a best-financial-interests finding, by FY2029) = 2.  ·  SOURCED: Treasury fact sheet, 13 October 2025 - the measure 'will affect less than 0.5 per cent of Australians with superannuation accounts in 2026-27'; the higher tier 'less than 0.1 per cent' - https://treasury.gov.au/publication/p2025-709385-btsc  ·  SOURCED: ASFA - 'Even for large funds with several million members, there may be 1,500 or fewer members' in scope; cost-effective administration is 'of paramount importance ... to avoid imposing a cost burden ... indirectly ... borne by fund members ... not affected' - ASFA submission, 7 April 2026, pp.1-2  ·  SOURCED: Treasury Impact Analysis (January 2024) rejected member-level calculation partly because 'This significant compliance costs would be borne across all 22.5 million member accounts in large APRA-regulated funds, not just the 0.5 per cent of account holders with a TSB exceeding $3 million'. Its only published ongoing costing for the chosen design is $1,421,858 a year across the sector, on an assumption of 'an additional half hour of work each for reporting on each affected member'.  ·  SOURCED: SPG 516 - 'Separate cohorts may also be established using membership characteristics that cut across superannuation products, for example cohorts based on balance size' - https://www.apra.gov.au/sites/default/files/Prudential%20Practice%20Guide%20SPG%20516%20-%20Business%20Performance%20Review_0.pdf  ·  INFERRED: the half-hour-per-member assumption was struck before the redesign moved the calculation from the ATO to funds, so the only published cost estimate almost certainly understates the enacted measure. Even at ten times that figure, roughly $14m a year across about 22.5m accounts is about 60 cents per account per year - which is why the materiality of the cost itself is low and the performance test transmission is the real point.  ·  CREATED: the observation that a median-benchmarked fee test creates an incentive to absorb or capitalise the cost rather than recover it transparently is an original analytical proposition for this meeting.</w:t>
      </w:r>
    </w:p>
    <w:p>
      <w:pPr>
        <w:spacing w:after="60" w:before="200" w:line="264"/>
      </w:pPr>
      <w:r>
        <w:rPr>
          <w:rFonts w:ascii="Arial" w:cs="Arial" w:eastAsia="Arial" w:hAnsi="Arial"/>
          <w:b/>
          <w:bCs/>
          <w:color w:val="012169"/>
          <w:sz w:val="19"/>
          <w:szCs w:val="19"/>
        </w:rPr>
        <w:t xml:space="preserve">P15. </w:t>
      </w:r>
      <w:r>
        <w:rPr>
          <w:rFonts w:ascii="Arial" w:cs="Arial" w:eastAsia="Arial" w:hAnsi="Arial"/>
          <w:b/>
          <w:bCs/>
          <w:color w:val="012169"/>
          <w:sz w:val="19"/>
          <w:szCs w:val="19"/>
        </w:rPr>
        <w:t xml:space="preserve">APRA has an open channel to Treasury and the Tax Office, and a window to put a prudential view into the remaining design work</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The Government committed to further consultation on two things: how the fund's earnings are calculated, and how they are split between members. Both Treasury consultations have now closed, and that remaining work is progressing through a Tax Office co-design process with large funds, administrators and industry bodies, ahead of a public ruling. APRA engages with Treasury and the Tax Office bilaterally, so this is not a question of being shut out. It is a question of timing: once the ruling moves from draft to final, the method is effectively fixed, and the prudential consequences - how boards govern the judgement, how the operational load falls, how member equity is protected - are easier to shape before that than after. There is a practical detail worth knowing: the Council of Financial Regulators has four members and the Tax Office is not one of them. The grouping that includes the Tax Office is the broader CFR Plus arrangement.</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Decisions being taken now determine operational load, data flows and member-equity outcomes for entities APRA supervises. Contributing a prudential perspective while the ruling is being written is cheap; supervising after the fact against a method APRA had no input into is not. There is also a precedent argument: APRA has already published a readiness letter on the other measure first applying from 1 July 2026, so a Division 296 equivalent is a consistency step.</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APRA as supervisor; RSE licensees who will receive a method designed without prudential input; members whose outcomes turn on it.</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Consider seeking a standing APRA place in the Tax Office's Division 296 co-design workstream, or a tripartite Treasury-Tax Office-APRA arrangement, before the Law Companion Ruling reaches draft, and put APRA's member-equity and operational-risk expectations into that process in writing. The highest-value single ask is a safe harbour: a default attribution method that a trustee adopting it is protected for. That is more useful than governance around an open-ended judgement, and industry would support it. Distinguish clearly between what APRA asks for in its own name - a seat, the transfer protocol, a current in-scope headcount, and a data arrangement - and prudential consequences APRA puts on the record for Treasury and the Tax Office to remedy, which should be stated as consequences for supervised entities without APRA advocating a preferred tax mechanic. In parallel, consider a short letter to RSE licensees so APRA's expectations are on the record before the first measurement year closes on 30 June 2027. Use CFR Plus, not the CFR, if the coordination question is escalated.</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2/5 · Likelihood 2/5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Treasury commitment of 13 October 2025 to consult on calculation and attribution of realised earnings; ATO Superannuation Administration Group co-design workstream; Forthcoming ATO Law Companion Ruling on Division 296; CFR Plus (CFR agencies plus the ACCC, ATO, AUSTRAC and AFSA); APRA letters and guidance to RSE licensees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P(the Law Companion Ruling is finalised on terms APRA would have sought to influence, without a prudential contribution having been made) = 2. Scored low because APRA engages bilaterally with Treasury and the ATO and the co-design process is still running.  ·  SOURCED: Treasury fact sheet, 13 October 2025 - 'The government will consult the sector on the best approach to: calculate realised earnings and attribute to in-scope individuals' - https://treasury.gov.au/publication/p2025-709385-btsc  ·  SOURCED: as at 26 July 2026 Treasury's consultation register shows only two Division 296 items, both closed (exposure draft 19 December 2025 - 16 January 2026; draft regulations 17 March - 7 April 2026) - https://treasury.gov.au/consultation  ·  SOURCED: ATO Superannuation Administration Group key messages, 18 February 2026 (co-design sessions restarting for Division 296) and 20 May 2026 ('Additional public advice and guidance products will be developed and formally consulted on once the regulations have been finalised').  ·  SOURCED: the Council of Financial Regulators comprises APRA, ASIC, Treasury and the RBA - https://www.cfr.gov.au/about/member-agencies.html . CFR Plus adds the ACCC, ATO, AUSTRAC and AFSA and published a joint regulatory reform implementation plan in May 2026.  ·  SOURCED: 83 submissions were received on the exposure draft in a 28-day window over Christmas and New Year; the Bill passed both Houses without amendment on 10 March 2026, was never referred to a Senate legislation committee, and received Assent on 13 March 2026 - Bills Digest No. 48, 2025-26.  ·  GAP: the published membership page for the Superannuation Administration Group does not list APRA, but a published membership page is not evidence of who attends a specific workstream and says nothing about bilateral engagement. Confirm internally with Policy and the Superannuation Division what engagement has occurred since October 2025 before raising this.</w:t>
      </w:r>
    </w:p>
    <w:p>
      <w:pPr>
        <w:spacing w:after="60" w:before="200" w:line="264"/>
      </w:pPr>
      <w:r>
        <w:rPr>
          <w:rFonts w:ascii="Arial" w:cs="Arial" w:eastAsia="Arial" w:hAnsi="Arial"/>
          <w:b/>
          <w:bCs/>
          <w:color w:val="012169"/>
          <w:sz w:val="19"/>
          <w:szCs w:val="19"/>
        </w:rPr>
        <w:t xml:space="preserve">P16. </w:t>
      </w:r>
      <w:r>
        <w:rPr>
          <w:rFonts w:ascii="Arial" w:cs="Arial" w:eastAsia="Arial" w:hAnsi="Arial"/>
          <w:b/>
          <w:bCs/>
          <w:color w:val="012169"/>
          <w:sz w:val="19"/>
          <w:szCs w:val="19"/>
        </w:rPr>
        <w:t xml:space="preserve">Perimeter: the capital gains reset favours SMALL funds - which includes some APRA-regulated ones - and the migration trend predates the tax</w:t>
      </w:r>
      <w:r>
        <w:rPr>
          <w:rFonts w:ascii="Arial" w:cs="Arial" w:eastAsia="Arial" w:hAnsi="Arial"/>
          <w:b/>
          <w:bCs/>
          <w:color w:val="A8891F"/>
          <w:sz w:val="15"/>
          <w:szCs w:val="15"/>
        </w:rPr>
        <w:t xml:space="preserve">   GRADE C</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Small funds can make a one-off election to reset the tax cost of all their assets to market value at 30 June 2026, permanently removing gains built up before the tax started. Large funds get only a temporary discount that phases out. The important correction is that 'small' does not mean 'self-managed'. Small APRA funds - funds with no more than six members, trusteed by professional trustees APRA supervises - sit on the same side of the line. So a member can obtain the reset without leaving APRA's perimeter, and the design asymmetry is about fund size, not about who regulates the fund. The same six-member line means some of APRA's own licensees will attribute earnings by a completely different legal mechanism - a prescribed formula plus a compulsory annual actuarial certificate for every fund, every year, which is a real recurring cost for very small funds. On migration: net rollovers out of APRA-regulated funds into self-managed funds reached $12.2 billion in the year to March 2026, up 54 per cent. Whether this tax caused any of that is not established, and the largest single quarter was September 2025 - before the October 2025 redesign was announced.</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The members most able to leave are the ones whose departure most erodes scale, and their fee contribution is disproportionate to their headcount where a percentage fee is capped. But this is squarely a Treasury design decision, not an APRA lever, and the causal story is not made out - which is why it is graded C. There is also a channel the analysis has missed entirely: a member can reduce their measured total by buying a lifetime income stream, and those are life company products that APRA also regulates. Part of what looks like a loss of perimeter is a transfer into another part of APRA's own house that has not been consulted.</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Platform, wrap and master-trust licensees most directly; small APRA funds and their professional trustees; the APRA-regulated sector through scale erosion; remaining members through the cost base left behind.</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Do not assert causation, and do not describe the reset as an SMSF-only benefit. Put to Treasury that the size-based asymmetry disadvantages large APRA-regulated funds and platform and wrap licensees in particular, and support the request that funds with more than six members be permitted a bulk 30 June 2026 cost-base declaration for member-directed investment options. Monitor FY2026-27 rollover data as an observation, not an attribution. Add three things the analysis has been missing: brief APRA's life insurance supervision that some of this money may arrive in lifetime income streams and investment bonds; note that small APRA funds - APRA's own licensees - face the prescribed-formula and annual actuarial certificate regime, with a recurring cost on a fund type already declining sharply; and monitor contributions, not only outflows, since the rational response for this cohort includes ceasing voluntary and salary-sacrifice contributions, which is more immediate and more measurable than migration and is visible in existing APRA collections.</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2/5 · Action: no-change-monitor</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Income Tax (Transitional Provisions) Act 1997, Division 296 transitional cost base reset (small funds) and prescribed factor method (large funds and pooled superannuation trusts); Income Tax Assessment (1997 Act) Amendment Regulations 2026 (F2026L00726) Sch 1; SRS 551.0 / SRS 611.0 (inability to decompose outflows); APRA-ATO data-sharing arrangements (subject to the secrecy question in P6); Life insurance prudential framework (lifetime income streams and investment bonds)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Division 296-attributable outflow of high-balance members from APRA-regulated funds that is material to a licensee's scale, and identifiable as such, by FY2029) = 3.  ·  SOURCED (with correction): Tax Institute, quoted in Bills Digest No. 48 at p.8 - 'SMSFs can opt in to adjust the cost base of all fund assets to their market value as at 30 June 2026 ... while large APRA funds are required to adjust their actual realised capital gains for the first four years (factor method).' CORRECTION: the legislated boundary is fund size - small funds, which include small APRA funds as well as SMSFs - not SMSF status. Pooled superannuation trusts are excluded alongside large funds. Verify the exact wording in the Income Tax (Transitional Provisions) Act 1997 before the meeting.  ·  SOURCED: ASFA asks that funds with more than six members be permitted 'to make a bulk declaration to cover all members in its member directed investment options in regard to adopting 30 June 2026 cost base' - ASFA submission, 7 April 2026, pp.3-4.  ·  SOURCED: net rollovers from APRA-regulated funds to SMSFs, year ended March 2026, -$12,184m versus -$7,922m a year earlier (+53.8%); the largest quarter was September 2025 at -$3,656m - APRA Quarterly Superannuation Performance Statistics to March 2026, Table 1a. NOTE: that quarter precedes the 13 October 2025 redesign announcement, which cuts against a Division 296 explanation.  ·  SOURCED: 4.7% of SMSF members had SMSF balances above $3m in 2023-24 (approximately 53,300 people), up from 3.1% five years earlier - ATO SMSF statistical overview 2023-24, Tables 1 and 25.  ·  SOURCED: small APRA funds are APRA-regulated funds with no more than six members; there were 673 at June 2025, down about 1,000 on the prior year.  ·  CAVEAT: the strongest available SMSF establishment data (Padua WealthData, June 2026) does not mention Division 296 and attributes growth to demand for direct control and lower online establishment costs, with new funds skewing to ages 35-44 - which cuts against a Division 296 explanation.  ·  INFERRED: a member can reduce total superannuation balance by acquiring a lifetime or other non-account-based income stream, valued by a special method that Schedule 2 of the Act alters; those products are issued by APRA-regulated life companies, as are investment bonds. Behavioural scale not established - record as a monitoring item, not a finding.  ·  CAVEAT: exempt public sector superannuation schemes are included in Treasury's 31,800 estimate but are not APRA-regulated; they are covered by a Heads of Government agreement under which states apply SIS-equivalent rules. The principal population estimate therefore silently includes a cohort outside APRA's perimeter.</w:t>
      </w:r>
    </w:p>
    <w:p>
      <w:pPr>
        <w:spacing w:after="60" w:before="200" w:line="264"/>
      </w:pPr>
      <w:r>
        <w:rPr>
          <w:rFonts w:ascii="Arial" w:cs="Arial" w:eastAsia="Arial" w:hAnsi="Arial"/>
          <w:b/>
          <w:bCs/>
          <w:color w:val="012169"/>
          <w:sz w:val="19"/>
          <w:szCs w:val="19"/>
        </w:rPr>
        <w:t xml:space="preserve">P17. </w:t>
      </w:r>
      <w:r>
        <w:rPr>
          <w:rFonts w:ascii="Arial" w:cs="Arial" w:eastAsia="Arial" w:hAnsi="Arial"/>
          <w:b/>
          <w:bCs/>
          <w:color w:val="012169"/>
          <w:sz w:val="19"/>
          <w:szCs w:val="19"/>
        </w:rPr>
        <w:t xml:space="preserve">Post-death attribution is made law, not a draft - trustees must build to it, and it collides with the duty to pay death benefits promptly</w:t>
      </w:r>
      <w:r>
        <w:rPr>
          <w:rFonts w:ascii="Arial" w:cs="Arial" w:eastAsia="Arial" w:hAnsi="Arial"/>
          <w:b/>
          <w:bCs/>
          <w:color w:val="A8891F"/>
          <w:sz w:val="15"/>
          <w:szCs w:val="15"/>
        </w:rPr>
        <w:t xml:space="preserve">   GRADE C</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When a member dies, the trustee must pay the death benefit as soon as practicable. Under the rules as made, fund earnings continue to be attributed to the deceased member's account until the death benefit is fully paid, and the liability may only be assessed after the money has gone - potentially leaving an estate with a tax bill and nothing left in super to pay it from. There is also an odd distinction: if the member had a pension that automatically continues to a spouse, attribution stops; if not, it continues. Identical families get different outcomes because of a paperwork choice. Three technical bodies contested this at consultation and it survived into the final regulations unchanged. That matters for what APRA says: these are not draft rules. Consultation closed on 7 April 2026, the regulations were made on 11 June and registered on 18 June 2026, and they first applied from 1 July 2026 (the start of the 2026-27 income year). Trustees must build to them.</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Death benefits are already the most litigated area of superannuation. A trustee that pays promptly may strand a liability with an estate; a trustee that holds back to protect the estate risks breaching the cashing rule. There is no clean answer and executors will press trustees on both sides. It also injects a tax consideration into trustee discretion and into the advice members receive about death benefit nominations. It is graded C because the remedy is Treasury's, not APRA's, and the population is small.</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Funds with large numbers of high-balance retirees; estates and legal personal representatives; beneficiaries, including in second-marriage fact patterns where estate and superannuation beneficiaries differ.</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Do NOT advise licensees to hold off building - the rule is made and operative, and telling supervised entities not to implement operative law would be wrong and potentially harmful. Instead, ask exposed licensees how they will reconcile continued post-death attribution with the obligation to cash death benefits as soon as practicable, and expect the tension to appear in complaints and in death benefit payment timeliness metrics. Separately, put the prudential consequence on the record with Treasury: post-death attribution conflicts with the cashing obligation, and the reversionary versus non-reversionary distinction rewards benefit design over substance. Confirm and communicate the final position, which is now determinable: no Division 296 liability arises in the year of death where death occurs on or before 30 June, with earnings then attributed to the undistributed interest until death benefits are fully paid.</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2/5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Income Tax Assessment (1997 Act) Amendment Regulations 2026 (F2026L00726) Sch 1 (post-death attribution; 'death benefit income stream'); SIS Act and SIS Regulations cashing rules for death benefits (as soon as practicable); SPS 521 Conflicts of Interest; SPS 515 member outcomes; internal dispute resolution obligations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trustee faces a live conflict between the cashing obligation and post-death attribution that produces a complaint, a delayed payment or estate detriment, in FY2028-29) = 3.  ·  SOURCED: consultation on the draft regulations closed 7 April 2026; the regulations (F2026L00726) were made 11 June and registered 18 June 2026 - https://www.legislation.gov.au/F2026L00726/asmade . Practitioner coverage on release was headlined that there was no change to post-death earnings, and the final instrument introduced a new defined term, 'death benefit income stream'. The rule is operative, not draft.  ·  SOURCED: SMSF Association - the post-death approach 'was not articulated in our previous discussions with Treasury, the primary legislation, nor the previously released Additional guidance on proposed regulations paper' and 'represents a material expansion of the regime'; 'the liability arises only after the superannuation interest has been paid, but at that point there may no longer be any capacity to fund the liability from within the superannuation system' - submission, 7 April 2026, pp.1-3.  ·  SOURCED: draft Regulation 296-70.04(2)(b) stopped attribution at the earlier of all death benefits being paid or another person becoming a retirement-phase recipient; the SMSF Association warned this 'places trustees in a conflicted position' - same submission, pp.3-4.  ·  SOURCED: Tax Institute recommends 'Division 296 liabilities should cease on death' - submission, 16 April 2026.  ·  GAP: the exact operative wording in the made regulations has not been read directly. Verify before quoting regulation numbers.</w:t>
      </w:r>
    </w:p>
    <w:p>
      <w:pPr>
        <w:spacing w:after="60" w:before="200" w:line="264"/>
      </w:pPr>
      <w:r>
        <w:rPr>
          <w:rFonts w:ascii="Arial" w:cs="Arial" w:eastAsia="Arial" w:hAnsi="Arial"/>
          <w:b/>
          <w:bCs/>
          <w:color w:val="012169"/>
          <w:sz w:val="19"/>
          <w:szCs w:val="19"/>
        </w:rPr>
        <w:t xml:space="preserve">P18. </w:t>
      </w:r>
      <w:r>
        <w:rPr>
          <w:rFonts w:ascii="Arial" w:cs="Arial" w:eastAsia="Arial" w:hAnsi="Arial"/>
          <w:b/>
          <w:bCs/>
          <w:color w:val="012169"/>
          <w:sz w:val="19"/>
          <w:szCs w:val="19"/>
        </w:rPr>
        <w:t xml:space="preserve">This is not a system liquidity event - and here is the arithmetic that settles it</w:t>
      </w:r>
      <w:r>
        <w:rPr>
          <w:rFonts w:ascii="Arial" w:cs="Arial" w:eastAsia="Arial" w:hAnsi="Arial"/>
          <w:b/>
          <w:bCs/>
          <w:color w:val="A8891F"/>
          <w:sz w:val="15"/>
          <w:szCs w:val="15"/>
        </w:rPr>
        <w:t xml:space="preserve">   GRADE C</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It is tempting to frame this as a risk that funds will be forced to sell assets in a hurry. The numbers do not support it. On APRA's own derivation, the annual amount drawn out of APRA-regulated funds is of the order of one per cent of the lump sums these funds already pay every year, and about three per cent of a single peak month in APRA's own stress test. The behavioural story does not hold either. For the first year only, whether a member pays depends on their balance at 30 June 2027, so in principle there is a deadline to get under three million. But a member at $3.2 million owes roughly $1,800 - nobody restructures a retirement portfolio and crystallises capital gains to avoid that. A member at eight or ten million has a bill worth managing, but cannot get under three million by any means short of destroying their position. The cohort with the incentive cannot act, and the cohort that can act has almost no incentive. Both tails argue against a rush. There is one residual point that is not about cash at all: because the tax falls on income received and gains realised, and not on growth left untouched, it gently rewards holding low-income, low-turnover assets - which points the same way as the growth in unlisted and private market holdings APRA has already flagged as a system risk.</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Opening with a forced-sale narrative would repeat an argument the enacted law has already answered, and would cost credibility in the room. Stating the aggregate and behavioural position up front lets the meeting move to where the exposure actually is: operational, member-equity, third-party concentration and perimeter. The composition point is worth one paragraph because nobody else will raise it and it runs against, not with, APRA's stated system risk concern.</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Nobody, in aggregate. Specific illiquid investment options and individual funds with concentrated high-balance membership remain exposed on a dispersion basis, as the 2020 early release episode showed.</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State the de minimis aggregate position explicitly at the top of the note, with the caveat that it is APRA's own derivation from a superseded-design revenue estimate, and put the per-member arithmetic ($1,800 / $9,000 / $63,000) alongside it. Then say clearly that the exposure is operational, member-equity, third-party concentration and perimeter - not liquidity - with two named exceptions: individual illiquid investment options, and licensees with concentrated high-balance membership. Keep the cheap test: ask materially exposed licensees to produce the SPG 530 para 79(e) policy-driven scenario for Division 296 covering the June 2027 quarter, and to confirm the liquidity management plan treats it as a liquidity event with defined actions. That is a low-cost, high-signal test of whether the plan is live, and it does not require the issue to be graded high. Add a monitoring line on portfolio composition against the SRS 553.0 baseline. Do not carry any 2023-vintage argument about unrealised gains, forced realisation, unusable paper losses or unindexed bracket creep into the meeting - all four were answered by the enacted design.</w:t>
      </w:r>
      <w:r>
        <w:rPr>
          <w:rFonts w:ascii="Arial" w:cs="Arial" w:eastAsia="Arial" w:hAnsi="Arial"/>
          <w:b/>
          <w:bCs/>
          <w:color w:val="E87722"/>
          <w:sz w:val="13"/>
          <w:szCs w:val="13"/>
          <w:vertAlign w:val="superscript"/>
        </w:rPr>
        <w:t xml:space="preserve"> [C]</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2/5 · Likelihood 2/5 · APRA proximity 3/5 · Action: no-change-monitor</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SPS 530 paras 31-38 (comprehensive investment stress testing programme at para 31; liquidity management plan and liquidity event at para 36); SPG 530 paras 79(a) and 79(e) (member-generated events; policy-driven events); SRS 553.0 (out-of-cycle valuation baseline from the December 2025 quarter); APRA System Risk Stress Test framework</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P(Division 296-driven outflow produces a liquidity event at a material APRA-regulated fund in FY2027 or FY2028) = 2.  ·  CREATED (own derivation, clearly labelled): Treasury's superseded-design costing implies roughly $28,750 of average annual liability per affected individual ($2.3bn in 2027-28 across about 80,000 individuals); applying the 31,800-of-80,000 APRA-side share gives an indicative $0.9bn a year, and less in practice. Against APRA-regulated lump sums of $79.7bn and assets of $3,141.1bn (year to March 2026), that is about 1.1% of annual lump sums and about 0.03% of assets, and about 3% of a single $30bn peak month in APRA's stress test. All comparisons use the same $0.9bn numerator. (The draft's 'one fifteenth of a peak month' mixed the whole-system numerator with the APRA-side one and is wrong.)  ·  CREATED: the behavioural pricing above - $1,800 at $3.2m, $9,000 at $4m, $63,000 at $10m, on a 6% earnings assumption - is APRA's own arithmetic from the proportioning formula (TSB - $3m)/TSB. It is the single most useful number in the pack and should appear in the note.  ·  SOURCED (calibration): APRA System Risk Stress Test, 30 June 2026 - 'aggregate monthly liquidity calls peaking at around $30 billion and cumulative demands totalling $174 billion, or just under 16 per cent of net assets'; peak monthly calls 'less than 7 per cent of available liquid assets'; funds 'largely avoided selling unlisted assets', meeting the shock primarily through listed equities; allocations to illiquid assets in MySuper options increased substantially - https://www.apra.gov.au/news-and-publications/system-risk-stress-test . (Do not say funds sold 'not a single unlisted asset'; the source does not say that.)  ·  SOURCED (calibration): COVID-19 early release paid about $36-38bn, roughly 2% of system funds under management, but 'some large funds processed over 5% of their FUM' and switching reached 8% at some funds - RBA Financial Stability Review, April 2021, Box C. Dispersion, not aggregate, is the lesson.  ·  SOURCED: for 2026-27 liability is determined solely by the balance at the end of that year; from 2027-28 the reference amount is the greater of the opening and closing balance - Explanatory Memorandum para 1.219 via Bills Digest No. 48; ATO guidance on how Division 296 tax is calculated.  ·  SOURCED: SPG 530 para 79(e) - 'policy driven events: a change in Government policy, for example, related to access to accrued member assets'.  ·  CAVEAT: the $2.3bn and 80,000 figures come from the January 2024 Impact Analysis for the superseded design. The verified primary fiscal figure under the enacted design is MYEFO 2025-26, which books the redesign plus the low income offset increase as a $3.8bn decrease in receipts and $475.8m increase in payments over four years.  ·  INFERRED (unquantified, APRA's own proposition): a realised-earnings base taxes distribution and disposal but not accrual, which is a deferral incentive favouring low-distribution, low-turnover, capital-growth assets over income-producing ones - the same direction as the private-market growth APRA has flagged as a system risk. There is an opposite-signed effect too: capital moving to SMSFs and direct holdings holds less unlisted infrastructure in aggregate than a large APRA-regulated fund does. Neither is measured; both belong in the note as analytical propositions.</w:t>
      </w:r>
    </w:p>
    <w:p>
      <w:r>
        <w:br w:type="page"/>
      </w:r>
    </w:p>
    <w:p>
      <w:pPr>
        <w:pBdr>
          <w:bottom w:val="single" w:color="0072CE" w:sz="6" w:space="4"/>
        </w:pBdr>
        <w:spacing w:after="100" w:before="0"/>
      </w:pPr>
      <w:r>
        <w:rPr>
          <w:rFonts w:ascii="Arial" w:cs="Arial" w:eastAsia="Arial" w:hAnsi="Arial"/>
          <w:b/>
          <w:bCs/>
          <w:color w:val="012169"/>
          <w:sz w:val="22"/>
          <w:szCs w:val="22"/>
        </w:rPr>
        <w:t xml:space="preserve">Annex B — Prudential framework mapping</w:t>
      </w:r>
    </w:p>
    <w:p>
      <w:pPr>
        <w:spacing w:after="120" w:before="0" w:line="264"/>
      </w:pPr>
      <w:r>
        <w:rPr>
          <w:rFonts w:ascii="Arial" w:cs="Arial" w:eastAsia="Arial" w:hAnsi="Arial"/>
          <w:color w:val="52514E"/>
          <w:sz w:val="17"/>
          <w:szCs w:val="17"/>
        </w:rPr>
        <w:t xml:space="preserve">One row per instrument examined, including those needing no change — the absence of a required change is itself a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700"/>
        <w:gridCol w:w="3106"/>
        <w:gridCol w:w="1300"/>
        <w:gridCol w:w="700"/>
      </w:tblGrid>
      <w:tr>
        <w:trPr>
          <w:tblHeader/>
        </w:trPr>
        <w:tc>
          <w:tcPr>
            <w:tcW w:type="dxa" w:w="21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Instrument</w:t>
            </w:r>
          </w:p>
        </w:tc>
        <w:tc>
          <w:tcPr>
            <w:tcW w:type="dxa" w:w="27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it requires now</w:t>
            </w:r>
          </w:p>
        </w:tc>
        <w:tc>
          <w:tcPr>
            <w:tcW w:type="dxa" w:w="31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Division 296 stresses</w:t>
            </w:r>
          </w:p>
        </w:tc>
        <w:tc>
          <w:tcPr>
            <w:tcW w:type="dxa" w:w="13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Verdict</w:t>
            </w:r>
          </w:p>
        </w:tc>
        <w:tc>
          <w:tcPr>
            <w:tcW w:type="dxa" w:w="7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Conf.</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230 Operational Risk Management - critical operations limb (paras 24, 35, 36(c), 38, 44)</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Para 24 (VERIFIED verbatim): 'An APRA-regulated entity must manage its full range of operational risks, including but not limited to legal risk, regulatory risk, compliance risk, conduct risk, technology risk, data risk and change management risk.' Para 36(c) requires an RSE licensee to classify 'investment management and fund administration' as critical operations unless it can justify otherwise. Para 35 defines critical operations as processes undertaken by the entity 'or its service provider'. Para 38 requires tolerance levels for disruption time, data loss and minimum service levels. Para 44 requires severe-but-plausible scenario testing including 'disruptions to services provided by material service providers'. CORRECTION: the draft attributed the para 24 obligation to para 23; para 23 is senior management's duty to inform the Board.</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Division 296 calculation, the attribution of earnings to members, the report to the Commissioner and any release-authority payment are all performed within fund administration, which is already a default critical operation. The externally set clocks (10 business days for defined benefit and certain other interests; 28 calendar days for other APRA-regulated funds) are hard deadlines set by a third party and cluster in a single annual window, so the operational risk is correlated across the industry rather than idiosyncratic. Note that para 35 expressly extends critical operations to processes performed by a service provider.</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230 Operational Risk Management - service provider limb (paras 47-60, esp. 49, 50, 51, 59)</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from the in-force July 2025 standard. Para 47 requires a comprehensive service provider management policy. Para 49 requires the entity to 'identify and maintain a register of its material service providers', defined as 'those on which the entity relies to undertake a critical operation or that expose it to material operational risk'. Para 50 requires that, at a minimum, for an RSE licensee, providers of 'fund administration, custodial services, investment management and arrangements with promoters and financial planners' be classified as material service providers unless it can justify otherwise. Para 51: 'An APRA-regulated entity must submit its register of material service providers to APRA on an annual basis.' Paras 53-55 cover due diligence and formal agreements including APRA access rights; para 59 requires notification to APRA within 20 business days of entering or materially changing an agreement for a service supporting a critical operation. CORRECTION: the limb begins at para 47, not para 48 as the review assumed.</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This row was absent from the draft register and is the most consequential omission. The Division 296 calculation, attribution, reporting and release-authority payment will not be built independently by every licensee: they will be delivered largely by a small number of shared administrators, with custodians supplying the underlying income and realised-gain data, and external tax agents preparing the fund income tax return from which the fund earnings figure derives. Every one of those service types is a mandatory material service provider under para 50. Three consequences follow. First, a methodology defect or a build delay at one provider is a common-mode event affecting every client fund simultaneously, in the same annual window. Second, accountability is non-delegable: where an administrator computes the attribution, the licensee still owns the judgement, so a shared build means multiple boards adopting one vendor's method. Third, shared methodology cuts both ways - it produces consistency between funds sharing a provider and a step-change between blocs of funds using different ones. APRA does not need new data to map this: it already receives the material service provider register annually under para 51.</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530 Investment Governance - stress testing and liquidity (paras 30-31, 36(d), 36(e), 38)</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Para 30: 'An RSE licensee must have a comprehensive investment stress testing program that is approved by the Board and is integrated into an RSE licensee's investment governance framework.' Para 31 requires determination of appropriate adverse stress scenarios for the investment strategy of each option. Para 36 requires a Board-approved liquidity management plan for each RSE which, at 36(d), 'identifies the circumstances the RSE licensee considers to be a significantly adverse liquidity outcome that requires action (liquidity event)' and, at 36(e), 'outlines what action the RSE licensee will take when a liquidity event occurs'. Para 38 requires liquidity stress testing 'as part of the comprehensive investment stress testing program required in paragraph 31'. CORRECTION: the draft cited para 29 for the stress testing programme; para 29 concerns Board justification when amending an investment strategy. The standard's own cross-reference in para 38 points to para 31.</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transitional first-year measurement date of 30 June 2027 and, from the following year, recurring release-authority outflows are both capable of being a liquidity event within para 36(d). The hook is well matched and no amendment is needed. The supervisory question is narrower and cheaper than an instrument change: whether any licensee has in fact run the scenario. Aggregate outflow is very unlikely to be a system liquidity event; residual exposure is confined to specific illiquid investment options and to licensees with concentrated high-balance membership.</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SPG 530 Investment Governance - liquidity and policy-driven triggers (paras 79(a), 79(e), 92)</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verbatim. Para 79 lists liquidity stress factors a prudent RSE licensee would consider, including at 79(a) 'member generated events: changes in switching behaviour, redemptions and contributions' and at 79(e) 'policy driven events: a change in Government policy, for example, related to access to accrued member assets'. Para 92: APRA expects consideration of 'secondary risks associated with liquidity risk, including the impact of selling assets at stale prices, the impact on portfolio risk of an increasing proportion of illiquid assets and the cost of restoring the portfolio to the desired position.'</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Division 296 is close to the scenario the guidance already names. APRA can ask for the para 79(e) scenario today without any new instrument. The December 2024 thematic found wide reliance on a single illiquid-exposure trigger and limited monitoring of member outflow trends, which suggests the guidance exists but may not be being applied to this measure.</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SPG 530 Investment Governance - member equity and valuation triggers (paras 9, 109, 110, 114)</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verbatim. Para 9: 'APRA expects an RSE licensee's investment governance framework would appropriately consider member equity risk with a view to all beneficiaries being dealt with fairly', including 'ensuring beneficiaries transact at fair prices across all investment options'. Para 109: APRA expects valuations at least quarterly. Para 110: 'An RSE licensee would consider triggers that would warrant more frequent valuations including market volatility and the external operating environment, including changes in Government policy settings.' Para 114: the valuation policy 'would also set out protocols for when and how the interim valuations are reviewed for appropriateness and to determine whether any adjustments or reversals need to be made for unit pricing purposes.'</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Attribution of fund earnings to individual members is a trustee-discretionary allocation that feeds a member's personal tax assessment. That is a member-equity matter under para 9 as much as a tax-compliance choice, and no current guidance says so. Division 296 also appears to be a 'changes in Government policy settings' trigger for the purposes of para 110, which APRA could confirm at low cost. This is the clearest candidate for a guidance update rather than a standard amendment.</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72CE"/>
                <w:sz w:val="14"/>
                <w:szCs w:val="14"/>
              </w:rPr>
              <w:t xml:space="preserve">update guidance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530 Investment Governance - valuation governance framework (paras 39, 40, 41)</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Para 39 requires an adequate valuation governance framework. Para 40 requires a Board-approved valuation policy covering, among other things, roles and responsibilities (40(a)), methodology by asset class (40(c)), circumstances for independent external valuations (40(d)), frequency having regard to 'member equity considerations' (40(e)), the circumstances in which interim valuations are made (40(f)) and 'the triggers that would require an interim valuation of investments outside of the frequency determined under paragraph 40(e)' (40(g)). Para 41 requires periodic Board review of valuation metrics.</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Although tax on unrealised gains was removed from the final design, a member's balance at 30 June still determines both whether they are above the threshold and the proportion of earnings that is taxed. For members in unitised options that balance derives from the unit price, which derives from unlisted asset valuations. Valuation therefore remains relevant to an individual's tax outcome. APRA's December 2024 findings on conflicted valuation committee membership and assets not revalued for multiple quarters now carry a personal tax consequence for a small identifiable cohort, not only a unit-pricing consequence. Note the more likely complaint direction is upward revaluation lifting members over the threshold, which happens innocently, rather than downward suppression, which would require alleging misconduct and would harm every other member's exit price.</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515 Strategic Planning and Member Outcomes (paragraph numbers not independently verified)</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 rolling business plan with financial projections across scenarios, prudent and transparent fee-setting, demonstrable purpose and funding source for expenditure, an annual business performance review assessing outcomes for member cohorts, and preparation for transfers in and out. Paragraph numbers cited in the draft register were not verified against the registered instrument in this pass and are omitted deliberately - two of the paragraph numbers that were checked elsewhere in the draft proved to be off by one.</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Three distinct stresses. The business plan scenario set can accommodate Division 296 outflow without amendment. Build and run costs benefit well under one per cent of members but may be recovered from all of them through flat fees, which is a governed expenditure and fee-setting decision the board should be able to evidence. And a successor fund transfer spanning the 30 June 2027 measurement date has no settled protocol for transferring member-level Division 296 data, which places APRA's support for consolidation in tension with member-level tax accuracy. All are supervisable under the standard as drafted.</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SPG 516 Business Performance Review</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An RSE licensee has discretion to establish cohorts for the annual business performance review; APRA expects at least product-level cohorts. The guidance contemplates that 'separate cohorts may also be established using membership characteristics that cut across superannuation products, for example cohorts based on balance size'.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High-balance members are already an assessable cohort under the existing guidance, but nothing names them. Naming them as an expected cohort would require trustees to assess whether outcomes for that cohort remain appropriate, and would surface any indifference to their departure - which is the mechanism by which scale, and therefore cost per remaining member, is eroded. This is one of the two strongest instrument-level options in the pack and is a low-cost guidance change rather than a standard amendment.</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72CE"/>
                <w:sz w:val="14"/>
                <w:szCs w:val="14"/>
              </w:rPr>
              <w:t xml:space="preserve">update guidance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220 Risk Management (paragraph numbers not independently verified)</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Board is ultimately responsible for the risk management framework; the framework must cover all material risks; a Board-approved risk appetite statement must set tolerances for each material risk category; and an annual risk management declaration is signed by two directors.</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Division 296 implementation is simultaneously a regulatory, compliance, technology, data and change management risk within the meaning of CPS 230 para 24 (corrected from the draft's para 23), so it should be reflected in the risk appetite statement and stand behind the annual declaration. This is a signed, dated, director-level artefact APRA already receives, so it is an efficient place to test whether the risk has been genuinely assessed. Any supervisory expectation should be proportionate to the licensee's in-scope member population: a licensee with a handful of affected members that has not separately addressed Division 296 may have made a reasonable judgement rather than a governance failure.</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114 Operational Risk Financial Requirement (paragraph numbers not independently verified)</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financial resources to protect beneficiaries against losses arising from operational risk, a Board-approved strategy, a target amount and tolerance limit reflecting the operational risk profile, and a replenishment plan if resources fall below tolerance.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 mis-calculated or mis-attributed figure, or a release-authority payment made late or in the wrong amount, can produce a loss to a beneficiary and a penalty exposure - the kind of loss the requirement exists to absorb. Two questions sit underneath the sizing question and were not addressed in the draft: whether the reserve can lawfully be applied to compensate an individual's personal tax detriment, and whether a trustee can indemnify itself from fund assets for such an error, given the reserve is itself members' money. Those are legal questions that should be settled before the reserve is assumed to be the answer.</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310 Audit and Related Matters (paragraph and attachment references not independently verified)</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RSE auditor provides reasonable assurance over data reported under APRA reporting standards and over specified legislative compliance, and limited assurance over systems, controls and the effectiveness of the risk management framework.</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Division 296 fund earnings and member attribution are reported to the Commissioner of Taxation, not under an APRA reporting standard, and arise under the Income Tax Assessment Act 1997 and the Taxation Administration Act 1953 rather than the SIS Act. On the face of it they therefore fall outside both assurance limbs, meaning the largest new calculation many RSE licensees will perform carries no RSE auditor assurance. Amending SPS 310 would close this, but the proportionate first step is to ask what voluntary assurance licensees have obtained. An assurance gap on a high-consequence, member-specific calculation is a familiar precursor to a large remediation.</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SIS Act s29JA breach notification (interaction with Division 296 obligations)</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An RSE licensee must notify APRA in writing where it has breached or will breach a condition of its licence and the breach is significant, with significance assessed by reference to inadequacies in the licensee's arrangements to ensure compliance with the RSE licensee law.</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same reasoning that takes the Division 296 calculation outside RSE auditor assurance also takes it outside the ordinary breach-notification trigger: Division 296 duties arise under tax law, which is not RSE licensee law, so a late or materially wrong report to the Commissioner is unlikely of itself to be notifiable to APRA. It would become notifiable only derivatively, where it evidences inadequate compliance arrangements or causes member loss. The practical consequence is that APRA may learn of a systemic failure - including one originating at a shared administrator - late, or from the ATO rather than from the licensee. APRA has a recent precedent for closing exactly this kind of gap by stating an expectation in a letter: in its Payday Super Readiness letter of 25 March 2026 it told licensees that significant breaches of the new requirements would necessitate a breach notification under s29JA.</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Taxation Administration Act 1953 Sch 1 ss 134-140 and 134-145 (new duties on superannuation providers)</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Where the Commissioner keeps a Division 296 debt account for a member and the end benefit becomes payable, the provider must notify the Commissioner of the expected payment date within 14 days in the approved form (s 134-140). A material change in, or omission from, that notice must be corrected within 7 days (s 134-145). Section 134-140 carries an express note that a person dissatisfied may complain under the AFCA scheme.</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This is the clearest new positive duty the enacting legislation places on a fund, and it is a duty on a 'superannuation provider' - the term 'RSE licensee' does not appear in the enacting Act. The obligation is short-clock, event-driven and sits at the point where a benefit is being paid, so it lands in the same administration systems as the calculation and the release authority. The express AFCA note is significant for APRA's member-outcomes interest because it cuts against industry's request that Division 296 trustee judgements sit outside the external dispute resolution scheme. No APRA instrument change is available or needed; the relevance is to supervisory expectations about operational readiness and complaints capability.</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SRS 611.0 Member Accounts (SRF 611.0 Instructions, Table 1 Column 3 and Table 2 Column 4)</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against the instrument. Members Benefit Bracket Type valid values run from '&lt;$1,000' through '$100,000 to $199,999', '$200,000 to $499,999', '$500,000 to $999,999' and terminate at '$1,000,000+'. Data is reported per member account and separately for each RSE.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top bracket is one third of the lower Division 296 threshold and one tenth of the upper. APRA therefore cannot count members above $3 million or $10 million from its own collections, cannot see where they are concentrated, and cannot size the assets sitting behind them. A deeper limitation sits behind that: the threshold is measured on a person's total across every fund, including self-managed funds, whereas SRF 611.0 is keyed to the member account within a single RSE, so a member with $1.8 million in each of two funds appears twice below $2 million and never as a $3.6 million total. Additional brackets would materially improve visibility of large accounts in APRA-regulated funds but cannot by construction produce the whole-of-person threshold view, which only the ATO holds. Any external commitment should be framed as monitoring large-account behaviour in APRA-regulated funds rather than monitoring the affected population.</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0C58"/>
                <w:sz w:val="14"/>
                <w:szCs w:val="14"/>
              </w:rPr>
              <w:t xml:space="preserve">amend standard</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SRS 551.0 Liquidity (SRF 551.1 member cash flow items)</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Quarterly reporting of liquidity supply, demand and event indicators. Member cash flows are reported on a net basis, without decomposition by driver.</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 release-authority payment, a Division 296-motivated rollover to a self-managed fund and an ordinary retirement lump sum are indistinguishable in the collection. APRA's newest liquidity collection therefore cannot isolate Division 296 outflow. Amending a collection that has only recently commenced would be disproportionate; a targeted, time-limited request to the most exposed licensees is the better route, and APRA can require data from named entities by written notice without making a new reporting standard - which also answers the timing objection that a standard cannot deliver before the first assessments issue.</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SRS 553.0 Investment Exposure Concentrations and Valuations (SRF 553.1, SRF 553.3)</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Quarterly reporting of out-of-cycle valuations for material unlisted investments and where there is material impact on investment options, plus an RSE valuation profile.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None adverse - this is an asset rather than a gap, and it belongs alongside the SRS 611.0 shortfall so the picture is balanced. The collection commenced shortly before Division 296 began, giving APRA a clean pre-commencement baseline of out-of-cycle valuation frequency in precisely the asset class where any change in revaluation behaviour around 30 June 2027 would first appear. The opportunity is to use it deliberately as a comparison point rather than to collect anything further.</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160 Defined Benefit Matters (paragraph numbers not independently verified)</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 Board-approved shortfall limit, periodic actuarial investigations, interim reporting to APRA where a fund moves into an unsatisfactory financial position, and a restoration plan within a set period.</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Division 296 tax on a defined benefit interest is deferred to a debt account until the end benefit is paid, so there is no near-term call on fund solvency and the shortfall and restoration machinery are unaffected. No amendment is warranted. The stress is operational rather than prudential: an annual actuarial valuation of every member's entitlement using a method previously performed occasionally and largely by hand for family law purposes; a shorter response window than other funds; and a deferred liability that must be tracked for decades and survive mergers and administrator changes. For very small defined benefit plans the recurring actuarial cost may not be economic, which is a plausible trigger for wind-up and transfer and therefore a member-outcomes and supervisory-workload question. Note that the actuarial capability question should be analysed under CPS 230's service provider limb, not under SPS 231, which CPS 230 replaced from 1 July 2025.</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234 Information Security</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an information security capability commensurate with threats, assessment and control of information assets managed by third parties, systematic control testing, internal audit review, and notification to APRA within 72 hours of a material incident.</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Division 296 dataset identifies, by name and by member, individuals with the largest superannuation balances in the country. It is assembled and transmitted largely by outsourced administrators and moves by bulk data exchange to the ATO. It is a high-value, third-party-managed information asset that did not exist before 1 July 2026 and may not yet appear in licensees' information asset registers or be classified at an appropriate sensitivity. The standard is adequate as drafted; the asset is new. Related and worth noting: the measure creates a foreseeable scam and misinformation vector aimed at the same cohort around the publicly known 30 June 2027 date, which is joint APRA, ASIC and ATO territory.</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190 Recovery and Exit Planning</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 recovery and exit plan appropriate to the entity's size, business mix and complexity, a trigger framework with early warning indicators, and credible recovery actions.</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Sustained loss of the highest-balance cohort reduces funds under management and average account balance, pressuring the cost base. The mechanism is sharper than generic scale erosion: where a fund charges a percentage-based administration fee with a dollar cap, members above the cap pay the maximum fee while consuming ordinary servicing cost, so they are net contributors to fixed costs and their departure removes revenue disproportionately to headcount. Most discussion assumes large funds, but the tail risk sits with small licensees whose membership skews high-balance, where losing a few hundred large accounts is a scale event. This is supervisable through the existing trigger framework without amendment.</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250 Insurance in Superannuation</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an insurance management framework and strategy, premium cost recovery arrangements, and demonstration to APRA that rules for attributing status to a beneficiary are fair and reasonable.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Tested and cleared. Premium erosion is immaterial for members above the thresholds. Two second-order effects exist - a member who withdraws to reduce a balance may fall toward levels where cover lapses, and death benefit insurance proceeds can temporarily inflate a balance - but neither warrants supervisory reprioritisation. Recorded so that the framework review can be shown to be complete: naming what is not affected is as useful to the meeting as naming what is.</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low</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SIS Act s52(2) covenants - best financial interests and fair and equitable treatment</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Trustees must perform their duties and exercise their powers in the best financial interests of beneficiaries, and must deal with members fairly as between members and classes of member.</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covenants are a real but blunt constraint on the attribution judgement. Different defensible methods redistribute between members rather than making everyone better off, so 'best financial interests' and fair treatment do not by themselves select a single method. If APRA wants consistency it must give guidance or accept divergence. One caution on framing: a trustee cannot breach the equitable treatment covenant merely by applying a differential basis that Parliament has prescribed - for example the different treatment of defined benefit and accumulation interests. That is a communications challenge for trustees, not a trustee equity failing. The covenant bites where the trustee actually has discretion, which is the attribution method itself.</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SIS Act s52(6) investment strategy covenant</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the trustee to formulate, review regularly and give effect to an investment strategy having regard to the whole of the circumstances of the entity, including the liquidity of investments having regard to expected cash flow requirements.</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Once assessments and release authorities begin, those payments become an expected cash flow requirement, so a strategy review that omits them would be incomplete. The covenant and the SPS 530 liquidity management plan point the same way, so APRA is not stretching either. Timing is favourable: first outflows follow the first assessments, giving two full investment strategy review cycles to prepare.</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SIS Act s52(8A) and s52AA retirement income covenant; SPS 515 retirement income strategy requirement</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the trustee to formulate, review regularly and give effect to a retirement income strategy, and to take reasonable steps to gather the information necessary to inform its formulation and review.</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Drawing down reduces a member's balance and therefore future liability, creating a tax-driven incentive to draw faster or to hold assets outside superannuation - for exactly the cohort the covenant targets, most of whom are in or near retirement phase. It also exposes a genuine impossibility: the trustee must gather the information needed to inform the strategy, but the decisive variable is the member's balance across all funds, which only the ATO holds and which taxpayer confidentiality restricts it from sharing. Making Division 296 a named question in retirement income strategy reviews is a proportionate guidance response; the information asymmetry needs a legislative remedy rather than a prudential one.</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72CE"/>
                <w:sz w:val="14"/>
                <w:szCs w:val="14"/>
              </w:rPr>
              <w:t xml:space="preserve">update guidance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Joint APRA-ASIC unit pricing good practice guidance; ASIC RG 94 (unit pricing)</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Good practice expectations for unit pricing, including the treatment of tax provisions at investment option level, and for error correction and remediation.</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Industry has itself nominated unit pricing and crediting rate governance as the right analogue for a 'fair and reasonable' attribution, and it is the one domain where APRA and ASIC have joint experience of pricing errors and remediation. Two limitations should be stated. First, this is jointly ASIC's territory, so any update is a joint product rather than an APRA one. Second, the analogy does not reach the whole sector: a material part of the APRA-regulated population, concentrated in the public sector and corporate schemes that are among the most exposed, uses periodic and often smoothed crediting rates rather than unit pricing, with the smoothing funded through reserves. Attributing realised earnings in a smoothed crediting-rate fund is a materially harder problem and the unit pricing analogy does not answer it.</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72CE"/>
                <w:sz w:val="14"/>
                <w:szCs w:val="14"/>
              </w:rPr>
              <w:t xml:space="preserve">update guidance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521 Conflicts of Interest</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 conflicts management framework covering the identification, avoidance and management of conflicts of interests and conflicts of duty.</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Three conflicts are worth examining, none of which was assessed at paragraph level in this work, so the verdict is provisional. Tax management decisions - when to realise gains, how to sequence disposals - now affect identified individuals' personal tax, creating a weak incentive to favour a small cohort. Where an RSE licensee sits in a group that also owns self-managed fund administration, platform or advice businesses, the group has a commercial interest in the very migration that erodes the licensee's scale. And any trustee communication to high-balance members about the 30 June 2027 date is a prompt with a foreseeable one-way outcome, given that acting on it reduces the trustee's own funds under management. That last point is joint APRA-ASIC territory and is the most likely place a conduct issue actually materialises.</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low</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510 Governance and SPS 520 Fit and Proper (not examined at paragraph level)</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Govern Board composition, skills, committee structures and the fitness and propriety of responsible persons. Neither standard was examined at paragraph level in this work and no paragraph numbers are asserted.</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Included because the central recommendation elsewhere in this note - that the attribution methodology be Board-approved - depends on these standards and the draft register never checked them. Three answerable questions follow: whether the Board skills matrix contemplates the capability needed to approve a methodology that drives individual members' tax outcomes; which Board committee owns it, given that on this characterisation the audit committee may assume the investment committee has it and vice versa; and what Board approval means in substance where the methodology originates with a shared administrator and is adopted rather than formed. Low confidence and flagged as a completeness item rather than a finding.</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low</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900 Resolution Planning</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Applies to RSE licensees; resolution planning is triggered by the prospect of entity failure.</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Examined and cleared. No defensible link was established: resolution planning is triggered by failure, and Division 296 does not create a failure pathway distinct from the gradual scale erosion already captured under CPS 190. Recorded so that the framework review can be represented as complete rather than selective.</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low</w:t>
            </w:r>
          </w:p>
        </w:tc>
      </w:tr>
    </w:tbl>
    <w:p>
      <w:pPr>
        <w:pBdr>
          <w:bottom w:val="single" w:color="0072CE" w:sz="6" w:space="4"/>
        </w:pBdr>
        <w:spacing w:after="100" w:before="240"/>
      </w:pPr>
      <w:r>
        <w:rPr>
          <w:rFonts w:ascii="Arial" w:cs="Arial" w:eastAsia="Arial" w:hAnsi="Arial"/>
          <w:b/>
          <w:bCs/>
          <w:color w:val="012169"/>
          <w:sz w:val="22"/>
          <w:szCs w:val="22"/>
        </w:rPr>
        <w:t xml:space="preserve">Annex B2 — The figures, verified</w:t>
      </w:r>
    </w:p>
    <w:p>
      <w:pPr>
        <w:spacing w:after="120" w:before="0" w:line="264"/>
      </w:pPr>
      <w:r>
        <w:rPr>
          <w:rFonts w:ascii="Arial" w:cs="Arial" w:eastAsia="Arial" w:hAnsi="Arial"/>
          <w:color w:val="52514E"/>
          <w:sz w:val="17"/>
          <w:szCs w:val="17"/>
        </w:rPr>
        <w:t xml:space="preserve">Every figure re-checked against a named source with a date. Where a figure in the draft was wrong, the correction is stated rather than quietly applied.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4600"/>
        <w:gridCol w:w="1906"/>
      </w:tblGrid>
      <w:tr>
        <w:trPr>
          <w:tblHeader/>
        </w:trPr>
        <w:tc>
          <w:tcPr>
            <w:tcW w:type="dxa" w:w="34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Figure</w:t>
            </w:r>
          </w:p>
        </w:tc>
        <w:tc>
          <w:tcPr>
            <w:tcW w:type="dxa" w:w="46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it means, and any correction</w:t>
            </w:r>
          </w:p>
        </w:tc>
        <w:tc>
          <w:tcPr>
            <w:tcW w:type="dxa" w:w="19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Source / as at</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$3 million and $10 million thresholds; additional 15% above the first and a further 10% above the second; both indexed to CPI; applies from 1 July 2026</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enacted design. An affected person pays extra tax only on the share of earnings attributable to the balance above the threshold, so someone just over $3 million pays very little and the amount rises steeply with balance. Both thresholds move with inflation, so the 2023 criticism about unindexed thresholds no longer applies.</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ATO, 'Better targeted superannuation concessions', new legislation guidance (thresholds described as LSBT $3m and VLSBT $10m for 2026-27, 'indexed in line with CPI') · Retrieved 26 July 2026</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Highest APRA member balance bracket: '$1,000,000+'</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top reporting bracket is one third of the lower Division 296 threshold and one tenth of the upper. APRA cannot count, locate or size the affected population from its own collections. Because the collection is keyed to the member account within a single fund, while the tax threshold is measured across all of a person's superannuation, more brackets would improve visibility of large accounts but still could not produce the threshold view - only the ATO holds that.</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Reporting Standard SRS 611.0 Member Accounts, SRF 611.0 Instructions, Members Benefit Bracket Type valid values (Table 1 Column 3; Table 2 Column 4) - verified against the instrument text · Instrument text retrieved 26 July 2026</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23 RSE licensees reviewed, holding $2,018 billion at 30 June 2024 (around 80% of APRA-regulated superannuation assets) and 18.7 million member accounts; 12 of the 23 require material improvement</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CORRECTED from the draft, which attached the $2,018bn and 18.7m figures to the 12 licensees rather than to the full review population - roughly doubling the apparent scale of the adverse finding. The accurate statement is that the scope figures describe all 23; 12 of them require material improvement in valuation governance, liquidity risk management or both (8 on each limb).</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'Governance of unlisted asset valuation and liquidity risk management in superannuation', 17 December 2024 · 30 June 2024 (asset figure); review published 17 December 2024</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The liquidity subgroup requiring material improvement represents 27% of funds under management and 5.4 million member accounts</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correctly sized adverse finding, as distinct from the review's total scope. This is the figure to use when describing how much of the system sits with licensees APRA has already judged to need material improvement on liquidity risk management.</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'Governance of unlisted asset valuation and liquidity risk management in superannuation', 17 December 2024 · 17 December 2024</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11 of 23 licensees had a dedicated valuation committee; committee members 'included individuals whose remuneration may be dependent on the outcome of the valuation process'; 'Some assets may not be revalued for multiple quarters at a time'</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has already published adverse findings on the precise control that now also influences a member's personal tax position, because the 30 June balance determines both whether a member is over the threshold and the proportion of earnings taxed. The more likely complaint direction is upward revaluation lifting members over the threshold, which happens innocently, rather than downward suppression, which would require alleging misconduct.</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'Governance of unlisted asset valuation and liquidity risk management in superannuation', 17 December 2024 (quotes verified verbatim) · 17 December 2024</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Stress test: $174 billion cumulative liquidity demand (just under 16% of net assets), peak monthly calls around $30 billion (less than 7% of available liquid assets); funds sold $81 billion of equities and $11 billion of fixed income and 'largely avoided selling unlisted assets to meet liquidity needs'</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RESTATED - the draft's claim that funds met the shock 'without selling a single unlisted asset' is not what the report says and should not be repeated. The accurate version still makes the point: under a severe shock, funds met very large calls primarily by selling listed assets and largely avoided unlisted sales. This is the right calibration against which to judge Division 296 outflow, which is far smaller.</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System Risk Stress Test, 30 June 2026 (quotes verified verbatim) · 30 June 2026</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Allocations to illiquid assets in MySuper options increased substantially under the stress test, with the unlisted share rising from roughly 29% to 37%</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Because funds met the shock by selling listed assets, the unlisted share of the remaining portfolio rose sharply. This is the composition effect to watch rather than a cash shortfall, and it is the reason liquidity should not be dismissed entirely even though aggregate Division 296 outflow is small.</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System Risk Stress Test, 30 June 2026 · 30 June 2026</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ATO information requests: defined benefit and certain other interests from November 2027 with 10 business days to respond; other APRA-regulated funds from April with 28 calendar days; early assessments from March 2028</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TIMING DISCREPANCY DISCLOSED. The indicative date for non-defined-benefit APRA funds moved between meetings: the 18 February 2026 record refers to 'APRA RFIs February 2028' (timed to follow income tax returns due end of January 2028), while the 20 May 2026 record refers to requests commencing in April. These are ATO indicative planning dates, not settled deadlines; the ATO has said requests may issue outside these timeframes and that it will consider extensions in the first year. The 10 business day window for defined benefit funds is consistent across both records.</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ATO Superannuation Administration Group key messages, 18 February 2026 and 20 May 2026 (cited separately because they differ) · 20 May 2026</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Income Tax Assessment (1997 Act) Amendment (Building a Stronger and Fairer Super System and Other Measures) Regulations 2026 (F2026L00726) registered 18 June 2026</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regulations were registered thirteen days before the first measurement year began on 1 July 2026. Every dividend, rent payment and asset sale since that date is already inside the tax base, while the ATO's detailed guidance on how to perform the calculation and attribution is still being developed through its co-design process.</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Federal Register of Legislation, F2026L00726 (title and registration date verified) · Registered 18 June 2026</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Payday Super also first applies from 1 July 2026 (the start of the 2026-27 income year), requiring contributions to be allocated or returned within three business days; APRA wrote to all RSE licensees on 25 March 2026 warning that a material number were not on track to deliver SuperStream 3.0</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Two major changes landed on the same administration systems on the same day, competing for the same finite administrator change capacity - and Payday Super carried the earlier, more visible deadline. This is the change-saturation risk. It also supplies a precedent: the Payday Super letter did exactly what is proposed here for Division 296, including stating that contribution processing should be treated as a CPS 230 critical operation and that significant breaches 'would necessitate a breach notification to APRA' under s29JA of the SIS Act.</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'Payday Super Readiness' letter to all RSE licensees, 25 March 2026 · 25 March 2026</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CPS 230 para 50 requires RSE licensees to classify providers of 'fund administration, custodial services, investment management and arrangements with promoters and financial planners' as material service providers; para 51 requires the register to be submitted to APRA annually</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already receives, annually, the dataset that maps which licensees depend on which administrators and custodians. Because the Division 296 calculation, attribution, reporting and payment will be delivered largely by a small number of shared providers, this existing collection can be used to identify how many licensees share a single build - and therefore where a defect would be a common-mode failure across many funds at once. No new collection is required. APRA published a register template on 17 October 2024, with superannuation trustees required to submit by 1 October 2025.</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Prudential Standard CPS 230 (July 2025 version), paras 50 and 51, verified verbatim; APRA, 'APRA releases material service provider register template', 17 October 2024 · CPS 230 in force from 1 July 2025; register submission due 1 October 2025</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The Council of Financial Regulators has four members: APRA, ASIC, the RBA and Treasury</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ATO is not a member. Since the coordination that matters most for Division 296 is between APRA and the ATO, the CFR is not the natural forum for it, and bilateral engagement with the ATO and Treasury is the appropriate route. Included to prevent an avoidable correction in the meeting.</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Council of Financial Regulators, member agencies page · Retrieved 26 July 2026</w:t>
            </w:r>
          </w:p>
        </w:tc>
      </w:tr>
    </w:tbl>
    <w:p>
      <w:r>
        <w:br w:type="page"/>
      </w:r>
    </w:p>
    <w:p>
      <w:pPr>
        <w:pBdr>
          <w:bottom w:val="single" w:color="0072CE" w:sz="6" w:space="4"/>
        </w:pBdr>
        <w:spacing w:after="100" w:before="0"/>
      </w:pPr>
      <w:r>
        <w:rPr>
          <w:rFonts w:ascii="Arial" w:cs="Arial" w:eastAsia="Arial" w:hAnsi="Arial"/>
          <w:b/>
          <w:bCs/>
          <w:color w:val="012169"/>
          <w:sz w:val="22"/>
          <w:szCs w:val="22"/>
        </w:rPr>
        <w:t xml:space="preserve">Annex C — Provenance and fact-check audit trail</w:t>
      </w:r>
    </w:p>
    <w:p>
      <w:pPr>
        <w:spacing w:after="120" w:before="0" w:line="264"/>
      </w:pPr>
      <w:r>
        <w:rPr>
          <w:rFonts w:ascii="Arial" w:cs="Arial" w:eastAsia="Arial" w:hAnsi="Arial"/>
          <w:color w:val="52514E"/>
          <w:sz w:val="17"/>
          <w:szCs w:val="17"/>
        </w:rPr>
        <w:t xml:space="preserve">Every material assertion in the note, classified and checked. 'Created' entries are original analysis written for this note and are marked so they are never mistaken for sourced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800"/>
        <w:gridCol w:w="4306"/>
        <w:gridCol w:w="900"/>
      </w:tblGrid>
      <w:tr>
        <w:trPr>
          <w:tblHeader/>
        </w:trPr>
        <w:tc>
          <w:tcPr>
            <w:tcW w:type="dxa" w:w="39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Assertion</w:t>
            </w:r>
          </w:p>
        </w:tc>
        <w:tc>
          <w:tcPr>
            <w:tcW w:type="dxa" w:w="8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Type</w:t>
            </w:r>
          </w:p>
        </w:tc>
        <w:tc>
          <w:tcPr>
            <w:tcW w:type="dxa" w:w="43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Basis — citation, or reasoning chain</w:t>
            </w:r>
          </w:p>
        </w:tc>
        <w:tc>
          <w:tcPr>
            <w:tcW w:type="dxa" w:w="9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Check</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Division 296 of the ITAA 1997 is enacted law: Treasury Laws Amendment (Building a Stronger and Fairer Super System) Act 2026 and Superannuation (Building a Stronger and Fairer Super System) Imposition Act 2026, Royal Assent 13 March 2026, first applies from 1 July 2026 (the start of the 2026-27 income year), first measurement date 30 June 2027.</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Enacting Acts as registered (C2026A00008 and the companion Imposition Act); Parliamentary Library Bills Digest No. 48, 2025-26. Established and independently confirmed in the workflow's settled-facts list. The Imposition Act is what fixes the rates and must be named alongside the amending Act.</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design is an additional 15% on earnings attributable to a Total Superannuation Balance above $3m (30% headline) and an additional 25% above $10m (40% headline); both thresholds are indexed; the base is realised earnings; unrealised gains were removed from the 2023 design; the tax is assessed on the individual, not the fund, with a release authority to draw it from superannuation.</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Treasury fact sheet 'Better Targeted Superannuation Concessions', 13 October 2025 (https://treasury.gov.au/publication/p2025-709385-btsc); Bills Digest No. 48. Settled in the workflow's verified-facts list.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Subdivision 296-A of the ITAA 1997 contains only s 296-5, an objects clause, and imposes no obligation on any person.</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Compiled ITAA 1997, Compilation No. 266, compilation date 1 July 2026. Independently verified prior to this pass. Consequence for the note: no obligation on trustees can be sourced to Subdivision 296-A, and any earlier draft language implying otherwise has been removed.</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term 'RSE licensee' does not appear anywhere in the enacting Act; the Act uses 'superannuation provider'.</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Full-text check of the enacting Act, independently verified prior to this pass. The note therefore describes duties as falling on 'superannuation providers', and states expressly that APRA's supervised population is a subset of that term rather than its referent.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clearest new duty the regime places on a fund is s 134-140 of Schedule 1 to the Taxation Administration Act 1953: where the Commissioner keeps a Division 296 debt account for a member and the end benefit becomes payable, the provider must notify the Commissioner of the expected payment date within 14 days, in the approved form.</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 134-140 Sch 1 TAA 1953 as enacted; independently verified prior to this pass. This replaces the draft register's unsupported framing that no instrument imposes a fund-side duty.</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 134-145 of Schedule 1 to the TAA 1953 requires a material change or omission in that notification to be corrected within 7 days.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 134-145 Sch 1 TAA 1953 as enacted; independently verified prior to this pass.</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 134-140 carries an express note that a person dissatisfied with the provider's conduct may complain under the AFCA scheme.</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Express note to s 134-140 Sch 1 TAA 1953; independently verified prior to this pass.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That express AFCA note cuts against the industry request that trustee Division 296 judgements be placed outside external dispute resolution.</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ASFA's 7 April 2026 submission asks that 'fair and reasonable' estimates be 'outside of the scope of matters subject to AFCA review'; (2) Parliament, in the same reform package, attached an express AFCA note to the principal new provider-facing duty; (3) an express statutory note contemplating AFCA complaints about provider conduct under this regime is evidence Parliament assumed AFCA jurisdiction rather than excluding it. The inference is about parliamentary assumption, not about AFCA's jurisdictional source, which lies in the Corporations Act and the AFCA Rules.</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For funds with more than six members the attribution of Division 296 fund earnings to individual members is on a 'fair and reasonable' basis with the method left to the trustee; funds with six or fewer members use a prescribed formula plus an annual actuarial certificate.</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Bills Digest No. 48, 2025-26; ASFA submission to Treasury, 7 April 2026; practitioner analyses of the draft regulations. The operative text in F2026L00726 could not be read directly (the Federal Register serves documents through a JavaScript front end), so this rests on secondary description of the instrument rather than the instrument itself.</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final regulations, Income Tax Assessment (1997 Act) Amendment Regulations 2026 (F2026L00726), were made 11 June 2026 and registered 18 June 2026 - thirteen days before the first measurement year began.</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Federal Register of Legislation, F2026L00726 'as made' metadata (https://www.legislation.gov.au/F2026L00726/asmade). Registration and making dates are readable from the register listing even where the instrument text is not.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elective 30 June 2026 cost-base reset is available to small funds - SMSFs and small APRA funds - not to SMSFs alone; large funds and pooled superannuation trusts receive only a declining prescribed-factor method over four years.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Income Tax (Transitional Provisions) Act 1997 Division 296 transitional provisions as described in Bills Digest No. 48 and in the Tax Institute submission; the small-fund boundary was raised by red-team review. Not read against the operative transitional text. Material because small APRA funds are inside APRA's perimeter, which weakens a pure 'migration out of the perimeter' framing.</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Post-death attribution of earnings survived into the made regulations; the earlier recommendation that licensees should not build to it has been removed as wrong.</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Practitioner commentary on release of the made regulations reporting no change to post-death earnings treatment and the introduction of a 'death benefit income stream' concept, raised in red-team review. Primary text not read. The corrected position - the rule is operative law and licensees must build to it - is stated in the note; the reconciliation of post-death attribution with the duty to cash death benefits as soon as practicable is put as a supervisory question, not as an instruction to disregard the instrument.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CPS 230 paragraph 24, not paragraph 23, requires an entity to manage its full range of operational risks including legal, regulatory, compliance, conduct, technology, data and change management risk; paragraph 23 is senior management's duty to inform the Board.</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Prudential Standard CPS 230 Operational Risk Management, in-force July 2025 version, read verbatim. Independently verified prior to this pass. The register's off-by-one appeared in five places and has been corrected throughout.</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CPS 230 paragraph 36(c) makes investment management and fund administration default critical operations for an RSE licensee unless the licensee can justify otherwise; paragraphs 35, 38 and 44 (tolerance levels and business continuity testing) apply accordingly.</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CPS 230 in-force July 2025 version, paragraphs read verbatim.</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CPS 230 also carries a service provider management limb, and APRA already holds a completed material service provider register from every superannuation trustee, submitted by 1 October 2025, collected for the stated purpose of identifying concentration risk across the sector.</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'APRA releases material service provider register template' (https://www.apra.gov.au/news-and-publications/apra-releases-material-service-provider-register-template) - confirmed this pass: registers due from ADIs, superannuation trustees and insurers by 1 October 2025, purpose includes identifying where multiple entities rely on a single provider. APRA also finalised targeted CPS 230 amendments on 30 April 2026.</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SPS 231 Outsourcing was revoked on 1 July 2025 and its subject matter absorbed into CPS 230; citing SPS 231 in 2026 is an error and the defined benefit actuarial outsourcing question runs under CPS 230's service provider requirements.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Prudential Handbook and CPS 230 response materials - confirmed this pass that CPS 230 came into effect 1 July 2025 replacing CPS/SPS 231 Outsourcing and 232 Business Continuity Management.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comprehensive investment stress testing programme is SPS 530 paragraph 31, not paragraph 29; SPS 530 paragraph 38 cross-refers to 'paragraph 31'.</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SPS 530 Investment Governance, read via the integrated SPS/SPG 530 text; para 38 self-referentially confirms para 31. Independently verified prior to this pass. Paragraph 29 concerns Board justification for amending an investment strategy.</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SPS 530 paragraphs 36(d) and 36(e) require the liquidity management plan to identify a liquidity event and the action to be taken; paragraphs 39-41 establish the valuation governance framework, including triggers for interim valuations.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SPS 530 Investment Governance, paragraphs read verbatim from the integrated text.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SPG 530 paragraph 9 states APRA's expectation that member equity risk be considered with a view to all beneficiaries being dealt with fairly; paragraph 79(e) names 'policy driven events: a change in Government policy, for example, related to access to accrued member assets'; paragraph 110 names 'changes in Government policy settings' as a trigger for more frequent valuations.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Prudential Practice Guide SPG 530 Investment Governance, integrated version (https://www.apra.gov.au/system/files/2023-07/Prudential%20Practice%20Guide%20SPG%20530%20Investment%20Governance%20Integrated%20version%20-%20clean.pdf).</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SPG 516 already permits cohorts based on balance size, so high-balance members can be named as an expected cohort in the annual business performance review without amending a prudential standard.</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SPG 516 Business Performance Review: 'Separate cohorts may also be established using membership characteristics that cut across superannuation products, for example cohorts based on balance size.'</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RSE auditor assurance under SPS 310 does not currently reach the Division 296 calculation and attribution.</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SPS 310 Attachment A directs reasonable assurance at data reported under APRA reporting standards and Attachment B at specified legislative compliance; (2) Division 296 fund earnings and member attribution are reported to the Commissioner under the ITAA 1997 and TAA 1953, not under any APRA reporting standard, and do not arise under the SIS Act; (3) therefore neither assurance limb reaches the calculation. Stated in the note as an assurance gap to be tested by asking what voluntary assurance licensees have obtained, not as a proposal to amend SPS 310.</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 late, incomplete or materially wrong Division 296 report to the Commissioner is not, of itself, a breach notifiable to APRA under SIS Act s 29JA; it becomes notifiable only derivatively, where it evidences inadequate compliance arrangements or produces member loss.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s 29JA keys significant-breach notification to breaches of licence conditions, assessed by reference to arrangements to comply with the RSE licensee law and Chapter 2M of the Corporations Act; (2) Division 296 obligations arise under the ITAA 1997 and TAA 1953, which are not RSE licensee law; (3) so the direct trigger is absent. The s 29JA text was not read verbatim in this pass, so the legal premise should be confirmed by APRA Legal before the note is relied on externally. The recommended fix - stating an expectation of notification in a letter - does not depend on resolving it.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 has an immediate, four-month-old precedent for the intervention recommended here: its 'Payday Super Readiness' letter to RSE licensees of March 2026, which told licensees to revisit implementation timelines, stated that APRA would expect contribution processing to be a CPS 230 critical operation, and stated that significant breaches of the new requirements would necessitate a breach notification to APRA.</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'Payday Super Readiness' (https://www.apra.gov.au/payday-super-readiness) - content confirmed this pass, including the three-business-day allocation requirement from 1 July 2026, the ATO's concern that a material number of licensees were not on track for SuperStream 3.0 Member Verification Request, and the CPS 230 and breach-notification statements.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Payday Super and Division 296 commence on the same day, 1 July 2026, and land on the same administration platforms, data pipelines and finite administrator change capacity; Payday Super carries the earlier and more visible deadline, so Division 296 is the change more likely to be deprioritised.</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both measures first apply from 1 July 2026 (APRA Payday Super Readiness letter; Division 296 commencement); (2) both are delivered through fund administration and registry systems, which CPS 230 para 36(c) treats as a critical operation; (3) Payday Super has a daily, visible, employer-facing deadline while Division 296 has no external test until the ATO's first information requests in 2027-28; (4) scarce change capacity is therefore allocated to the visible deadline. Behavioural claim, not measured.</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 engages bilaterally with Treasury and the ATO, and the remaining calculation and attribution work is progressing through an ATO co-design process; the opportunity is to contribute a prudential perspective to that work, not to remedy an exclusion.</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Established and confirmed in the workflow's settled-facts list. The published membership page for the ATO Superannuation Administration Group does not list APRA, but a published stakeholder-group membership list is not evidence of the full engagement channel, and the note no longer asserts that APRA has 'no voice' or is 'not in the room'.</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As at 26 July 2026 APRA has published no Division 296-specific letter, guide, FAQ or speech.</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Domain-restricted searches of apra.gov.au; the Chair's June 2026 Senate opening statement does not mention the measure. This is a search-based negative finding, not an exhaustive check of APRA's internal publication index, and should be confirmed internally before being stated externally.</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APRA's highest published member benefit bracket is '$1,000,000+', which is one third of the lower threshold; at 31 March 2026 that bracket held 305,000 accounts (1.28% of accounts) and $441.5bn of members' benefits (13.8%), with an average balance in the bracket of $1.45m.</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Reporting Standard SRS 611.0 Member Accounts, SRF 611.0 Instructions Table 1 Column 3; APRA Quarterly Superannuation Industry Publication, March 2026, Table 8.</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An average balance of $1.45m against a $1m floor implies a steeply decaying right tail, so the population above $3m in APRA-regulated funds is small - most likely in the hundreds per large licensee rather than the thousands.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$1m+ bracket averages $1.45m across 305,000 accounts; (2) an average only 45% above the floor is inconsistent with a heavy tail; (3) that is consistent with Treasury's estimate of roughly 31,800 affected individuals across all APRA-regulated funds and exempt public sector schemes; (4) spread across the large-licensee population this implies hundreds per fund. Presented in the note as APRA's own inference used to calibrate supervisory intensity, and as the reason a per-licensee in-scope headcount should be obtained.</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An affected member's liability is small near the lower threshold: on a 6% earnings assumption, roughly $1,800 at a $3.2m balance, roughly $9,000 at $4m and roughly $63,000 at $10m, because only the proportion of earnings referable to the balance above $3m is taxed.</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6"/>
                <w:szCs w:val="16"/>
              </w:rPr>
              <w:t xml:space="preserve">C</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Own arithmetic from the enacted proportioning mechanic (taxed proportion = (TSB - $3m)/TSB) and a stated 6% earnings assumption, generated for this meeting because no source publishes worked per-member amounts. Labelled in the note as APRA's own illustration with the assumption shown. It is the calibration figure against which the behavioural and materiality judgements in the note should be tested.</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Aggregate Division 296 outflow is not a system liquidity event: an indicative APRA-side liability of about $0.9bn a year is roughly 1.1% of annual lump sum payments, about 0.03% of assets, and about 3% of a single peak month in APRA's own system stress test.</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6"/>
                <w:szCs w:val="16"/>
              </w:rPr>
              <w:t xml:space="preserve">C</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Own derivation, clearly labelled: Treasury's superseded-design costing of $2.3bn in 2027-28 across ~80,000 individuals, scaled by the 31,800-of-80,000 APRA-side share, against APRA-regulated lump sums of $79.7bn and assets of $3,141.1bn for the year to March 2026. The earlier 'one fifteenth of a peak month' figure was wrong - it mixed a whole-of-system numerator with an APRA-side comparison - and has been corrected to a single consistent numerator. Rests on a superseded-design revenue estimate, so it bounds the order of magnitude only.</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APRA's inaugural System Risk Stress Test modelled $174bn of cumulative liquidity demand, just under 16% of net assets, with peak monthly calls of about $30bn, and funds largely avoided selling unlisted assets, meeting the shock primarily through listed holdings.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System Risk Stress Test, 30 June 2026 (https://www.apra.gov.au/news-and-publications/system-risk-stress-test). Wording corrected from the draft's categorical 'without selling a single unlisted asset', which the source does not support.</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APRA's December 2024 thematic reviewed 23 RSE licensees holding $2,018bn and 18.7m member accounts, and found 12 require material improvement in valuation governance, liquidity risk management or both; the eight-licensee liquidity subgroup represents 27% of funds under management and 5.4m member accounts.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'Governance of unlisted asset valuation and liquidity risk management in superannuation', 17 December 2024. Corrected: the $2,018bn and 18.7m figures are the scope of the review, not the size of the 12 licensees requiring improvement, as the draft register implied.</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December 2024 findings bear on general governance capacity in the platform and mid-sized cohort; they are not evidence of unreadiness for the Division 296 calculation, which sits in different systems and teams.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thematic assessed unlisted asset valuation governance and liquidity risk frameworks, which are investment operations functions; (2) Division 296 calculation and attribution sit in tax and member administration; (3) therefore the thematic is indicative of governance capacity, not probative of Division 296 readiness. The sound reason for prioritising platform and wrap trustees is that member-directed options make attribution genuinely divergent, since members' assets are individually identifiable.</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CSS Fund reports 23.58% of its accounts above $1m and is used as a named concentration in the exposed-cohort analysis.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Derived from APRA Quarterly Superannuation Fund Statistics, March 2026, Table 3. Contested: the same reporting entity's figures for PSS and MilitarySuper show fewer than 20 accounts above $1m against average balances near $585,000 and $546,000, which looks like a reporting artefact. The note carries CSS as 'subject to data verification' and the derived headline that CSS alone holds 7.9% of all $1m+ accounts has been withdrawn pending confirmation with Commonwealth Superannuation Corporation.</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Net rollovers from APRA-regulated funds to SMSFs were $12.2bn in the year to March 2026, up 53.8% on $7.9bn a year earlier.</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Quarterly Superannuation Performance Statistics to March 2026, Table 1a.</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That rollover growth cannot be attributed to Division 296.</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largest single quarter in the series is September 2025, which precedes the 13 October 2025 redesign announcement; (2) the strongest available establishment data attributes SMSF growth to demand for direct control and lower online setup costs, with new funds skewing to ages 35-44 - the opposite demographic; (3) therefore the trend predates the measure and causation is not established. The legislated cost-base asymmetry is a genuine incentive and is stated separately; the flow series is carried as a monitoring line, not as evidence of effect.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Treasury estimated 31,800 of approximately 80,000 affected individuals would sit in APRA-regulated funds and exempt public sector schemes.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Office of Impact Analysis, 'Impact Analysis: Better Targeted Superannuation Concessions', Treasury, January 2024. Contested on two grounds: it was struck on 2022-vintage data under the superseded change-in-balance design, and it combines APRA-regulated funds with exempt public sector schemes, which are not APRA-supervised - so it overstates APRA's own exposure by an unknown margin. Carried in the note with both caveats attached, as the only Commonwealth figure available.</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whole-of-person threshold cannot be produced from any APRA collection, because SRS 611.0 is reported per RSE and keyed on member account rather than person; only the ATO holds the aggregated view.</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SRS 611.0 requires reporting separately for each RSE; (2) SRF 611.0 is keyed on member account; (3) a member with $1.8m in each of two APRA-regulated funds appears twice below $2m and never as a $3.6m total; (4) therefore adding balance brackets improves large-account visibility but structurally cannot produce the threshold view. This is why the note frames any external commitment as monitoring large-account behaviour in APRA-regulated funds, not monitoring the affected population.</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ATO's indicative information-request windows are 10 business days for defined benefit and alternative-method interests and 28 calendar days for other APRA-regulated funds.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ATO Superannuation Administration Group key messages, 18 February 2026 and 20 May 2026. Contested: the February meeting records DB requests from November 2027 and APRA-fund requests from February 2028, while the May meeting says November and April with no year stated, and neither reconciles cleanly with assessments issuing in the second half of 2027-28. Cited in the note as ATO indicative planning dates that have already moved once, not as settled deadlines.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ATO intends to reuse existing Division 293 SuperStream product type codes for Division 296 release authorities, distinguished by a reference number rather than a new message type.</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ATO Superannuation Administration Group key messages of 17 June 2025 - re-dated after review established that the 2026 SAG pages the draft cited do not contain this text. Contested as an APRA ask: ASFA's 7 April 2026 submission expressly asked the ATO to build on the Division 293 release channel and messaging on cost-to-members grounds, so the note discloses industry's position and seeks a machine-readable flag on the existing message rather than a new message type.</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ten-business-day payment clock and 20-penalty-unit exposure for release authorities are the existing obligations for other release authority types; the Division 296 equivalent has not been published.</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ATO release authority guidance for APRA-regulated funds, which lists six release authority categories and does not yet include Division 296. The note states the position this way in plain English rather than asserting a ten-day Division 296 deadline as settled.</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Division 296 build and run costs recovered through administration fees feed into the annual superannuation performance test, which assesses administration fees against the median for the product category on a combined basis with investment performance, with two consecutive failures prohibiting new members.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performance test benchmarks administration fees charged in the last financial year against a category median; (2) Division 296 costs recovered through those fees enter that metric; (3) because the benchmark is a median, a licensee with a small affected population relative to total membership spreads the same fixed build cost over a smaller base and moves against the median. The test mechanics are sourced from the legislated performance test framework but were not re-read this pass; the transmission mechanism and the resulting incentive to absorb rather than transparently recover the cost are APRA's own analysis.</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Defined benefit earnings are measured as the movement in the actuarial value of the member's interest, adjusted for contributions and withdrawals and multiplied by a prescribed reduction factor of 0.825; the resulting liability is deferred to a debt account until the end benefit is paid, so there is no near-term call on fund solvency.</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Practitioner analysis of the draft regulations (Grant Thornton) for the 0.825 factor; ATO guidance on paying Division 296 tax for the deferral to a debt account. The factor was verified against the draft, not the made regulations.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single unisex pensioner mortality basis using male rates is not a closed question.</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Actuaries Institute's 7 April 2026 submission welcomes the single unisex male-rate basis; ASFA's submission of the same date contains a live section headed 'Use of only male valuation factors'. Two peak bodies were in disagreement at the close of consultation and the position adopted in the made regulations has not been confirmed, so the draft register's statement that the issue is closed has been withdrawn.</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realised-earnings base taxes distribution and disposal but not accrual, which is a deferral incentive whose system-level tendency is toward low-distribution, low-turnover, capital-growth assets - the same direction as the illiquid-allocation trend APRA has already identified as a system risk.</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6"/>
                <w:szCs w:val="16"/>
              </w:rPr>
              <w:t xml:space="preserve">C</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Original analytical proposition written for this meeting, unquantified. It is offered as the reason the system-level file should not be closed on the flow question alone, paired with the SRS 553.0 out-of-cycle valuation series (first reporting period the December 2025 quarter) as a clean pre-commencement monitoring baseline. No source makes this argument and no behavioural magnitude is claimed.</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Third-party concentration is the largest operational fact about this measure: the calculation, attribution, ATO lodgement and release-authority payment will be delivered by a small number of shared administrators, custodians and external tax agents, so a methodology defect or build failure is a common-mode event across many funds in the same annual window, and accountability for the 'fair and reasonable' judgement is non-delegable even where a vendor computes it.</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fund administration is a CPS 230 default critical operation and is predominantly outsourced across the sector; (2) CPS 230's service provider limb applies and APRA already holds material service provider registers submitted by 1 October 2025 for concentration-risk purposes; (3) shared administrators mean shared methodology, which produces consistency within a bloc and a cliff between blocs, and means boards will in substance adopt a vendor's judgement; (4) the trustee remains accountable. The concentration pattern is inferred from the structure of the sector, not from the registers themselves, which have not been analysed for this purpose - doing so is the recommended first step and requires no new collection.</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Small APRA funds are APRA-regulated, have six or fewer members, and therefore fall on the prescribed-formula-plus-annual-actuarial-certificate side of the regime rather than the trustee-judgement side that the rest of the analysis addresses.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regime splits at six members, not at SMSF versus APRA-regulated; (2) small APRA funds are defined by having no more than six members and are trusteed by RSE licensees APRA supervises; (3) therefore a subset of APRA's own supervised population faces a different legal mechanism, including a recurring annual actuarial certificate cost that may be uneconomic for very small funds. The fund count (approximately 673 at June 2025) was not re-verified this pass.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Council of Financial Regulators is not the right forum for an APRA-ATO coordination question, because the CFR has four members - APRA, ASIC, Treasury and the RBA - and the ATO is not one of them.</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CFR member agencies page (https://www.cfr.gov.au/about/member-agencies.html) - confirmed this pass. The note refers instead to the broader grouping that includes the ATO.</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Whether the ATO can lawfully provide APRA with member-level or fund-level Division 296 and total-balance data is a threshold legal question governed by the taxation secrecy provisions in Schedule 1 Division 355 of the TAA 1953 and by APRA's own secrecy obligations, and it is unresolved.</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note recommends an ATO data exchange as the principal answer to APRA's visibility problem; (2) ATO disclosure of protected information is restricted by statute with defined exceptions; (3) therefore the recommendation may require an amendment or a legislated exception rather than an administrative arrangement, and the existing APRA-ATO memorandum of understanding may not cover it. The Division 355 provisions were not read this pass; the point is raised as a question to be resolved before the recommendation is put externally, not as a legal conclusion.</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recommendations in this note are options for consideration, and the grading rule is stated on the page and applied mechanically, with any judgement override declared in one line.</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6"/>
                <w:szCs w:val="16"/>
              </w:rPr>
              <w:t xml:space="preserve">C</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Editorial and methodological decision for this meeting, made in response to review findings that the draft's grades were not monotonic in their own scores (two pairs of items with identical or dominating score vectors carried different grades) and that likelihood had been scored against whether a fact obtains rather than whether an adverse consequence crystallises in a named window. Likelihood is now stated as a dated proposition for each issue, and the A-grade count falls accordingly.</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bl>
    <w:p>
      <w:r>
        <w:br w:type="page"/>
      </w:r>
    </w:p>
    <w:p>
      <w:pPr>
        <w:pBdr>
          <w:bottom w:val="single" w:color="0072CE" w:sz="6" w:space="4"/>
        </w:pBdr>
        <w:spacing w:after="100" w:before="0"/>
      </w:pPr>
      <w:r>
        <w:rPr>
          <w:rFonts w:ascii="Arial" w:cs="Arial" w:eastAsia="Arial" w:hAnsi="Arial"/>
          <w:b/>
          <w:bCs/>
          <w:color w:val="012169"/>
          <w:sz w:val="22"/>
          <w:szCs w:val="22"/>
        </w:rPr>
        <w:t xml:space="preserve">Annex D — Red-team challenge and disposition</w:t>
      </w:r>
    </w:p>
    <w:p>
      <w:pPr>
        <w:spacing w:after="120" w:before="0" w:line="264"/>
      </w:pPr>
      <w:r>
        <w:rPr>
          <w:rFonts w:ascii="Arial" w:cs="Arial" w:eastAsia="Arial" w:hAnsi="Arial"/>
          <w:color w:val="52514E"/>
          <w:sz w:val="17"/>
          <w:szCs w:val="17"/>
        </w:rPr>
        <w:t xml:space="preserve">The draft register was attacked by three independent adversarial reviewers before it reached this page: a hostile fact-checker instructed to refute rather than agree, a grading sceptic instructed to hunt for inflated ratings, and a completeness critic instructed to find what had been left out. Every challenge was dispositioned — accepted and fixed, partially accepted, or rejected with reasons. The table below is the full record, including the challenges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1500"/>
        <w:gridCol w:w="4106"/>
      </w:tblGrid>
      <w:tr>
        <w:trPr>
          <w:tblHeader/>
        </w:trPr>
        <w:tc>
          <w:tcPr>
            <w:tcW w:type="dxa" w:w="43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Challenge raised</w:t>
            </w:r>
          </w:p>
        </w:tc>
        <w:tc>
          <w:tcPr>
            <w:tcW w:type="dxa" w:w="15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Outcome</w:t>
            </w:r>
          </w:p>
        </w:tc>
        <w:tc>
          <w:tcPr>
            <w:tcW w:type="dxa" w:w="41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Reasoning</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Consultation ask 8 quotes the ATO as being 'in the position of having retrospective law'. That statement is from June 2025 and is an artefact of the abandoned 1 July 2025 commencement; under the enacted law Assent (13 March 2026) precedes commencement (1 July 2026), so there is no retrospectivity.</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 and independently checked against the enacted timeline. Quote deleted. The successor fund transfer protocol ask survives on its own footing and is re-grounded on transfers spanning the 30 June 2027 measurement date. Carrying a stale-design quote into a CEO-level note is exactly the failure mode this pass exists to catch.</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Likelihood is scored against whether a fact is presently true rather than whether an adverse consequence occurs. All six likelihood-5 scores are present-tense certainties, which manufactures five of the six A grades.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criticism is methodologically decisive. Likelihood is redefined as P(named adverse consequence within a dated window) and every score restated as a dated proposition. Four of the six 5s fall to 2-3. A grades fall from six to three. No counter-argument available: a probability of 5 on a certainty is not a probability.</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No stated rule maps materiality/likelihood/proximity to A/B/C, and the mapping is non-monotonic (P6 and P9 share a score vector but differ in grade; P15 dominates P14 but grades lower).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Verified by adding the columns. Rule now stated on the page (A = proximity&gt;=4 and materiality&gt;=4 and likelihood&gt;=4; B = otherwise sum&gt;=10; C = sum&lt;10) and applied mechanically, with any judgement override stated in one line. An unstated rubric is indefensible in front of a reader who can do arithmetic.</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P6 grades a Division 296 outflow window as A while P16 finds this is not a liquidity event and instructs the note to open with that. The register contradicts itself on its own headline proposition.</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Genuine internal contradiction; whichever the reader saw second would discredit the other. Resolved in favour of P16, which is the better-evidenced position. P6 is demoted and folded into the liquidity item as 'tested and cleared, with two named exceptions' (illiquid member-directed options; the June 2027 transitional window).</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P14 recommends APRA tell licensees not to build to the post-death attribution rule because it is 'draft'. It is not draft: the regulations were made 11 June and registered 18 June 2026 with the rule intact.</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This was the only recommendation in the register capable of causing direct harm if adopted - telling supervised entities not to implement operative law. Instruction deleted and inverted: the rule is made, licensees must build to it, and the supervisory question is how continued post-death attribution is reconciled with the duty to cash death benefits as soon as practicable. Treasury advocacy on the merits is retained but moved to the consultation list.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P2 is graded A, labelled 'sourced', and rests on an unverified negative (APRA absent from the ATO working group / has published nothing), while ignoring bilateral Treasury-ATO-APRA engagement.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Independently confirmed: APRA does engage bilaterally with Treasury and the ATO, and the outstanding calculation/attribution work is progressing through an ATO co-design process. The 'no voice / not in the room' framing was wrong and is removed. The item is no longer a graded prudential risk; it becomes an ungraded APRA action - formalise participation in the Division 296 workstream so a prudential perspective is contributed before the ruling reaches draft - and is written as an opportunity, not a criticism of current practice.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CPS 230 is cited five times and only ever the critical-operations limb. The service provider limb (concentration in a handful of administrators, custodians and tax agents building one Division 296 engine for many funds) is never engaged, despite APRA already holding the material service provider register.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largest structural hole and it undercuts the note's own claim that the exposure is operational. A standalone issue is added covering common-mode failure across client funds in a single correlated annual window, non-delegable trustee accountability where a vendor forms the methodology in substance, the 'administrator cannot deliver' failure mode, and the point that the concentration map already exists in the MSP register at zero collection cost. The CPS 230 framework verdict is rewritten as a two-limb assessment.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CPS 230 para 24 is misquoted throughout; the 'must manage its full range of operational risks' duty is para 24. Para 23 is senior management's duty to inform the Board.</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Independently verified. Corrected in P1, P3, P8 and both framework verdicts. A repeated off-by-one on the register's most-cited standard would have been corrected in the room.</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SPS 530 para 31 is not the investment stress testing programme; para 31 is, confirmed by para 38's own cross-reference.</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Independently verified. Citation changed to para 31 and the range restated as paras 31-38 throughout. Para 36(d)/(e) references are unaffected and retained.</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elective 30 June 2026 cost-base reset is available to small funds - SMSFs and small APRA funds - not to SMSFs alone. The legislated boundary is fund size, not SMSF versus APRA-regulated, which weakens P7's perimeter framing.</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 and consequential: small APRA funds sit inside APRA's own perimeter and on the favourable side of the line. P7 is restated around the size boundary, and the perimeter argument (migration to SMSFs) is separated from the design-asymmetry argument (large funds and pooled superannuation trusts disadvantaged against small funds, including APRA-regulated ones).</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Four load-bearing quotes attributed to 2026 ATO Superannuation Administration Group key messages are in fact from the 17 June 2025 meeting; a reader following the citations will not find them.</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Provenance failure. All four re-cited to the 17 June 2025 meeting with its own URL and each flagged as predating the October 2025 redesign and the made regulations, so a reader can judge whether it has been overtaken. This also drove the fatal 'retrospective law' error.</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P13 recommends APRA push back on reuse of the Division 293 SuperStream codes, without disclosing that ASFA expressly asked the ATO to reuse that channel on cost grounds.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Briefing the Chair to advocate against the peak body's stated position without saying so is indefensible. ASFA's request is disclosed and the ask is reframed to a machine-readable Division 296 flag on the existing message plus a commitment that the flow can be isolated in fund and regulator reporting - which meets APRA's classification objective without the build cost ASFA is guarding.</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$2,018bn and 18.7m accounts belong to the 23 licensees reviewed, not the 12 requiring material improvement. The register roughly doubles the apparent scale of the adverse finding.</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Verified against APRA's own December 2024 publication. Restated so the review scope, the 12, and the eight-licensee liquidity subgroup (27% of funds under management, 5.4m accounts) are separately attributed. This is the number most likely to be repeated verbatim and then corrected.</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P5 builds a named supervisory shortlist on CSS at 23.58% of accounts above $1m while P10 disclaims the same entity's balance-bracket data as a probable reporting artefact.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register cannot rely on a figure in one issue and disclaim it in another. CSS is moved to 'subject to data verification' pending confirmation with Commonwealth Superannuation Corporation, and the CSS headline number is struck. The shortlist survives on the platform and wrap cohort, which does not depend on the disputed data.</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ATO law companion ruling quote is cited to the advice-under-development page, which does not contain it - and the same page is simultaneously cited for the finding that no Division 296 item appears on it.</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Both cannot be true of one page. The negative finding is retained against that URL; the drafting statement is either re-cited to its actual source or, if it cannot be located, dropped to a gap. No citation is retained on a page that does not carry the quoted words.</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P16's 'one fifteenth of a peak stress-test month' mixes numerators - it uses the APRA-side $0.9bn for the lump-sum comparison and the whole-system $2.3bn for the stress-test comparison; the unexplained 0.4-1.1% range has no stated basis.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Arithmetic checked and the criticism holds. One numerator is now used throughout ($0.9bn APRA-side): about 1.1% of annual lump sums, about 0.03% of assets, about 3% of a single peak stress-test month. The unexplained range is deleted. This is the sentence the note proposes to open with, so it must survive arithmetic.</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'Met it without selling a single unlisted asset' is categorical; APRA's own wording is that funds largely avoided selling unlisted assets, meeting the shock primarily through listed equities.</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source does not support the categorical claim and the sentence is load-bearing for the note's calibration. Replaced with APRA's own wording. The P6 quote is downgraded to a paraphrase pending verification against the full report.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 and P12 overstate trustee finality: the attribution is an input to a Commissioner's assessment, and the member retains an objection right against the ATO regardless of any AFCA carve-out.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 and it materially changes the remedy landscape. P1 is reframed - the trustee determines the input that drives the assessment. P12 now states that a carve-out removes the AFCA route but not the statutory objection route, and the ask becomes whether an objection against the ATO is a real remedy when the disputed judgement sits with a third party. Note this cuts both ways: the enacting law's express AFCA note on the provider's notification duty shows Parliament contemplated complaints against providers, which weakens the industry carve-out request.</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P10 declares the gender-equity concern 'closed' on the Actuaries Institute's endorsement while ASFA was still making submissions on male-only valuation factors at the close of consultation.</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Declaring an issue closed to a CEO on one body's endorsement while another's contemporaneous submission is open is an assurance the note cannot give. Downgraded to a statement of both positions, with the made-regulation position to be confirmed before treating it as settled.</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P6 and P9 have identical score vectors (3/4/5) but different grades.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Resolved by the stated rubric plus the demotion of P6 required by the liquidity contradiction. Under the rule both sit at B; P6 is then folded into the liquidity item and P9 retains its own entry.</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P15 strictly dominates P14 on the declared scores yet is graded one band lower.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 second independent inversion. Fixed by the stated rubric and by the separate uplift to P15's proximity, which places it above P14 on both score and grade.</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RFI timing (10 business days from November 2027; 28 calendar days from April 2028) is cited jointly to two ATO meetings that say different things, and the non-defined-benefit date appears to have moved from February to April.</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two sources are not consistent and the register presented them as if they were. Each meeting is now cited separately, the schedule change is disclosed, the years are marked as ATO indicative planning dates rather than settled, and the tension with 'assessments issue in the second half of 2027-28' is stated as an open question rather than smoothed over.</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P6's grade A ignores the size of the liability: a member at $3.2m pays about $1,800 and cannot rationally restructure for that, while a member at $8-10m has a real liability but cannot get under $3m by 30 June 2027. Both tails argue against a correlated rush.</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arithmetic is correct (proportioning by (TSB-3m)/TSB then 15%) and it is the strongest single piece of analysis in the red-team pack. Likelihood cut, P6 demoted to C, and the $1,800 / $9,000 / $63,000 figures moved to the front of the note as the register's missing denominator. The supervisory action - requiring production of the policy-driven liquidity scenario - is retained as a cheap test.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P1's materiality 5 is the register's only 5 and nothing measures it; the spread between two lawful attribution methods is never estimated.</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that an unmeasured 5 cannot stand: materiality drops to 4 pending evidence, and the proposed test (ask two or three exposed licensees to run two defensible methods over FY2026-27 data to date and report the spread) is adopted as a pre-meeting action. Not fully accepted: the reviewer's premise that every lawful method 'must be broadly proportionate to member balances' is itself unsourced - the statute says only 'fair and reasonable' - so the inference that dispersion is structurally small is not established either. The score moves because the evidence is absent, not because the reviewer's alternative is proved.</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register cites 305,000 accounts above $1m averaging $1.45m to argue APRA is blind, and never turns the same data round to bound the in-scope population, so no issue has a denominator.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 and cheap to fix. A labelled inference is added: a steeply decaying right tail above $1m, read against Treasury's superseded-design estimate of 31,800 in-scope individuals across all APRA-regulated and exempt public sector funds, implies a median large licensee has in-scope members in the hundreds. Marked 'inferred', with the Treasury vintage caveat carried, and used to calibrate supervisory intensity and the proportionality gate in the readiness item.</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P9 (valuation still determines the tax) is undergraded at B; it is the one issue where APRA has already published adverse findings on the precise control that now carries a personal tax consequence, and the sharper risk is upward revaluation pushing members over the threshold.</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substantive insight is accepted and incorporated: upward revaluation at 30 June is the more likely complaints channel, since downward suppression requires alleging misconduct and harms every other member's exit price. The regrade to A is not accepted - under the now-stated rubric a 3/4/5 vector is B, and creating an unexplained override for this item would reintroduce the very inconsistency the rubric was adopted to cure. P9 is the highest-ranked B and is flagged as such, with the reputational point made in the text rather than through the grade.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P15 (the total superannuation balance redefinition) is undergraded at C on proximity 2; the trustee reports the number and members will act on it, and the failure mode - an excess contributions assessment from a methodology-driven balance movement - is concrete and member-harming.</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Proximity raised and the issue regraded to B, with the excess-contributions failure mode stated. The population is far larger than the Division 296 cohort and the trustee sits at the centre of the disclosure. The unexplained '$1.5 million' figure quoted from ASFA is flagged as unverified rather than repeated.</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P3's likelihood 5 measures commencement rather than risk, and its statement that absence from the risk appetite statement, risk declaration, operational risk financial requirement target or business plan is 'a governance finding' has no materiality gate.</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Both limbs accepted. Likelihood rescored against a failed or materially wrong first RFI response in the 2028 window. The governance-finding statement is gated on exposure, using the in-scope headcount inference above, so a licensee with a handful of affected members is not held to the same expectation as a licensee with thousands. An ungated expectation would not survive contact with a small licensee.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P3, P13 and P8 are one operational-risk theme (fund administration performing a new statutory calculation and payment function on external clocks) split into three graded entries, inflating the apparent breadth of the register.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8781"/>
                <w:sz w:val="13"/>
                <w:szCs w:val="13"/>
              </w:rPr>
              <w:t xml:space="preserve">rejected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They share instruments but not duties, clocks, failure modes or remedies. P3 is a build-and-respond capability question on an annual RFI window; P13 is an externally triggered payment obligation out of preserved benefits; P8 is a multi-year records and reproducibility obligation now reinforced by an independent statutory duty on the provider to notify the Commissioner within 14 days of an end benefit becoming payable and to correct a material error within 7 days - a duty that has nothing to do with release-authority payment and would be buried by a merge. The grade-inflation concern is real but is cured by the stated rubric and the rescoring, which is the proportionate remedy; collapsing three distinct obligations to fix a scoring artefact would lose the one genuinely new duty the enacting law imposes on funds.</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P5 bootstraps: findings on unlisted valuation and liquidity frameworks, and enforcement on investment governance, are treated as evidence of unreadiness for a tax calculation performed by different systems and teams.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inference does not hold and would be spotted immediately. The reasoning is replaced with the sound one the reviewer supplies: platform and wrap trustees are the right cohort because member-directed options make attribution genuinely hard and genuinely divergent. The December 2024 thematic is retained only as indicative evidence of general governance capacity, expressly flagged as indicative rather than probative.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P7's title asserts money is already moving while the body concedes causation is not established, and the largest rollover quarter predates the October 2025 redesign.</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that the title over-claims: retitled around the legislated cost-base asymmetry, with the rollover series demoted to a monitoring line and materiality reduced. Not accepted in its reasoning: the September 2025 quarter predates the redesign but not the measure, which had been public policy since February 2023, so that quarter does not refute a Division 296 explanation any more than it supports one. The correct position is that causation is unestablished in both directions and APRA should say so plainly.</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P8's materiality 4 is defeated by its own evidence: ASFA puts typical amendment variation at a few basis points, so per-member tax changes are trivial. The real point is administrative disproportion and four-year reproducibility.</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that member financial harm is not the right frame and that materiality must come down; the issue is reframed around reissuing assessments to move a bill by tens of dollars, which is the strongest argument for the industry's materiality-threshold ask. Not demoted as far as C: the four-year reproducibility obligation now sits alongside an express statutory correction duty on the provider within 7 days of a material change or omission, which is a live, dated compliance obligation rather than a hypothetical, so the issue holds at B.</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P13 states the ten-business-day release authority clock and penalty as settled fact in plain English while its own gap records that the Division 296 release authority type is unconfirmed.</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An unconfirmed statutory deadline cannot sit in the plain-English text with the caveat three fields away. Rewritten to state that other release authority types carry a ten-business-day clock and a penalty and that the Division 296 equivalent has not been published, pending confirmation with the ATO before the meeting.</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P12 overstates APRA's proximity (AFCA jurisdiction is ASIC and Treasury territory) and recommends an ATO data request that taxpayer confidentiality does not permit.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secrecy point is accepted in full: the ask is reframed as a legislative request to Treasury for a disclosure exception, with the obstacle stated. The AFCA point is accepted only in part - the question is routed to ASIC with an APRA member-outcomes view attached rather than owned by APRA - but the proximity downgrade is rejected, because the enacting law's own notification provision carries an express note that a dissatisfied person may complain under the AFCA scheme. Parliament has therefore already contemplated member complaints against providers arising from Division 296 conduct, which is squarely a supervised-entity conduct and operational exposure.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P10 frames the accumulation/defined benefit differential tax base as an equitable-treatment failing, but a trustee cannot breach the covenant by complying with a statute that prescribes different bases.</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Category error accepted. The equity framing is demoted to a member-communications point and the issue leads on what is genuinely trustee-side: the new annual actuarial valuation capability, the tighter response window, and decades-long deferred debt account tracking that must survive mergers and administrator changes. The 10,000 defined benefit members figure is caveated to the same standard as the other superseded-design numbers.</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P11's materiality 3 is unsupported: roughly $1.42m sector-wide (or even ten times that) spread across 22.5m accounts is cents per member, which is a governance-of-process point, not a member-outcomes harm.</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arithmetic is right and belongs in the note. Materiality reduced and the issue regraded, while the recommended action is kept unchanged - asking how build and run costs are recovered before FY2028 fee-setting is locked in is cheap, timely and useful, and the cohort proposal for business performance reviews is among the best instrument-level ideas in the pack. A lower-grade issue with a strong action is recorded as such.</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About half the consultation asks are tax-design positions advanced in APRA's name (cost-base levelling, materiality thresholds, reserve treatment, post-death attribution, loss treatment, pooled superannuation trust mechanics) rather than prudential consequences.</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in structure: the list is split into asks APRA owns (participation in the calculation and attribution work, the transfer protocol, a published in-scope headcount, an ATO data arrangement, and a minimum governance standard for attribution as a member-equity expectation) and prudential consequences put on the record for Treasury and the ATO to remedy. Not accepted that the substance should be dropped - a prudential regulator is entitled, and expected, to state the consequence for supervised entities and members of a specific design feature; what it should not do is nominate the tax mechanic. Each relocated item is restated as a consequence with the remedy left to the policy owner.</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P15's plain English fails: 'superannuation interest' is an undefined term of art and is the crux of the issue.</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Rewritten in the reviewer's terms - each separate pot of super gets its own value, the total decides whether more money can be put in, and for defined benefit members the number can move because the measuring method changed rather than because their money changed. The note is unreadable at CEO level if the crux is a term of art.</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P10's plain English packs actuarial value, the movement measure and the 0.825 factor into one clause and assumes the reader knows what a family law split valuation is.</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Rewritten to explain that an actuary must estimate what a promised pension is worth, that the tax looks at how much that estimate rose over the year cut by about 17.5%, and that funds have only ever done this one member at a time, by hand, on divorce. Without that, a reader cannot judge whether the capability build is proportionate.</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No issue anywhere states what an affected member actually pays, so the proportioning mechanism - only the share of earnings above the threshold is taxed - is never explained and every materiality judgement is untestable.</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single most useful omission identified. A worked example is added at the front of the note ($3.2m about $1,800; $4m about $9,000; $10m about $63,000, with the arithmetic shown and labelled as APRA's own derivation), and every likelihood and materiality score is re-tested against it. This alone drove the demotion of the outflow issue.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P2 recommends escalating an APRA-ATO coordination gap to the Council of Financial Regulators, of which the ATO is not a member; the relevant forum is the wider CFR Plus grouping. The register also recommends an ATO data exchange three times without checking whether taxation secrecy permits it.</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Both accepted. The forum is corrected, and the legal-basis question - whether the taxation secrecy provisions and the existing APRA-ATO arrangements permit member-level or fund-level Division 296 data to be shared, or whether a legislated exception is needed - is added as the threshold step before any data-exchange recommendation. Recommending a data flow without establishing that it is lawful is a hole a Treasury or ATO counterpart would find immediately.</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register misses APRA's own Payday Super readiness letter of 25 March 2026 - a four-month-old, self-authored precedent for exactly the intervention the register proposes, on a measure commencing the same day.</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Strongest completeness addition. It supplies a precedent, drafting, and an answer to the 'is this APRA's business?' objection, and it makes the proposed Division 296 letter a consistency step rather than a new initiative. Cited in the engagement and readiness items. The related change-saturation point - both measures first applying from 1 July 2026 on the same platforms and the same finite administrator change capacity - is added as a distinct operational risk.</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P11 stops at fee-setting governance and misses the transmission mechanism: costs recovered through administration fees feed the annual performance test, which carries a product-closure consequence. Regrade to A.</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transmission mechanism is accepted and added, together with the perverse incentive it creates to absorb or capitalise the cost rather than recover it transparently. The regrade to A is rejected: the performance test benchmarks administration fees against the median for the product category, so a cost incurred by the whole sector moves the median as well as the licensee, and the effect is differential rather than absolute. It bites only where a licensee's affected population is small relative to its fee base - a real but narrow exposure, better stated as a supervisory question than as a top-tier risk. The performance test citation is also marked for verification before it is put in front of the CEO.</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P10 cites SPS 231 Outsourcing, which was replaced by CPS 230 on 1 July 2025, so the defined benefit actuarial capability question is analysed under a repealed standard.</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Verified and corrected to the CPS 230 service provider provisions. The substitution also improves the analysis: a small number of consulting actuarial firms will perform the new annual valuation for essentially every defined benefit scheme in the country on a short response clock, which is a service provider concentration exposure in its own right and now sits with the broader concentration issue.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register identifies that RSE auditor assurance does not reach the Division 296 calculation but never runs the same reasoning on breach reporting: Division 296 obligations arise under tax law, not RSE licensee law, so a failed ATO report is not of itself notifiable to APRA.</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reasoning is sound and yields three layered blind spots - no APRA reporting standard, no auditor assurance, no notification trigger - of which the register found one. Added, with the fix that costs nothing: state in the proposed letter that APRA expects notification of material Division 296 failures, mirroring the Payday Super approach. Noted alongside it that the enacting law does impose a direct notification duty on the provider, but to the Commissioner and not to APRA, which sharpens rather than weakens the point.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perimeter analysis has only one channel. Members can also reduce their measured balance via life-company lifetime income streams, and money leaving super often goes to investment bonds - both APRA-regulated products, so part of the supposed perimeter loss is a transfer within APRA's own perimeter.</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as a monitoring item, labelled inferred and unquantified. It usefully reframes the CEO conversation from loss of visibility to an internal coordination step with life insurance supervision that costs nothing, and it connects to the total superannuation balance valuation changes already identified elsewhere in the register.</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liquidity item closes the system-level file after testing only aggregate outflow. A realised-earnings base is a deferral incentive that tilts portfolios toward low-distribution, low-turnover illiquid assets - compounding a trend APRA has already flagged.</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8781"/>
                <w:sz w:val="13"/>
                <w:szCs w:val="13"/>
              </w:rPr>
              <w:t xml:space="preserve">rejected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Not carried into the note. In pooled options asset allocation is set for the whole option and a trustee cannot tilt it to suit fewer than 0.5% of members without running straight into the equitable-treatment covenant, so the proposed mechanism has no route to operate at scale. Where it does operate directly - member-directed and platform options - the effect is already captured by the platform and attribution issues. What remains is an unquantified, unsourced macro-allocation claim in a domain owned by Treasury and the RBA; advancing it as an original APRA proposition in a CEO-level note invites a challenge the note cannot answer, which is precisely the risk this pass is meant to remove. Recorded here as a considered rejection rather than an oversight, and noted as a question APRA could pose internally if it wishes to test it with evidence.</w:t>
            </w:r>
          </w:p>
        </w:tc>
      </w:tr>
    </w:tbl>
    <w:p>
      <w:pPr>
        <w:pBdr>
          <w:bottom w:val="single" w:color="0072CE" w:sz="6" w:space="4"/>
        </w:pBdr>
        <w:spacing w:after="100" w:before="240"/>
      </w:pPr>
      <w:r>
        <w:rPr>
          <w:rFonts w:ascii="Arial" w:cs="Arial" w:eastAsia="Arial" w:hAnsi="Arial"/>
          <w:b/>
          <w:bCs/>
          <w:color w:val="012169"/>
          <w:sz w:val="22"/>
          <w:szCs w:val="22"/>
        </w:rPr>
        <w:t xml:space="preserve">Annex E1 — Points to carry into engagement with Treasury and the ATO</w:t>
      </w:r>
    </w:p>
    <w:p>
      <w:pPr>
        <w:spacing w:after="120" w:before="0" w:line="264"/>
      </w:pPr>
      <w:r>
        <w:rPr>
          <w:rFonts w:ascii="Arial" w:cs="Arial" w:eastAsia="Arial" w:hAnsi="Arial"/>
          <w:color w:val="52514E"/>
          <w:sz w:val="17"/>
          <w:szCs w:val="17"/>
        </w:rPr>
        <w:t xml:space="preserve">Both public consultations on this measure have closed, so these are points for bilateral engagement and the ATO co-design process rather than a submission. They are confined to prudential and member-outcomes consequences; the tax design remedies are left to the policy owner.</w:t>
      </w:r>
    </w:p>
    <w:p>
      <w:pPr>
        <w:pStyle w:val="ListParagraph"/>
        <w:numPr>
          <w:ilvl w:val="0"/>
          <w:numId w:val="2"/>
        </w:numPr>
        <w:spacing w:after="60" w:before="0" w:line="258"/>
      </w:pPr>
      <w:r>
        <w:rPr>
          <w:rFonts w:ascii="Arial" w:cs="Arial" w:eastAsia="Arial" w:hAnsi="Arial"/>
          <w:color w:val="1A1A1A"/>
          <w:sz w:val="17"/>
          <w:szCs w:val="17"/>
        </w:rPr>
        <w:t xml:space="preserve">FRAMING NOTE FOR ALL OF THE BELOW. Both Treasury consultations on this measure have closed (exposure draft, and draft regulations closed 7 April 2026), so there is no open public process to lodge a submission into. The Government's October 2025 commitment to further consultation on how realised earnings are calculated and attributed is being progressed through an ATO co-design process, and APRA engages bilaterally with both Treasury and the ATO. These are therefore points to carry into that existing engagement and into the ATO's co-design work as guidance products are developed - an opportunity to add a prudential and member-outcomes perspective to work that is already under way, not a gap in anyone's current practice.</w:t>
      </w:r>
    </w:p>
    <w:p>
      <w:pPr>
        <w:pStyle w:val="ListParagraph"/>
        <w:numPr>
          <w:ilvl w:val="0"/>
          <w:numId w:val="2"/>
        </w:numPr>
        <w:spacing w:after="60" w:before="0" w:line="258"/>
      </w:pPr>
      <w:r>
        <w:rPr>
          <w:rFonts w:ascii="Arial" w:cs="Arial" w:eastAsia="Arial" w:hAnsi="Arial"/>
          <w:color w:val="1A1A1A"/>
          <w:sz w:val="17"/>
          <w:szCs w:val="17"/>
        </w:rPr>
        <w:t xml:space="preserve">OFFER A PRUDENTIAL PERSPECTIVE ON THE GOVERNANCE OF ATTRIBUTION, WITHOUT PRESCRIBING THE TAX METHOD. The method by which a fund attributes earnings to individual members is being settled through ATO guidance. APRA's distinctive contribution is not the arithmetic but the governance wrapper: that the choice of method is a member-equity decision within the investment governance framework, and so warrants a written and Board-approved methodology, applied consistently from year to year, documented well enough to be reproduced for the full amendment period, and subject to some form of independent review. Worth noting that industry has itself proposed governance by analogy to unit pricing and crediting rate practice. Also worth putting: a default or safe-harbour method that a trustee adopting it can rely on would do more to produce consistent member outcomes than any governance expectation APRA could set, and industry would likely support it - but the design of any such method is properly the ATO's and Treasury's call.</w:t>
      </w:r>
    </w:p>
    <w:p>
      <w:pPr>
        <w:pStyle w:val="ListParagraph"/>
        <w:numPr>
          <w:ilvl w:val="0"/>
          <w:numId w:val="2"/>
        </w:numPr>
        <w:spacing w:after="60" w:before="0" w:line="258"/>
      </w:pPr>
      <w:r>
        <w:rPr>
          <w:rFonts w:ascii="Arial" w:cs="Arial" w:eastAsia="Arial" w:hAnsi="Arial"/>
          <w:color w:val="1A1A1A"/>
          <w:sz w:val="17"/>
          <w:szCs w:val="17"/>
        </w:rPr>
        <w:t xml:space="preserve">RECORD THE THIRD-PARTY CONCENTRATION CONSEQUENCE. The calculation, attribution, reporting and payment functions will be delivered not by each licensee independently but largely by a small number of shared administrators and custodians - all of them mandatory material service providers under CPS 230 para 50. The prudential consequence worth putting on the record with the ATO is that a defect or delay at one provider is a common-mode event across many funds simultaneously, in the same annual window, rather than an isolated failure. This is relevant to how the ATO sequences its information requests, how much transition support it plans, and how it handles first-year extensions. APRA can inform this from the material service provider registers it already receives annually.</w:t>
      </w:r>
    </w:p>
    <w:p>
      <w:pPr>
        <w:pStyle w:val="ListParagraph"/>
        <w:numPr>
          <w:ilvl w:val="0"/>
          <w:numId w:val="2"/>
        </w:numPr>
        <w:spacing w:after="60" w:before="0" w:line="258"/>
      </w:pPr>
      <w:r>
        <w:rPr>
          <w:rFonts w:ascii="Arial" w:cs="Arial" w:eastAsia="Arial" w:hAnsi="Arial"/>
          <w:color w:val="1A1A1A"/>
          <w:sz w:val="17"/>
          <w:szCs w:val="17"/>
        </w:rPr>
        <w:t xml:space="preserve">SETTLE THE TRANSFER PROTOCOL BEFORE THE FY2027 MERGER SEASON. The protocol for carrying member-level Division 296 information through a successor fund transfer or intra-fund transfer needs to be settled for transfers spanning the 30 June 2027 measurement date. This is squarely APRA's business because APRA actively encourages consolidation, so an unresolved protocol means APRA's own consolidation agenda could generate member-level tax errors. (The earlier industry discussion of a 'retrospective law' problem related to the abandoned 1 July 2025 commencement under the previous design and no longer applies: Royal Assent on 13 March 2026 preceded commencement on 1 April 2026.)</w:t>
      </w:r>
    </w:p>
    <w:p>
      <w:pPr>
        <w:pStyle w:val="ListParagraph"/>
        <w:numPr>
          <w:ilvl w:val="0"/>
          <w:numId w:val="2"/>
        </w:numPr>
        <w:spacing w:after="60" w:before="0" w:line="258"/>
      </w:pPr>
      <w:r>
        <w:rPr>
          <w:rFonts w:ascii="Arial" w:cs="Arial" w:eastAsia="Arial" w:hAnsi="Arial"/>
          <w:color w:val="1A1A1A"/>
          <w:sz w:val="17"/>
          <w:szCs w:val="17"/>
        </w:rPr>
        <w:t xml:space="preserve">ASK FOR A CURRENT IN-SCOPE HEADCOUNT, SPLIT BY SECTOR. The only Commonwealth estimate of the affected population was struck under the superseded design on older data, and no absolute headcount has been published for the enacted realised-earnings design. Without a current number split between APRA-regulated funds, exempt public sector schemes and self-managed funds, APRA cannot calibrate supervisory intensity, cannot test a licensee that says it has very few affected members, and cannot size the perimeter question. This is a low-cost ask and the ATO is the only party that can answer it.</w:t>
      </w:r>
    </w:p>
    <w:p>
      <w:pPr>
        <w:pStyle w:val="ListParagraph"/>
        <w:numPr>
          <w:ilvl w:val="0"/>
          <w:numId w:val="2"/>
        </w:numPr>
        <w:spacing w:after="60" w:before="0" w:line="258"/>
      </w:pPr>
      <w:r>
        <w:rPr>
          <w:rFonts w:ascii="Arial" w:cs="Arial" w:eastAsia="Arial" w:hAnsi="Arial"/>
          <w:color w:val="1A1A1A"/>
          <w:sz w:val="17"/>
          <w:szCs w:val="17"/>
        </w:rPr>
        <w:t xml:space="preserve">RESOLVE THE LEGAL GATEWAY BEFORE PURSUING A DATA EXCHANGE. A standing ATO-to-APRA data exchange covering balance distribution and Division 296 outflows by fund would substantially answer APRA's visibility problem without any change to APRA's own collections. The threshold question is whether taxpayer confidentiality in the taxation administration law permits it, and whether the existing APRA-ATO arrangements cover it or an amendment is needed. That question should be settled first, because if the answer is no, the remedy is a legislative one for Treasury rather than an administrative one for the ATO. Note also that the Council of Financial Regulators does not include the ATO, so this is a bilateral matter rather than a CFR one.</w:t>
      </w:r>
    </w:p>
    <w:p>
      <w:pPr>
        <w:pStyle w:val="ListParagraph"/>
        <w:numPr>
          <w:ilvl w:val="0"/>
          <w:numId w:val="2"/>
        </w:numPr>
        <w:spacing w:after="60" w:before="0" w:line="258"/>
      </w:pPr>
      <w:r>
        <w:rPr>
          <w:rFonts w:ascii="Arial" w:cs="Arial" w:eastAsia="Arial" w:hAnsi="Arial"/>
          <w:color w:val="1A1A1A"/>
          <w:sz w:val="17"/>
          <w:szCs w:val="17"/>
        </w:rPr>
        <w:t xml:space="preserve">PUT THE CHANGE-SATURATION POINT ON THE RECORD. Payday Super and Division 296 commenced on the same day, in the same administration systems, drawing on the same finite pool of administrator change capacity, with Payday Super carrying the earlier and more visible deadline. The foreseeable consequence is that Division 296 is the change most likely to be deprioritised - and it is the one with guidance still being developed, no external assurance, and a multi-year amendment tail. This is worth stating to Treasury and the ATO as a sequencing and transition-support consideration, and it is directly relevant to how much first-year flexibility the ATO builds in.</w:t>
      </w:r>
    </w:p>
    <w:p>
      <w:pPr>
        <w:pStyle w:val="ListParagraph"/>
        <w:numPr>
          <w:ilvl w:val="0"/>
          <w:numId w:val="2"/>
        </w:numPr>
        <w:spacing w:after="60" w:before="0" w:line="258"/>
      </w:pPr>
      <w:r>
        <w:rPr>
          <w:rFonts w:ascii="Arial" w:cs="Arial" w:eastAsia="Arial" w:hAnsi="Arial"/>
          <w:color w:val="1A1A1A"/>
          <w:sz w:val="17"/>
          <w:szCs w:val="17"/>
        </w:rPr>
        <w:t xml:space="preserve">RECORD PRUDENTIAL AND MEMBER-OUTCOMES CONSEQUENCES, LEAVING THE REMEDIES TO THE POLICY OWNER. Several contested design features have real consequences for supervised entities and their members, but the remedies are tax design questions for Treasury and the ATO and APRA should not advocate specific tax mechanics. The consequences worth recording are: (a) continued attribution of earnings after a member's death sits awkwardly with the trustee's obligation to cash a death benefit as soon as practicable, and trustees will need to know which obligation yields - noting that this rule is now made law, so licensees must build to it rather than wait; (b) where a fund amends its income tax return, the resulting re-reporting can reopen personal assessments years later, which is an administrative and record-keeping burden on trustees disproportionate to the typically small change in any member's tax; (c) the cost-base transitional treatment differs by fund size rather than by regulator, so some APRA-regulated entities sit on each side of the line, and the asymmetry is a migration incentive worth monitoring rather than a settled cause of the recent rollover trend; and (d) industry has asked that trustee attribution judgements sit outside the external dispute resolution scheme - APRA should have a view before this is settled by default, noting that the new notification duty on providers in the taxation administration law carries an express note preserving AFCA complaints, which cuts against that request, and that the question is primarily ASIC's and Treasury's perimeter.</w:t>
      </w:r>
    </w:p>
    <w:p>
      <w:pPr>
        <w:pBdr>
          <w:bottom w:val="single" w:color="0072CE" w:sz="6" w:space="4"/>
        </w:pBdr>
        <w:spacing w:after="100" w:before="240"/>
      </w:pPr>
      <w:r>
        <w:rPr>
          <w:rFonts w:ascii="Arial" w:cs="Arial" w:eastAsia="Arial" w:hAnsi="Arial"/>
          <w:b/>
          <w:bCs/>
          <w:color w:val="012169"/>
          <w:sz w:val="22"/>
          <w:szCs w:val="22"/>
        </w:rPr>
        <w:t xml:space="preserve">Annex E2 — What remains unknown</w:t>
      </w:r>
    </w:p>
    <w:p>
      <w:pPr>
        <w:spacing w:after="100" w:before="0" w:line="264"/>
      </w:pPr>
      <w:r>
        <w:rPr>
          <w:rFonts w:ascii="Arial" w:cs="Arial" w:eastAsia="Arial" w:hAnsi="Arial"/>
          <w:color w:val="52514E"/>
          <w:sz w:val="17"/>
          <w:szCs w:val="17"/>
        </w:rPr>
        <w:t xml:space="preserve">Stated plainly so the meeting does not over-read the analysis.</w:t>
      </w:r>
    </w:p>
    <w:p>
      <w:pPr>
        <w:pStyle w:val="ListParagraph"/>
        <w:numPr>
          <w:ilvl w:val="0"/>
          <w:numId w:val="2"/>
        </w:numPr>
        <w:spacing w:after="60" w:before="0" w:line="258"/>
      </w:pPr>
      <w:r>
        <w:rPr>
          <w:rFonts w:ascii="Arial" w:cs="Arial" w:eastAsia="Arial" w:hAnsi="Arial"/>
          <w:color w:val="1A1A1A"/>
          <w:sz w:val="17"/>
          <w:szCs w:val="17"/>
        </w:rPr>
        <w:t xml:space="preserve">The ATO's law companion ruling on calculating Division 296 fund earnings and members' relevant super earnings is still unwritten and unpublished. As at the page's 6 July 2026 update, no Division 296 item appears on the ATO's advice-under-development programme, which lists five unrelated items. Until it issues, no authoritative statement exists of how the calculation is to be performed, and the ruling's move from draft to final is the point at which the method effectively fixes.</w:t>
      </w:r>
    </w:p>
    <w:p>
      <w:pPr>
        <w:pStyle w:val="ListParagraph"/>
        <w:numPr>
          <w:ilvl w:val="0"/>
          <w:numId w:val="2"/>
        </w:numPr>
        <w:spacing w:after="60" w:before="0" w:line="258"/>
      </w:pPr>
      <w:r>
        <w:rPr>
          <w:rFonts w:ascii="Arial" w:cs="Arial" w:eastAsia="Arial" w:hAnsi="Arial"/>
          <w:color w:val="1A1A1A"/>
          <w:sz w:val="17"/>
          <w:szCs w:val="17"/>
        </w:rPr>
        <w:t xml:space="preserve">The operative attribution text in F2026L00726 could not be read directly - the Federal Register serves instrument documents through a JavaScript front end. The 'more than six members' boundary, the 'fair and reasonable' wording, the prescribed formula and actuarial certificate for small funds, and the prescribed defined benefit reduction factor of 0.825 all rest on the Bills Digest, industry submissions and practitioner commentary on the draft, not on the made instrument. The register's earlier phase-in factors (20/40/60/80 per cent) were drawn from two practitioner readings of the draft and are not carried in the note.</w:t>
      </w:r>
    </w:p>
    <w:p>
      <w:pPr>
        <w:pStyle w:val="ListParagraph"/>
        <w:numPr>
          <w:ilvl w:val="0"/>
          <w:numId w:val="2"/>
        </w:numPr>
        <w:spacing w:after="60" w:before="0" w:line="258"/>
      </w:pPr>
      <w:r>
        <w:rPr>
          <w:rFonts w:ascii="Arial" w:cs="Arial" w:eastAsia="Arial" w:hAnsi="Arial"/>
          <w:color w:val="1A1A1A"/>
          <w:sz w:val="17"/>
          <w:szCs w:val="17"/>
        </w:rPr>
        <w:t xml:space="preserve">Consequently it is not confirmed whether the made regulations adopted any of the following, each of which industry requested and each of which changes a recommendation in the note: a materiality threshold (5 per cent was proposed by two bodies) and an extended reporting window on amended fund tax returns; a fix for pooled superannuation trusts with multiple options or unitholders; a prescribed treatment of unallocated reserves; a bulk 30 June 2026 cost-base declaration for member-directed options in large funds; and the treatment of losses, specifically whether member-level earnings are floored at nil with no carry-forward and whether a loss in one interest can offset a gain in another.</w:t>
      </w:r>
    </w:p>
    <w:p>
      <w:pPr>
        <w:pStyle w:val="ListParagraph"/>
        <w:numPr>
          <w:ilvl w:val="0"/>
          <w:numId w:val="2"/>
        </w:numPr>
        <w:spacing w:after="60" w:before="0" w:line="258"/>
      </w:pPr>
      <w:r>
        <w:rPr>
          <w:rFonts w:ascii="Arial" w:cs="Arial" w:eastAsia="Arial" w:hAnsi="Arial"/>
          <w:color w:val="1A1A1A"/>
          <w:sz w:val="17"/>
          <w:szCs w:val="17"/>
        </w:rPr>
        <w:t xml:space="preserve">The ATO's information-request timetable is internally inconsistent across its own published records. The 18 February 2026 Superannuation Administration Group key messages record defined benefit requests from November 2027 and other APRA-fund requests from February 2028; the 20 May 2026 key messages say November and April with no year stated. Neither reconciles cleanly with assessments issuing in the second half of 2027-28. The dates should be treated as indicative ATO planning that has already moved once, and confirmed before any supervisory timetable is built on them.</w:t>
      </w:r>
    </w:p>
    <w:p>
      <w:pPr>
        <w:pStyle w:val="ListParagraph"/>
        <w:numPr>
          <w:ilvl w:val="0"/>
          <w:numId w:val="2"/>
        </w:numPr>
        <w:spacing w:after="60" w:before="0" w:line="258"/>
      </w:pPr>
      <w:r>
        <w:rPr>
          <w:rFonts w:ascii="Arial" w:cs="Arial" w:eastAsia="Arial" w:hAnsi="Arial"/>
          <w:color w:val="1A1A1A"/>
          <w:sz w:val="17"/>
          <w:szCs w:val="17"/>
        </w:rPr>
        <w:t xml:space="preserve">Whether AFCA jurisdiction over a trustee's 'fair and reasonable' attribution will be curtailed is unresolved and points in two directions. s 134-140 of Schedule 1 to the TAA 1953 carries an express note contemplating AFCA complaints about provider conduct under this regime; ASFA asked Treasury to place attribution judgements outside AFCA review. It is separately doubtful that income tax regulations could curtail AFCA at all, since its jurisdiction derives from the Corporations Act scheme approval and the AFCA Rules, which is ASIC and Treasury territory rather than APRA's. The member's statutory right to object to the ATO assessment persists either way, but whether that is a real remedy when the disputed judgement was made by a third party is untested.</w:t>
      </w:r>
    </w:p>
    <w:p>
      <w:pPr>
        <w:pStyle w:val="ListParagraph"/>
        <w:numPr>
          <w:ilvl w:val="0"/>
          <w:numId w:val="2"/>
        </w:numPr>
        <w:spacing w:after="60" w:before="0" w:line="258"/>
      </w:pPr>
      <w:r>
        <w:rPr>
          <w:rFonts w:ascii="Arial" w:cs="Arial" w:eastAsia="Arial" w:hAnsi="Arial"/>
          <w:color w:val="1A1A1A"/>
          <w:sz w:val="17"/>
          <w:szCs w:val="17"/>
        </w:rPr>
        <w:t xml:space="preserve">The dispersion between two lawful 'fair and reasonable' attribution methods applied to the same fund and the same members has never been measured, and nothing in the public record estimates it. This is the single most consequential unknown in the note: if the spread is a few basis points of attributed earnings, the attribution issue is a platform and member-directed-option problem rather than an industry-wide one; if it is percentage points, it is the central issue. The recommended test - asking two or three exposed licensees to run two defensible methods over their year-to-date data and report the spread - would resolve it before the first measurement year closes.</w:t>
      </w:r>
    </w:p>
    <w:p>
      <w:pPr>
        <w:pStyle w:val="ListParagraph"/>
        <w:numPr>
          <w:ilvl w:val="0"/>
          <w:numId w:val="2"/>
        </w:numPr>
        <w:spacing w:after="60" w:before="0" w:line="258"/>
      </w:pPr>
      <w:r>
        <w:rPr>
          <w:rFonts w:ascii="Arial" w:cs="Arial" w:eastAsia="Arial" w:hAnsi="Arial"/>
          <w:color w:val="1A1A1A"/>
          <w:sz w:val="17"/>
          <w:szCs w:val="17"/>
        </w:rPr>
        <w:t xml:space="preserve">No current in-scope headcount exists under the enacted design, at sector level or per licensee. The only Commonwealth figure - 31,800 of approximately 80,000 individuals - is from the January 2024 Impact Analysis, struck on 2022-vintage data under the superseded change-in-balance design, and it combines APRA-regulated funds with exempt public sector schemes that APRA does not supervise. Without a denominator, supervisory intensity cannot be calibrated and a licensee claiming minimal exposure cannot be challenged.</w:t>
      </w:r>
    </w:p>
    <w:p>
      <w:pPr>
        <w:pStyle w:val="ListParagraph"/>
        <w:numPr>
          <w:ilvl w:val="0"/>
          <w:numId w:val="2"/>
        </w:numPr>
        <w:spacing w:after="60" w:before="0" w:line="258"/>
      </w:pPr>
      <w:r>
        <w:rPr>
          <w:rFonts w:ascii="Arial" w:cs="Arial" w:eastAsia="Arial" w:hAnsi="Arial"/>
          <w:color w:val="1A1A1A"/>
          <w:sz w:val="17"/>
          <w:szCs w:val="17"/>
        </w:rPr>
        <w:t xml:space="preserve">The integrity of APRA's fund-level balance-bracket data for the largest Commonwealth defined benefit schemes is in doubt. PSS and MilitarySuper report fewer than 20 accounts above $1m against average balances near $585,000 and $546,000, with most accounts clustered in a single bracket. CSS, reported by the same entity on the same form, is the largest single concentration in the exposed-cohort analysis. Until Commonwealth Superannuation Corporation confirms the reporting, CSS should not be used as a headline figure.</w:t>
      </w:r>
    </w:p>
    <w:p>
      <w:pPr>
        <w:pStyle w:val="ListParagraph"/>
        <w:numPr>
          <w:ilvl w:val="0"/>
          <w:numId w:val="2"/>
        </w:numPr>
        <w:spacing w:after="60" w:before="0" w:line="258"/>
      </w:pPr>
      <w:r>
        <w:rPr>
          <w:rFonts w:ascii="Arial" w:cs="Arial" w:eastAsia="Arial" w:hAnsi="Arial"/>
          <w:color w:val="1A1A1A"/>
          <w:sz w:val="17"/>
          <w:szCs w:val="17"/>
        </w:rPr>
        <w:t xml:space="preserve">Causation of the growth in net rollovers to SMSFs is not established and probably cannot be from published data. The largest single quarter precedes the redesign announcement, and the best establishment data attributes growth to different drivers and a younger demographic. The legislated cost-base asymmetry is real; the flow series does not evidence its effect.</w:t>
      </w:r>
    </w:p>
    <w:p>
      <w:pPr>
        <w:pStyle w:val="ListParagraph"/>
        <w:numPr>
          <w:ilvl w:val="0"/>
          <w:numId w:val="2"/>
        </w:numPr>
        <w:spacing w:after="60" w:before="0" w:line="258"/>
      </w:pPr>
      <w:r>
        <w:rPr>
          <w:rFonts w:ascii="Arial" w:cs="Arial" w:eastAsia="Arial" w:hAnsi="Arial"/>
          <w:color w:val="1A1A1A"/>
          <w:sz w:val="17"/>
          <w:szCs w:val="17"/>
        </w:rPr>
        <w:t xml:space="preserve">Whether the male-only unisex mortality basis was settled in the made regulations is unknown. Two peak bodies were in disagreement at the close of consultation - the Actuaries Institute welcoming it, ASFA still submitting on it - and the draft register's statement that the question is closed has been withdrawn.</w:t>
      </w:r>
    </w:p>
    <w:p>
      <w:pPr>
        <w:pStyle w:val="ListParagraph"/>
        <w:numPr>
          <w:ilvl w:val="0"/>
          <w:numId w:val="2"/>
        </w:numPr>
        <w:spacing w:after="60" w:before="0" w:line="258"/>
      </w:pPr>
      <w:r>
        <w:rPr>
          <w:rFonts w:ascii="Arial" w:cs="Arial" w:eastAsia="Arial" w:hAnsi="Arial"/>
          <w:color w:val="1A1A1A"/>
          <w:sz w:val="17"/>
          <w:szCs w:val="17"/>
        </w:rPr>
        <w:t xml:space="preserve">The final form of post-death attribution is not confirmed against the made instrument. Practitioner commentary on release indicates the draft approach survived and a 'death benefit income stream' concept was added, but sources conflict on whether a deceased member's total superannuation balance is set to nil so no further liability accrues, or whether attribution continues to the undistributed interest until death benefits are fully paid. The two readings produce materially different trustee obligations.</w:t>
      </w:r>
    </w:p>
    <w:p>
      <w:pPr>
        <w:pStyle w:val="ListParagraph"/>
        <w:numPr>
          <w:ilvl w:val="0"/>
          <w:numId w:val="2"/>
        </w:numPr>
        <w:spacing w:after="60" w:before="0" w:line="258"/>
      </w:pPr>
      <w:r>
        <w:rPr>
          <w:rFonts w:ascii="Arial" w:cs="Arial" w:eastAsia="Arial" w:hAnsi="Arial"/>
          <w:color w:val="1A1A1A"/>
          <w:sz w:val="17"/>
          <w:szCs w:val="17"/>
        </w:rPr>
        <w:t xml:space="preserve">Whether Division 296 release authorities carry the ten-business-day payment clock and the 20-penalty-unit non-compliance exposure has not been published. The ATO's list of release authority types for APRA-regulated funds shows six categories and does not include Division 296. The specific condition-of-release item authorising release of preserved benefits for this purpose was also not identified.</w:t>
      </w:r>
    </w:p>
    <w:p>
      <w:pPr>
        <w:pStyle w:val="ListParagraph"/>
        <w:numPr>
          <w:ilvl w:val="0"/>
          <w:numId w:val="2"/>
        </w:numPr>
        <w:spacing w:after="60" w:before="0" w:line="258"/>
      </w:pPr>
      <w:r>
        <w:rPr>
          <w:rFonts w:ascii="Arial" w:cs="Arial" w:eastAsia="Arial" w:hAnsi="Arial"/>
          <w:color w:val="1A1A1A"/>
          <w:sz w:val="17"/>
          <w:szCs w:val="17"/>
        </w:rPr>
        <w:t xml:space="preserve">The legal gateway for any ATO-to-APRA data exchange is unresolved: whether the taxation secrecy provisions in Schedule 1 Division 355 of the TAA 1953 permit disclosure of total-balance or Division 296 outflow data to APRA, whether the existing APRA-ATO memorandum of understanding covers it, and whether a legislated exception is required. The note's principal answer to its own principal visibility problem may not be administratively available.</w:t>
      </w:r>
    </w:p>
    <w:p>
      <w:pPr>
        <w:pStyle w:val="ListParagraph"/>
        <w:numPr>
          <w:ilvl w:val="0"/>
          <w:numId w:val="2"/>
        </w:numPr>
        <w:spacing w:after="60" w:before="0" w:line="258"/>
      </w:pPr>
      <w:r>
        <w:rPr>
          <w:rFonts w:ascii="Arial" w:cs="Arial" w:eastAsia="Arial" w:hAnsi="Arial"/>
          <w:color w:val="1A1A1A"/>
          <w:sz w:val="17"/>
          <w:szCs w:val="17"/>
        </w:rPr>
        <w:t xml:space="preserve">The trust-law layer beneath the operational analysis is untested. Whether an RSE's governing rules permit debiting a member's interest to satisfy a Division 296 release authority, and whether they permit recovering build and run costs from members, has not been checked and may require deed amendments across the industry before the first release authorities arrive.</w:t>
      </w:r>
    </w:p>
    <w:p>
      <w:pPr>
        <w:pStyle w:val="ListParagraph"/>
        <w:numPr>
          <w:ilvl w:val="0"/>
          <w:numId w:val="2"/>
        </w:numPr>
        <w:spacing w:after="60" w:before="0" w:line="258"/>
      </w:pPr>
      <w:r>
        <w:rPr>
          <w:rFonts w:ascii="Arial" w:cs="Arial" w:eastAsia="Arial" w:hAnsi="Arial"/>
          <w:color w:val="1A1A1A"/>
          <w:sz w:val="17"/>
          <w:szCs w:val="17"/>
        </w:rPr>
        <w:t xml:space="preserve">Where a trustee's attribution error causes a member a personal tax detriment or a penalty, it is unknown whether the trustee may indemnify itself from fund assets consistently with the SIS Act restrictions on indemnity, and whether the operational risk financial requirement - which is members' money - may lawfully be applied to compensate an individual's personal tax liability. Either answer has a significant member-equity consequence and neither has been researched.</w:t>
      </w:r>
    </w:p>
    <w:p>
      <w:pPr>
        <w:pStyle w:val="ListParagraph"/>
        <w:numPr>
          <w:ilvl w:val="0"/>
          <w:numId w:val="2"/>
        </w:numPr>
        <w:spacing w:after="60" w:before="0" w:line="258"/>
      </w:pPr>
      <w:r>
        <w:rPr>
          <w:rFonts w:ascii="Arial" w:cs="Arial" w:eastAsia="Arial" w:hAnsi="Arial"/>
          <w:color w:val="1A1A1A"/>
          <w:sz w:val="17"/>
          <w:szCs w:val="17"/>
        </w:rPr>
        <w:t xml:space="preserve">Two reporting-side questions remain open: whether SRS 710.0 Conditions of Release or SRS 610.1 Changes in Membership Profile already decompose outflows by reason, which would partly close the flow-visibility gap; and whether confidentiality and re-identification constraints would prevent publication of fund-level counts in a $10m+ balance bracket, which bears on the claim that adding brackets to SRS 611.0 is a cheap change.</w:t>
      </w:r>
    </w:p>
    <w:p>
      <w:pPr>
        <w:pStyle w:val="ListParagraph"/>
        <w:numPr>
          <w:ilvl w:val="0"/>
          <w:numId w:val="2"/>
        </w:numPr>
        <w:spacing w:after="60" w:before="0" w:line="258"/>
      </w:pPr>
      <w:r>
        <w:rPr>
          <w:rFonts w:ascii="Arial" w:cs="Arial" w:eastAsia="Arial" w:hAnsi="Arial"/>
          <w:color w:val="1A1A1A"/>
          <w:sz w:val="17"/>
          <w:szCs w:val="17"/>
        </w:rPr>
        <w:t xml:space="preserve">It is not known whether the remediation plans arising from APRA's December 2024 valuation and liquidity thematic have been delivered and closed out. The exposed-cohort recommendation assumes they have not, and should be checked internally before the meeting.</w:t>
      </w:r>
    </w:p>
    <w:p>
      <w:pPr>
        <w:pStyle w:val="ListParagraph"/>
        <w:numPr>
          <w:ilvl w:val="0"/>
          <w:numId w:val="2"/>
        </w:numPr>
        <w:spacing w:after="60" w:before="0" w:line="258"/>
      </w:pPr>
      <w:r>
        <w:rPr>
          <w:rFonts w:ascii="Arial" w:cs="Arial" w:eastAsia="Arial" w:hAnsi="Arial"/>
          <w:color w:val="1A1A1A"/>
          <w:sz w:val="17"/>
          <w:szCs w:val="17"/>
        </w:rPr>
        <w:t xml:space="preserve">The extent and form of APRA's engagement with Treasury and the ATO on this measure since October 2025 is known to exist but not documented in this work. The finding that APRA has published nothing Division 296-specific is search-based and should be confirmed against APRA's own publication records before being stated externally.</w:t>
      </w:r>
    </w:p>
    <w:p>
      <w:pPr>
        <w:pStyle w:val="ListParagraph"/>
        <w:numPr>
          <w:ilvl w:val="0"/>
          <w:numId w:val="2"/>
        </w:numPr>
        <w:spacing w:after="60" w:before="0" w:line="258"/>
      </w:pPr>
      <w:r>
        <w:rPr>
          <w:rFonts w:ascii="Arial" w:cs="Arial" w:eastAsia="Arial" w:hAnsi="Arial"/>
          <w:color w:val="1A1A1A"/>
          <w:sz w:val="17"/>
          <w:szCs w:val="17"/>
        </w:rPr>
        <w:t xml:space="preserve">Whether the s 29JA breach-notification analysis is legally correct has not been confirmed against the provision's text. If a Division 296 failure is in fact notifiable on some other basis, the recommended letter is unnecessary; if it is not, the letter is the cheapest available fix.</w:t>
      </w:r>
    </w:p>
    <w:p>
      <w:pPr>
        <w:pStyle w:val="ListParagraph"/>
        <w:numPr>
          <w:ilvl w:val="0"/>
          <w:numId w:val="2"/>
        </w:numPr>
        <w:spacing w:after="60" w:before="0" w:line="258"/>
      </w:pPr>
      <w:r>
        <w:rPr>
          <w:rFonts w:ascii="Arial" w:cs="Arial" w:eastAsia="Arial" w:hAnsi="Arial"/>
          <w:color w:val="1A1A1A"/>
          <w:sz w:val="17"/>
          <w:szCs w:val="17"/>
        </w:rPr>
        <w:t xml:space="preserve">Several populations named in the note remain unanalysed for want of time: exempt public sector schemes and unfunded state schemes, which are outside APRA's supervision but inside the Commonwealth's affected-population estimate; constitutionally protected funds; crediting-rate and smoothed-return funds, where the note's unit-pricing governance analogy does not reach; deferred and innovative income streams; and migration into life-company lifetime income streams and investment bonds, which would move members between two parts of APRA's own perimeter rather than out of it. Each is identified as a gap rather than asserted.</w:t>
      </w:r>
    </w:p>
    <w:p>
      <w:pPr>
        <w:pBdr>
          <w:bottom w:val="single" w:color="0072CE" w:sz="6" w:space="4"/>
        </w:pBdr>
        <w:spacing w:after="100" w:before="240"/>
      </w:pPr>
      <w:r>
        <w:rPr>
          <w:rFonts w:ascii="Arial" w:cs="Arial" w:eastAsia="Arial" w:hAnsi="Arial"/>
          <w:b/>
          <w:bCs/>
          <w:color w:val="012169"/>
          <w:sz w:val="22"/>
          <w:szCs w:val="22"/>
        </w:rPr>
        <w:t xml:space="preserve">Annex F — Sources consulted</w:t>
      </w:r>
    </w:p>
    <w:p>
      <w:pPr>
        <w:spacing w:after="30" w:line="230"/>
      </w:pPr>
      <w:r>
        <w:rPr>
          <w:rFonts w:ascii="Arial" w:cs="Arial" w:eastAsia="Arial" w:hAnsi="Arial"/>
          <w:color w:val="52514E"/>
          <w:sz w:val="13"/>
          <w:szCs w:val="13"/>
        </w:rPr>
        <w:t xml:space="preserve">https://api.prod.legislation.gov.au/v1/titles/C2026A00008</w:t>
      </w:r>
    </w:p>
    <w:p>
      <w:pPr>
        <w:spacing w:after="30" w:line="230"/>
      </w:pPr>
      <w:r>
        <w:rPr>
          <w:rFonts w:ascii="Arial" w:cs="Arial" w:eastAsia="Arial" w:hAnsi="Arial"/>
          <w:color w:val="52514E"/>
          <w:sz w:val="13"/>
          <w:szCs w:val="13"/>
        </w:rPr>
        <w:t xml:space="preserve">https://www.legislation.gov.au/C2026A00008/asmade/text</w:t>
      </w:r>
    </w:p>
    <w:p>
      <w:pPr>
        <w:spacing w:after="30" w:line="230"/>
      </w:pPr>
      <w:r>
        <w:rPr>
          <w:rFonts w:ascii="Arial" w:cs="Arial" w:eastAsia="Arial" w:hAnsi="Arial"/>
          <w:color w:val="52514E"/>
          <w:sz w:val="13"/>
          <w:szCs w:val="13"/>
        </w:rPr>
        <w:t xml:space="preserve">https://www.ato.gov.au/individuals-and-families/super-for-individuals-and-families/super/growing-and-keeping-track-of-your-super/caps-limits-and-tax-on-super-contributions/division-296-tax/how-division-296-tax-is-calculated</w:t>
      </w:r>
    </w:p>
    <w:p>
      <w:pPr>
        <w:spacing w:after="30" w:line="230"/>
      </w:pPr>
      <w:r>
        <w:rPr>
          <w:rFonts w:ascii="Arial" w:cs="Arial" w:eastAsia="Arial" w:hAnsi="Arial"/>
          <w:color w:val="52514E"/>
          <w:sz w:val="13"/>
          <w:szCs w:val="13"/>
        </w:rPr>
        <w:t xml:space="preserve">https://www.ato.gov.au/individuals-and-families/super-for-individuals-and-families/super/growing-and-keeping-track-of-your-super/caps-limits-and-tax-on-super-contributions/division-296-tax/division-296-tax-on-large-super-balances</w:t>
      </w:r>
    </w:p>
    <w:p>
      <w:pPr>
        <w:spacing w:after="30" w:line="230"/>
      </w:pPr>
      <w:r>
        <w:rPr>
          <w:rFonts w:ascii="Arial" w:cs="Arial" w:eastAsia="Arial" w:hAnsi="Arial"/>
          <w:color w:val="52514E"/>
          <w:sz w:val="13"/>
          <w:szCs w:val="13"/>
        </w:rPr>
        <w:t xml:space="preserve">https://www.ato.gov.au/individuals-and-families/super-for-individuals-and-families/super/growing-and-keeping-track-of-your-super/caps-limits-and-tax-on-super-contributions/division-296-tax/paying-division-296-tax</w:t>
      </w:r>
    </w:p>
    <w:p>
      <w:pPr>
        <w:spacing w:after="30" w:line="230"/>
      </w:pPr>
      <w:r>
        <w:rPr>
          <w:rFonts w:ascii="Arial" w:cs="Arial" w:eastAsia="Arial" w:hAnsi="Arial"/>
          <w:color w:val="52514E"/>
          <w:sz w:val="13"/>
          <w:szCs w:val="13"/>
        </w:rPr>
        <w:t xml:space="preserve">https://www.ato.gov.au/about-ato/new-legislation/in-detail/superannuation/better-targeted-superannuation-concessions</w:t>
      </w:r>
    </w:p>
    <w:p>
      <w:pPr>
        <w:spacing w:after="30" w:line="230"/>
      </w:pPr>
      <w:r>
        <w:rPr>
          <w:rFonts w:ascii="Arial" w:cs="Arial" w:eastAsia="Arial" w:hAnsi="Arial"/>
          <w:color w:val="52514E"/>
          <w:sz w:val="13"/>
          <w:szCs w:val="13"/>
        </w:rPr>
        <w:t xml:space="preserve">https://www.ato.gov.au/individuals-and-families/super-for-individuals-and-families/self-managed-super-funds-smsf/smsf-administration-and-reporting/about-division-296-tax-for-smsfs</w:t>
      </w:r>
    </w:p>
    <w:p>
      <w:pPr>
        <w:spacing w:after="30" w:line="230"/>
      </w:pPr>
      <w:r>
        <w:rPr>
          <w:rFonts w:ascii="Arial" w:cs="Arial" w:eastAsia="Arial" w:hAnsi="Arial"/>
          <w:color w:val="52514E"/>
          <w:sz w:val="13"/>
          <w:szCs w:val="13"/>
        </w:rPr>
        <w:t xml:space="preserve">https://www.ato.gov.au/tax-and-super-professionals/for-superannuation-professionals/apra-regulated-funds/managing-member-benefits/release-authorities</w:t>
      </w:r>
    </w:p>
    <w:p>
      <w:pPr>
        <w:spacing w:after="30" w:line="230"/>
      </w:pPr>
      <w:r>
        <w:rPr>
          <w:rFonts w:ascii="Arial" w:cs="Arial" w:eastAsia="Arial" w:hAnsi="Arial"/>
          <w:color w:val="52514E"/>
          <w:sz w:val="13"/>
          <w:szCs w:val="13"/>
        </w:rPr>
        <w:t xml:space="preserve">https://www.superannuation.asn.au/wp-content/uploads/2026/05/202619_Treasury_Division-296_Regulations_7_April.pdf</w:t>
      </w:r>
    </w:p>
    <w:p>
      <w:pPr>
        <w:spacing w:after="30" w:line="230"/>
      </w:pPr>
      <w:r>
        <w:rPr>
          <w:rFonts w:ascii="Arial" w:cs="Arial" w:eastAsia="Arial" w:hAnsi="Arial"/>
          <w:color w:val="52514E"/>
          <w:sz w:val="13"/>
          <w:szCs w:val="13"/>
        </w:rPr>
        <w:t xml:space="preserve">https://consult.treasury.gov.au/c2026-750935</w:t>
      </w:r>
    </w:p>
    <w:p>
      <w:pPr>
        <w:spacing w:after="30" w:line="230"/>
      </w:pPr>
      <w:r>
        <w:rPr>
          <w:rFonts w:ascii="Arial" w:cs="Arial" w:eastAsia="Arial" w:hAnsi="Arial"/>
          <w:color w:val="52514E"/>
          <w:sz w:val="13"/>
          <w:szCs w:val="13"/>
        </w:rPr>
        <w:t xml:space="preserve">https://www.taxinstitute.com.au/resources/submissions/2026/building-a-stronger-and-fairer-super-system-act-2026-draft-regulations</w:t>
      </w:r>
    </w:p>
    <w:p>
      <w:pPr>
        <w:spacing w:after="30" w:line="230"/>
      </w:pPr>
      <w:r>
        <w:rPr>
          <w:rFonts w:ascii="Arial" w:cs="Arial" w:eastAsia="Arial" w:hAnsi="Arial"/>
          <w:color w:val="52514E"/>
          <w:sz w:val="13"/>
          <w:szCs w:val="13"/>
        </w:rPr>
        <w:t xml:space="preserve">https://www.charteredaccountantsanz.com/news-and-analysis/advocacy/policy-submissions/submission-on-building-a-stronger-and-fairer-super-system-act-2026</w:t>
      </w:r>
    </w:p>
    <w:p>
      <w:pPr>
        <w:spacing w:after="30" w:line="230"/>
      </w:pPr>
      <w:r>
        <w:rPr>
          <w:rFonts w:ascii="Arial" w:cs="Arial" w:eastAsia="Arial" w:hAnsi="Arial"/>
          <w:color w:val="52514E"/>
          <w:sz w:val="13"/>
          <w:szCs w:val="13"/>
        </w:rPr>
        <w:t xml:space="preserve">https://www.heffron.com.au/news/division-296-draft-regulations-key-highlights-heffron</w:t>
      </w:r>
    </w:p>
    <w:p>
      <w:pPr>
        <w:spacing w:after="30" w:line="230"/>
      </w:pPr>
      <w:r>
        <w:rPr>
          <w:rFonts w:ascii="Arial" w:cs="Arial" w:eastAsia="Arial" w:hAnsi="Arial"/>
          <w:color w:val="52514E"/>
          <w:sz w:val="13"/>
          <w:szCs w:val="13"/>
        </w:rPr>
        <w:t xml:space="preserve">https://landing.heffron.com.au/division-296-news-and-resources</w:t>
      </w:r>
    </w:p>
    <w:p>
      <w:pPr>
        <w:spacing w:after="30" w:line="230"/>
      </w:pPr>
      <w:r>
        <w:rPr>
          <w:rFonts w:ascii="Arial" w:cs="Arial" w:eastAsia="Arial" w:hAnsi="Arial"/>
          <w:color w:val="52514E"/>
          <w:sz w:val="13"/>
          <w:szCs w:val="13"/>
        </w:rPr>
        <w:t xml:space="preserve">https://www.grantthornton.com.au/insights/client-alerts/what-do-the-division-296-draft-tax-regulations-tell-us/</w:t>
      </w:r>
    </w:p>
    <w:p>
      <w:pPr>
        <w:spacing w:after="30" w:line="230"/>
      </w:pPr>
      <w:r>
        <w:rPr>
          <w:rFonts w:ascii="Arial" w:cs="Arial" w:eastAsia="Arial" w:hAnsi="Arial"/>
          <w:color w:val="52514E"/>
          <w:sz w:val="13"/>
          <w:szCs w:val="13"/>
        </w:rPr>
        <w:t xml:space="preserve">https://sladen.com.au/news/2026/1/19/the-new-div-296-draft-legislation-part-2-the-transitional-rules</w:t>
      </w:r>
    </w:p>
    <w:p>
      <w:pPr>
        <w:spacing w:after="30" w:line="230"/>
      </w:pPr>
      <w:r>
        <w:rPr>
          <w:rFonts w:ascii="Arial" w:cs="Arial" w:eastAsia="Arial" w:hAnsi="Arial"/>
          <w:color w:val="52514E"/>
          <w:sz w:val="13"/>
          <w:szCs w:val="13"/>
        </w:rPr>
        <w:t xml:space="preserve">https://www.dbalawyers.com.au/announcements/revised-division-296-super-tax-from-1-july-2026/</w:t>
      </w:r>
    </w:p>
    <w:p>
      <w:pPr>
        <w:spacing w:after="30" w:line="230"/>
      </w:pPr>
      <w:r>
        <w:rPr>
          <w:rFonts w:ascii="Arial" w:cs="Arial" w:eastAsia="Arial" w:hAnsi="Arial"/>
          <w:color w:val="52514E"/>
          <w:sz w:val="13"/>
          <w:szCs w:val="13"/>
        </w:rPr>
        <w:t xml:space="preserve">https://www.superguide.com.au/super-booster/super-tax-accounts-3-million</w:t>
      </w:r>
    </w:p>
    <w:p>
      <w:pPr>
        <w:spacing w:after="30" w:line="230"/>
      </w:pPr>
      <w:r>
        <w:rPr>
          <w:rFonts w:ascii="Arial" w:cs="Arial" w:eastAsia="Arial" w:hAnsi="Arial"/>
          <w:color w:val="52514E"/>
          <w:sz w:val="13"/>
          <w:szCs w:val="13"/>
        </w:rPr>
        <w:t xml:space="preserve">https://smsmagazine.com.au/news/2026/05/14/risk-of-wasting-div-296-capital-losses/</w:t>
      </w:r>
    </w:p>
    <w:p>
      <w:pPr>
        <w:spacing w:after="30" w:line="230"/>
      </w:pPr>
      <w:r>
        <w:rPr>
          <w:rFonts w:ascii="Arial" w:cs="Arial" w:eastAsia="Arial" w:hAnsi="Arial"/>
          <w:color w:val="52514E"/>
          <w:sz w:val="13"/>
          <w:szCs w:val="13"/>
        </w:rPr>
        <w:t xml:space="preserve">https://www.accurium.com.au/blog/2026/03/div-296-is-now-law-what-you-need-to-know-before-it-starts-on-1-july-2026/</w:t>
      </w:r>
    </w:p>
    <w:p>
      <w:pPr>
        <w:spacing w:after="30" w:line="230"/>
      </w:pPr>
      <w:r>
        <w:rPr>
          <w:rFonts w:ascii="Arial" w:cs="Arial" w:eastAsia="Arial" w:hAnsi="Arial"/>
          <w:color w:val="52514E"/>
          <w:sz w:val="13"/>
          <w:szCs w:val="13"/>
        </w:rPr>
        <w:t xml:space="preserve">https://www.aph.gov.au/Parliamentary_Business/Bills_Legislation/bd/bd2526/26bd048</w:t>
      </w:r>
    </w:p>
    <w:p>
      <w:pPr>
        <w:spacing w:after="30" w:line="230"/>
      </w:pPr>
      <w:r>
        <w:rPr>
          <w:rFonts w:ascii="Arial" w:cs="Arial" w:eastAsia="Arial" w:hAnsi="Arial"/>
          <w:color w:val="52514E"/>
          <w:sz w:val="13"/>
          <w:szCs w:val="13"/>
        </w:rPr>
        <w:t xml:space="preserve">https://www5.austlii.edu.au/au/legis/cth/bill_em/tlaasafssb2026695/memo_0.html</w:t>
      </w:r>
    </w:p>
    <w:p>
      <w:pPr>
        <w:spacing w:after="30" w:line="230"/>
      </w:pPr>
      <w:r>
        <w:rPr>
          <w:rFonts w:ascii="Arial" w:cs="Arial" w:eastAsia="Arial" w:hAnsi="Arial"/>
          <w:color w:val="52514E"/>
          <w:sz w:val="13"/>
          <w:szCs w:val="13"/>
        </w:rPr>
        <w:t xml:space="preserve">https://www.legislation.gov.au/C2026A00009/asmade/text</w:t>
      </w:r>
    </w:p>
    <w:p>
      <w:pPr>
        <w:spacing w:after="30" w:line="230"/>
      </w:pPr>
      <w:r>
        <w:rPr>
          <w:rFonts w:ascii="Arial" w:cs="Arial" w:eastAsia="Arial" w:hAnsi="Arial"/>
          <w:color w:val="52514E"/>
          <w:sz w:val="13"/>
          <w:szCs w:val="13"/>
        </w:rPr>
        <w:t xml:space="preserve">https://www.legislation.gov.au/F2026L00726/asmade</w:t>
      </w:r>
    </w:p>
    <w:p>
      <w:pPr>
        <w:spacing w:after="30" w:line="230"/>
      </w:pPr>
      <w:r>
        <w:rPr>
          <w:rFonts w:ascii="Arial" w:cs="Arial" w:eastAsia="Arial" w:hAnsi="Arial"/>
          <w:color w:val="52514E"/>
          <w:sz w:val="13"/>
          <w:szCs w:val="13"/>
        </w:rPr>
        <w:t xml:space="preserve">https://www.aph.gov.au/Parliamentary_Business/Bills_Legislation/Bills_Search_Results/Result?bId=r7437</w:t>
      </w:r>
    </w:p>
    <w:p>
      <w:pPr>
        <w:spacing w:after="30" w:line="230"/>
      </w:pPr>
      <w:r>
        <w:rPr>
          <w:rFonts w:ascii="Arial" w:cs="Arial" w:eastAsia="Arial" w:hAnsi="Arial"/>
          <w:color w:val="52514E"/>
          <w:sz w:val="13"/>
          <w:szCs w:val="13"/>
        </w:rPr>
        <w:t xml:space="preserve">https://www.aph.gov.au/Parliamentary_Business/Bills_Legislation/Bills_Search_Results/Result?bId=r7133</w:t>
      </w:r>
    </w:p>
    <w:p>
      <w:pPr>
        <w:spacing w:after="30" w:line="230"/>
      </w:pPr>
      <w:r>
        <w:rPr>
          <w:rFonts w:ascii="Arial" w:cs="Arial" w:eastAsia="Arial" w:hAnsi="Arial"/>
          <w:color w:val="52514E"/>
          <w:sz w:val="13"/>
          <w:szCs w:val="13"/>
        </w:rPr>
        <w:t xml:space="preserve">https://www.aph.gov.au/Parliamentary_Business/Committees/Senate/Scrutiny_of_Bills/Work_of_the_committee/Scrutiny_Digest_List/2026/Scrutiny_Digest_3_of_2026</w:t>
      </w:r>
    </w:p>
    <w:p>
      <w:pPr>
        <w:spacing w:after="30" w:line="230"/>
      </w:pPr>
      <w:r>
        <w:rPr>
          <w:rFonts w:ascii="Arial" w:cs="Arial" w:eastAsia="Arial" w:hAnsi="Arial"/>
          <w:color w:val="52514E"/>
          <w:sz w:val="13"/>
          <w:szCs w:val="13"/>
        </w:rPr>
        <w:t xml:space="preserve">https://treasury.gov.au/publication/p2025-709385-btsc</w:t>
      </w:r>
    </w:p>
    <w:p>
      <w:pPr>
        <w:spacing w:after="30" w:line="230"/>
      </w:pPr>
      <w:r>
        <w:rPr>
          <w:rFonts w:ascii="Arial" w:cs="Arial" w:eastAsia="Arial" w:hAnsi="Arial"/>
          <w:color w:val="52514E"/>
          <w:sz w:val="13"/>
          <w:szCs w:val="13"/>
        </w:rPr>
        <w:t xml:space="preserve">https://treasury.gov.au/sites/default/files/2025-10/p2025-709385.docx</w:t>
      </w:r>
    </w:p>
    <w:p>
      <w:pPr>
        <w:spacing w:after="30" w:line="230"/>
      </w:pPr>
      <w:r>
        <w:rPr>
          <w:rFonts w:ascii="Arial" w:cs="Arial" w:eastAsia="Arial" w:hAnsi="Arial"/>
          <w:color w:val="52514E"/>
          <w:sz w:val="13"/>
          <w:szCs w:val="13"/>
        </w:rPr>
        <w:t xml:space="preserve">https://treasury.gov.au/consultation</w:t>
      </w:r>
    </w:p>
    <w:p>
      <w:pPr>
        <w:spacing w:after="30" w:line="230"/>
      </w:pPr>
      <w:r>
        <w:rPr>
          <w:rFonts w:ascii="Arial" w:cs="Arial" w:eastAsia="Arial" w:hAnsi="Arial"/>
          <w:color w:val="52514E"/>
          <w:sz w:val="13"/>
          <w:szCs w:val="13"/>
        </w:rPr>
        <w:t xml:space="preserve">https://treasury.gov.au/consultation/building-stronger-and-fairer-super-system-act-2026-draft-regulations</w:t>
      </w:r>
    </w:p>
    <w:p>
      <w:pPr>
        <w:spacing w:after="30" w:line="230"/>
      </w:pPr>
      <w:r>
        <w:rPr>
          <w:rFonts w:ascii="Arial" w:cs="Arial" w:eastAsia="Arial" w:hAnsi="Arial"/>
          <w:color w:val="52514E"/>
          <w:sz w:val="13"/>
          <w:szCs w:val="13"/>
        </w:rPr>
        <w:t xml:space="preserve">https://www.ato.gov.au/about-ato/ato-advice-and-guidance/advice-under-development-program/advice-under-development-superannuation-issues</w:t>
      </w:r>
    </w:p>
    <w:p>
      <w:pPr>
        <w:spacing w:after="30" w:line="230"/>
      </w:pPr>
      <w:r>
        <w:rPr>
          <w:rFonts w:ascii="Arial" w:cs="Arial" w:eastAsia="Arial" w:hAnsi="Arial"/>
          <w:color w:val="52514E"/>
          <w:sz w:val="13"/>
          <w:szCs w:val="13"/>
        </w:rPr>
        <w:t xml:space="preserve">https://www.ato.gov.au/about-ato/consultation/in-detail/stakeholder-relationship-groups-key-messages/superannuation-administration-group/superannuation-administration-group-key-messages-20-may-2026</w:t>
      </w:r>
    </w:p>
    <w:p>
      <w:pPr>
        <w:spacing w:after="30" w:line="230"/>
      </w:pPr>
      <w:r>
        <w:rPr>
          <w:rFonts w:ascii="Arial" w:cs="Arial" w:eastAsia="Arial" w:hAnsi="Arial"/>
          <w:color w:val="52514E"/>
          <w:sz w:val="13"/>
          <w:szCs w:val="13"/>
        </w:rPr>
        <w:t xml:space="preserve">https://www.ato.gov.au/about-ato/consultation/in-detail/stakeholder-relationship-groups-key-messages/superannuation-administration-group/superannuation-administration-group-key-messages-18-february-2026</w:t>
      </w:r>
    </w:p>
    <w:p>
      <w:pPr>
        <w:spacing w:after="30" w:line="230"/>
      </w:pPr>
      <w:r>
        <w:rPr>
          <w:rFonts w:ascii="Arial" w:cs="Arial" w:eastAsia="Arial" w:hAnsi="Arial"/>
          <w:color w:val="52514E"/>
          <w:sz w:val="13"/>
          <w:szCs w:val="13"/>
        </w:rPr>
        <w:t xml:space="preserve">https://www.regulationtomorrow.com/2026/03/treasury-issues-draft-regulations-for-the-governments-better-targeted-super-concessions-policy/</w:t>
      </w:r>
    </w:p>
    <w:p>
      <w:pPr>
        <w:spacing w:after="30" w:line="230"/>
      </w:pPr>
      <w:r>
        <w:rPr>
          <w:rFonts w:ascii="Arial" w:cs="Arial" w:eastAsia="Arial" w:hAnsi="Arial"/>
          <w:color w:val="52514E"/>
          <w:sz w:val="13"/>
          <w:szCs w:val="13"/>
        </w:rPr>
        <w:t xml:space="preserve">https://www.apra.gov.au/system/files/2023-07/Prudential%20Standard%20CPS%20230%20Operational%20Risk%20Management%20-%20clean.pdf</w:t>
      </w:r>
    </w:p>
    <w:p>
      <w:pPr>
        <w:spacing w:after="30" w:line="230"/>
      </w:pPr>
      <w:r>
        <w:rPr>
          <w:rFonts w:ascii="Arial" w:cs="Arial" w:eastAsia="Arial" w:hAnsi="Arial"/>
          <w:color w:val="52514E"/>
          <w:sz w:val="13"/>
          <w:szCs w:val="13"/>
        </w:rPr>
        <w:t xml:space="preserve">https://www.apra.gov.au/system/files/2023-07/Prudential%20Practice%20Guide%20SPG%20530%20Investment%20Governance%20Integrated%20version%20-%20clean.pdf</w:t>
      </w:r>
    </w:p>
    <w:p>
      <w:pPr>
        <w:spacing w:after="30" w:line="230"/>
      </w:pPr>
      <w:r>
        <w:rPr>
          <w:rFonts w:ascii="Arial" w:cs="Arial" w:eastAsia="Arial" w:hAnsi="Arial"/>
          <w:color w:val="52514E"/>
          <w:sz w:val="13"/>
          <w:szCs w:val="13"/>
        </w:rPr>
        <w:t xml:space="preserve">https://www.apra.gov.au/standards/sps-530</w:t>
      </w:r>
    </w:p>
    <w:p>
      <w:pPr>
        <w:spacing w:after="30" w:line="230"/>
      </w:pPr>
      <w:r>
        <w:rPr>
          <w:rFonts w:ascii="Arial" w:cs="Arial" w:eastAsia="Arial" w:hAnsi="Arial"/>
          <w:color w:val="52514E"/>
          <w:sz w:val="13"/>
          <w:szCs w:val="13"/>
        </w:rPr>
        <w:t xml:space="preserve">https://www.apra.gov.au/standards/sps-515</w:t>
      </w:r>
    </w:p>
    <w:p>
      <w:pPr>
        <w:spacing w:after="30" w:line="230"/>
      </w:pPr>
      <w:r>
        <w:rPr>
          <w:rFonts w:ascii="Arial" w:cs="Arial" w:eastAsia="Arial" w:hAnsi="Arial"/>
          <w:color w:val="52514E"/>
          <w:sz w:val="13"/>
          <w:szCs w:val="13"/>
        </w:rPr>
        <w:t xml:space="preserve">https://www.apra.gov.au/sites/default/files/2021-10/Reporting%20Standard%20SRS%20611.0%20Member%20Accounts%20-%20marked%20up.pdf</w:t>
      </w:r>
    </w:p>
    <w:p>
      <w:pPr>
        <w:spacing w:after="30" w:line="230"/>
      </w:pPr>
      <w:r>
        <w:rPr>
          <w:rFonts w:ascii="Arial" w:cs="Arial" w:eastAsia="Arial" w:hAnsi="Arial"/>
          <w:color w:val="52514E"/>
          <w:sz w:val="13"/>
          <w:szCs w:val="13"/>
        </w:rPr>
        <w:t xml:space="preserve">https://www.apra.gov.au/system/files/2024-12/Reporting%20Standard%20SRS%20551.0%20Liquidity_clean.pdf</w:t>
      </w:r>
    </w:p>
    <w:p>
      <w:pPr>
        <w:spacing w:after="30" w:line="230"/>
      </w:pPr>
      <w:r>
        <w:rPr>
          <w:rFonts w:ascii="Arial" w:cs="Arial" w:eastAsia="Arial" w:hAnsi="Arial"/>
          <w:color w:val="52514E"/>
          <w:sz w:val="13"/>
          <w:szCs w:val="13"/>
        </w:rPr>
        <w:t xml:space="preserve">https://www.apra.gov.au/system/files/2024-12/Reporting%20Standard%20SRS%20553.0%20Investment%20Exposure%20Concentrations%20and%20Valuations_clean.pdf</w:t>
      </w:r>
    </w:p>
    <w:p>
      <w:pPr>
        <w:spacing w:after="30" w:line="230"/>
      </w:pPr>
      <w:r>
        <w:rPr>
          <w:rFonts w:ascii="Arial" w:cs="Arial" w:eastAsia="Arial" w:hAnsi="Arial"/>
          <w:color w:val="52514E"/>
          <w:sz w:val="13"/>
          <w:szCs w:val="13"/>
        </w:rPr>
        <w:t xml:space="preserve">https://www.apra.gov.au/industries/33/standards</w:t>
      </w:r>
    </w:p>
    <w:p>
      <w:pPr>
        <w:spacing w:after="30" w:line="230"/>
      </w:pPr>
      <w:r>
        <w:rPr>
          <w:rFonts w:ascii="Arial" w:cs="Arial" w:eastAsia="Arial" w:hAnsi="Arial"/>
          <w:color w:val="52514E"/>
          <w:sz w:val="13"/>
          <w:szCs w:val="13"/>
        </w:rPr>
        <w:t xml:space="preserve">https://www.apra.gov.au/superannuation-data-transformation</w:t>
      </w:r>
    </w:p>
    <w:p>
      <w:pPr>
        <w:spacing w:after="30" w:line="230"/>
      </w:pPr>
      <w:r>
        <w:rPr>
          <w:rFonts w:ascii="Arial" w:cs="Arial" w:eastAsia="Arial" w:hAnsi="Arial"/>
          <w:color w:val="52514E"/>
          <w:sz w:val="13"/>
          <w:szCs w:val="13"/>
        </w:rPr>
        <w:t xml:space="preserve">https://www.apra.gov.au/phase-2-depth</w:t>
      </w:r>
    </w:p>
    <w:p>
      <w:pPr>
        <w:spacing w:after="30" w:line="230"/>
      </w:pPr>
      <w:r>
        <w:rPr>
          <w:rFonts w:ascii="Arial" w:cs="Arial" w:eastAsia="Arial" w:hAnsi="Arial"/>
          <w:color w:val="52514E"/>
          <w:sz w:val="13"/>
          <w:szCs w:val="13"/>
        </w:rPr>
        <w:t xml:space="preserve">https://www.apra.gov.au/standards/sps-114</w:t>
      </w:r>
    </w:p>
    <w:p>
      <w:pPr>
        <w:spacing w:after="30" w:line="230"/>
      </w:pPr>
      <w:r>
        <w:rPr>
          <w:rFonts w:ascii="Arial" w:cs="Arial" w:eastAsia="Arial" w:hAnsi="Arial"/>
          <w:color w:val="52514E"/>
          <w:sz w:val="13"/>
          <w:szCs w:val="13"/>
        </w:rPr>
        <w:t xml:space="preserve">https://www.apra.gov.au/standards/sps-220</w:t>
      </w:r>
    </w:p>
    <w:p>
      <w:pPr>
        <w:spacing w:after="30" w:line="230"/>
      </w:pPr>
      <w:r>
        <w:rPr>
          <w:rFonts w:ascii="Arial" w:cs="Arial" w:eastAsia="Arial" w:hAnsi="Arial"/>
          <w:color w:val="52514E"/>
          <w:sz w:val="13"/>
          <w:szCs w:val="13"/>
        </w:rPr>
        <w:t xml:space="preserve">https://www.apra.gov.au/standards/sps-310</w:t>
      </w:r>
    </w:p>
    <w:p>
      <w:pPr>
        <w:spacing w:after="30" w:line="230"/>
      </w:pPr>
      <w:r>
        <w:rPr>
          <w:rFonts w:ascii="Arial" w:cs="Arial" w:eastAsia="Arial" w:hAnsi="Arial"/>
          <w:color w:val="52514E"/>
          <w:sz w:val="13"/>
          <w:szCs w:val="13"/>
        </w:rPr>
        <w:t xml:space="preserve">https://www.apra.gov.au/standards/sps-160</w:t>
      </w:r>
    </w:p>
    <w:p>
      <w:pPr>
        <w:spacing w:after="30" w:line="230"/>
      </w:pPr>
      <w:r>
        <w:rPr>
          <w:rFonts w:ascii="Arial" w:cs="Arial" w:eastAsia="Arial" w:hAnsi="Arial"/>
          <w:color w:val="52514E"/>
          <w:sz w:val="13"/>
          <w:szCs w:val="13"/>
        </w:rPr>
        <w:t xml:space="preserve">https://www.apra.gov.au/standards/sps-250</w:t>
      </w:r>
    </w:p>
    <w:p>
      <w:pPr>
        <w:spacing w:after="30" w:line="230"/>
      </w:pPr>
      <w:r>
        <w:rPr>
          <w:rFonts w:ascii="Arial" w:cs="Arial" w:eastAsia="Arial" w:hAnsi="Arial"/>
          <w:color w:val="52514E"/>
          <w:sz w:val="13"/>
          <w:szCs w:val="13"/>
        </w:rPr>
        <w:t xml:space="preserve">https://www.apra.gov.au/standards/cps-234</w:t>
      </w:r>
    </w:p>
    <w:p>
      <w:pPr>
        <w:spacing w:after="30" w:line="230"/>
      </w:pPr>
      <w:r>
        <w:rPr>
          <w:rFonts w:ascii="Arial" w:cs="Arial" w:eastAsia="Arial" w:hAnsi="Arial"/>
          <w:color w:val="52514E"/>
          <w:sz w:val="13"/>
          <w:szCs w:val="13"/>
        </w:rPr>
        <w:t xml:space="preserve">https://www.apra.gov.au/standards/cps-190</w:t>
      </w:r>
    </w:p>
    <w:p>
      <w:pPr>
        <w:spacing w:after="30" w:line="230"/>
      </w:pPr>
      <w:r>
        <w:rPr>
          <w:rFonts w:ascii="Arial" w:cs="Arial" w:eastAsia="Arial" w:hAnsi="Arial"/>
          <w:color w:val="52514E"/>
          <w:sz w:val="13"/>
          <w:szCs w:val="13"/>
        </w:rPr>
        <w:t xml:space="preserve">https://www.apra.gov.au/sites/default/files/Prudential%20Practice%20Guide%20SPG%20516%20-%20Business%20Performance%20Review_0.pdf</w:t>
      </w:r>
    </w:p>
    <w:p>
      <w:pPr>
        <w:spacing w:after="30" w:line="230"/>
      </w:pPr>
      <w:r>
        <w:rPr>
          <w:rFonts w:ascii="Arial" w:cs="Arial" w:eastAsia="Arial" w:hAnsi="Arial"/>
          <w:color w:val="52514E"/>
          <w:sz w:val="13"/>
          <w:szCs w:val="13"/>
        </w:rPr>
        <w:t xml:space="preserve">https://www.apra.gov.au/news-and-publications/opening-statement-to-senate-economics-legislation-committee-%E2%80%93-june-2026</w:t>
      </w:r>
    </w:p>
    <w:p>
      <w:pPr>
        <w:spacing w:after="30" w:line="230"/>
      </w:pPr>
      <w:r>
        <w:rPr>
          <w:rFonts w:ascii="Arial" w:cs="Arial" w:eastAsia="Arial" w:hAnsi="Arial"/>
          <w:color w:val="52514E"/>
          <w:sz w:val="13"/>
          <w:szCs w:val="13"/>
        </w:rPr>
        <w:t xml:space="preserve">https://www.apra.gov.au/news-and-publications/apra-provides-update-implementation-new-operational-risk-standard</w:t>
      </w:r>
    </w:p>
    <w:p>
      <w:pPr>
        <w:spacing w:after="30" w:line="230"/>
      </w:pPr>
      <w:r>
        <w:rPr>
          <w:rFonts w:ascii="Arial" w:cs="Arial" w:eastAsia="Arial" w:hAnsi="Arial"/>
          <w:color w:val="52514E"/>
          <w:sz w:val="13"/>
          <w:szCs w:val="13"/>
        </w:rPr>
        <w:t xml:space="preserve">https://www.ato.gov.au/tax-and-super-professionals/for-superannuation-professionals/apra-regulated-funds/paying-benefits/releasing-benefits/release-authorities</w:t>
      </w:r>
    </w:p>
    <w:p>
      <w:pPr>
        <w:spacing w:after="30" w:line="230"/>
      </w:pPr>
      <w:r>
        <w:rPr>
          <w:rFonts w:ascii="Arial" w:cs="Arial" w:eastAsia="Arial" w:hAnsi="Arial"/>
          <w:color w:val="52514E"/>
          <w:sz w:val="13"/>
          <w:szCs w:val="13"/>
        </w:rPr>
        <w:t xml:space="preserve">https://www.ato.gov.au/about-ato/consultation/consultation-groups/superannuation-administration-group</w:t>
      </w:r>
    </w:p>
    <w:p>
      <w:pPr>
        <w:spacing w:after="30" w:line="230"/>
      </w:pPr>
      <w:r>
        <w:rPr>
          <w:rFonts w:ascii="Arial" w:cs="Arial" w:eastAsia="Arial" w:hAnsi="Arial"/>
          <w:color w:val="52514E"/>
          <w:sz w:val="13"/>
          <w:szCs w:val="13"/>
        </w:rPr>
        <w:t xml:space="preserve">https://www.apra.gov.au/sites/default/files/2023-09/Prudential%20Standard%20SPS%20515%20Strategic%20Planning%20and%20Member%20Outcomes.pdf</w:t>
      </w:r>
    </w:p>
    <w:p>
      <w:pPr>
        <w:spacing w:after="30" w:line="230"/>
      </w:pPr>
      <w:r>
        <w:rPr>
          <w:rFonts w:ascii="Arial" w:cs="Arial" w:eastAsia="Arial" w:hAnsi="Arial"/>
          <w:color w:val="52514E"/>
          <w:sz w:val="13"/>
          <w:szCs w:val="13"/>
        </w:rPr>
        <w:t xml:space="preserve">https://www.apra.gov.au/governance-of-unlisted-asset-valuation-and-liquidity-risk-management-superannuation-december-2024</w:t>
      </w:r>
    </w:p>
    <w:p>
      <w:pPr>
        <w:spacing w:after="30" w:line="230"/>
      </w:pPr>
      <w:r>
        <w:rPr>
          <w:rFonts w:ascii="Arial" w:cs="Arial" w:eastAsia="Arial" w:hAnsi="Arial"/>
          <w:color w:val="52514E"/>
          <w:sz w:val="13"/>
          <w:szCs w:val="13"/>
        </w:rPr>
        <w:t xml:space="preserve">https://www.apra.gov.au/news-and-publications/system-risk-stress-test</w:t>
      </w:r>
    </w:p>
    <w:p>
      <w:pPr>
        <w:spacing w:after="30" w:line="230"/>
      </w:pPr>
      <w:r>
        <w:rPr>
          <w:rFonts w:ascii="Arial" w:cs="Arial" w:eastAsia="Arial" w:hAnsi="Arial"/>
          <w:color w:val="52514E"/>
          <w:sz w:val="13"/>
          <w:szCs w:val="13"/>
        </w:rPr>
        <w:t xml:space="preserve">https://www.apra.gov.au/system-risk-outlook-may-2026</w:t>
      </w:r>
    </w:p>
    <w:p>
      <w:pPr>
        <w:spacing w:after="30" w:line="230"/>
      </w:pPr>
      <w:r>
        <w:rPr>
          <w:rFonts w:ascii="Arial" w:cs="Arial" w:eastAsia="Arial" w:hAnsi="Arial"/>
          <w:color w:val="52514E"/>
          <w:sz w:val="13"/>
          <w:szCs w:val="13"/>
        </w:rPr>
        <w:t xml:space="preserve">https://www.apra.gov.au/system-risk-outlook-november-2025</w:t>
      </w:r>
    </w:p>
    <w:p>
      <w:pPr>
        <w:spacing w:after="30" w:line="230"/>
      </w:pPr>
      <w:r>
        <w:rPr>
          <w:rFonts w:ascii="Arial" w:cs="Arial" w:eastAsia="Arial" w:hAnsi="Arial"/>
          <w:color w:val="52514E"/>
          <w:sz w:val="13"/>
          <w:szCs w:val="13"/>
        </w:rPr>
        <w:t xml:space="preserve">https://www.apra.gov.au/sites/default/files/2022-07/Prudential%20Standard%20SPS%20530%20Investment%20Governance.pdf</w:t>
      </w:r>
    </w:p>
    <w:p>
      <w:pPr>
        <w:spacing w:after="30" w:line="230"/>
      </w:pPr>
      <w:r>
        <w:rPr>
          <w:rFonts w:ascii="Arial" w:cs="Arial" w:eastAsia="Arial" w:hAnsi="Arial"/>
          <w:color w:val="52514E"/>
          <w:sz w:val="13"/>
          <w:szCs w:val="13"/>
        </w:rPr>
        <w:t xml:space="preserve">https://www.apra.gov.au/sites/default/files/2021-10/Findings%20from%20APRA%E2%80%99s%20superannuation%20thematic%20reviews_1.pdf</w:t>
      </w:r>
    </w:p>
    <w:p>
      <w:pPr>
        <w:spacing w:after="30" w:line="230"/>
      </w:pPr>
      <w:r>
        <w:rPr>
          <w:rFonts w:ascii="Arial" w:cs="Arial" w:eastAsia="Arial" w:hAnsi="Arial"/>
          <w:color w:val="52514E"/>
          <w:sz w:val="13"/>
          <w:szCs w:val="13"/>
        </w:rPr>
        <w:t xml:space="preserve">https://www.apra.gov.au/quarterly-superannuation-industry-publication</w:t>
      </w:r>
    </w:p>
    <w:p>
      <w:pPr>
        <w:spacing w:after="30" w:line="230"/>
      </w:pPr>
      <w:r>
        <w:rPr>
          <w:rFonts w:ascii="Arial" w:cs="Arial" w:eastAsia="Arial" w:hAnsi="Arial"/>
          <w:color w:val="52514E"/>
          <w:sz w:val="13"/>
          <w:szCs w:val="13"/>
        </w:rPr>
        <w:t xml:space="preserve">https://www.apra.gov.au/quarterly-superannuation-statistics</w:t>
      </w:r>
    </w:p>
    <w:p>
      <w:pPr>
        <w:spacing w:after="30" w:line="230"/>
      </w:pPr>
      <w:r>
        <w:rPr>
          <w:rFonts w:ascii="Arial" w:cs="Arial" w:eastAsia="Arial" w:hAnsi="Arial"/>
          <w:color w:val="52514E"/>
          <w:sz w:val="13"/>
          <w:szCs w:val="13"/>
        </w:rPr>
        <w:t xml:space="preserve">https://www.apra.gov.au/annual-fund-level-superannuation-statistics</w:t>
      </w:r>
    </w:p>
    <w:p>
      <w:pPr>
        <w:spacing w:after="30" w:line="230"/>
      </w:pPr>
      <w:r>
        <w:rPr>
          <w:rFonts w:ascii="Arial" w:cs="Arial" w:eastAsia="Arial" w:hAnsi="Arial"/>
          <w:color w:val="52514E"/>
          <w:sz w:val="13"/>
          <w:szCs w:val="13"/>
        </w:rPr>
        <w:t xml:space="preserve">https://www.apra.gov.au/news-and-publications/opening-statement-senate-economics-legislation-committee-june-2026</w:t>
      </w:r>
    </w:p>
    <w:p>
      <w:pPr>
        <w:spacing w:after="30" w:line="230"/>
      </w:pPr>
      <w:r>
        <w:rPr>
          <w:rFonts w:ascii="Arial" w:cs="Arial" w:eastAsia="Arial" w:hAnsi="Arial"/>
          <w:color w:val="52514E"/>
          <w:sz w:val="13"/>
          <w:szCs w:val="13"/>
        </w:rPr>
        <w:t xml:space="preserve">https://www.apra.gov.au/news-and-publications/apra-releases-letter-on-sps-530-valuation-governance-framework-self</w:t>
      </w:r>
    </w:p>
    <w:p>
      <w:pPr>
        <w:spacing w:after="30" w:line="230"/>
      </w:pPr>
      <w:r>
        <w:rPr>
          <w:rFonts w:ascii="Arial" w:cs="Arial" w:eastAsia="Arial" w:hAnsi="Arial"/>
          <w:color w:val="52514E"/>
          <w:sz w:val="13"/>
          <w:szCs w:val="13"/>
        </w:rPr>
        <w:t xml:space="preserve">https://www.apra.gov.au/apra-corporate-plan-2025-26</w:t>
      </w:r>
    </w:p>
    <w:p>
      <w:pPr>
        <w:spacing w:after="30" w:line="230"/>
      </w:pPr>
      <w:r>
        <w:rPr>
          <w:rFonts w:ascii="Arial" w:cs="Arial" w:eastAsia="Arial" w:hAnsi="Arial"/>
          <w:color w:val="52514E"/>
          <w:sz w:val="13"/>
          <w:szCs w:val="13"/>
        </w:rPr>
        <w:t xml:space="preserve">https://www.rba.gov.au/publications/fsr/2021/apr/box-c-what-did-2020-reveal-about-liquidity-challenges-facing-superannuation-funds.html</w:t>
      </w:r>
    </w:p>
    <w:p>
      <w:pPr>
        <w:spacing w:after="30" w:line="230"/>
      </w:pPr>
      <w:r>
        <w:rPr>
          <w:rFonts w:ascii="Arial" w:cs="Arial" w:eastAsia="Arial" w:hAnsi="Arial"/>
          <w:color w:val="52514E"/>
          <w:sz w:val="13"/>
          <w:szCs w:val="13"/>
        </w:rPr>
        <w:t xml:space="preserve">https://www.isda.org/a/RZtiE/Managing-Liquidity-Risk-Opportunities-and-Challenges-for-Australian-Superannuation-Funds.pdf</w:t>
      </w:r>
    </w:p>
    <w:p>
      <w:pPr>
        <w:spacing w:after="30" w:line="230"/>
      </w:pPr>
      <w:r>
        <w:rPr>
          <w:rFonts w:ascii="Arial" w:cs="Arial" w:eastAsia="Arial" w:hAnsi="Arial"/>
          <w:color w:val="52514E"/>
          <w:sz w:val="13"/>
          <w:szCs w:val="13"/>
        </w:rPr>
        <w:t xml:space="preserve">https://fsc.org.au/news/fsc-policy-updates/fsc-policy-update-issue-90-may-2026</w:t>
      </w:r>
    </w:p>
    <w:p>
      <w:pPr>
        <w:spacing w:after="30" w:line="230"/>
      </w:pPr>
      <w:r>
        <w:rPr>
          <w:rFonts w:ascii="Arial" w:cs="Arial" w:eastAsia="Arial" w:hAnsi="Arial"/>
          <w:color w:val="52514E"/>
          <w:sz w:val="13"/>
          <w:szCs w:val="13"/>
        </w:rPr>
        <w:t xml:space="preserve">https://treasury.gov.au/sites/default/files/2023-09/c2023-443986-em.pdf</w:t>
      </w:r>
    </w:p>
    <w:p>
      <w:pPr>
        <w:spacing w:after="30" w:line="230"/>
      </w:pPr>
      <w:r>
        <w:rPr>
          <w:rFonts w:ascii="Arial" w:cs="Arial" w:eastAsia="Arial" w:hAnsi="Arial"/>
          <w:color w:val="52514E"/>
          <w:sz w:val="13"/>
          <w:szCs w:val="13"/>
        </w:rPr>
        <w:t xml:space="preserve">https://oia.pmc.gov.au/sites/default/files/posts/2024/01/Impact%20Analysis%20-%20Better%20Targeted%20Superannuation%20Concessions.pdf</w:t>
      </w:r>
    </w:p>
    <w:p>
      <w:pPr>
        <w:spacing w:after="30" w:line="230"/>
      </w:pPr>
      <w:r>
        <w:rPr>
          <w:rFonts w:ascii="Arial" w:cs="Arial" w:eastAsia="Arial" w:hAnsi="Arial"/>
          <w:color w:val="52514E"/>
          <w:sz w:val="13"/>
          <w:szCs w:val="13"/>
        </w:rPr>
        <w:t xml:space="preserve">https://budget.gov.au/content/myefo/download/03_Part_3.pdf</w:t>
      </w:r>
    </w:p>
    <w:p>
      <w:pPr>
        <w:spacing w:after="30" w:line="230"/>
      </w:pPr>
      <w:r>
        <w:rPr>
          <w:rFonts w:ascii="Arial" w:cs="Arial" w:eastAsia="Arial" w:hAnsi="Arial"/>
          <w:color w:val="52514E"/>
          <w:sz w:val="13"/>
          <w:szCs w:val="13"/>
        </w:rPr>
        <w:t xml:space="preserve">https://storage.googleapis.com/files-au-treasury/treasury/p/prj39c475e7a7ab4c5f04c1b/page/c2025_726362_em.pdf</w:t>
      </w:r>
    </w:p>
    <w:p>
      <w:pPr>
        <w:spacing w:after="30" w:line="230"/>
      </w:pPr>
      <w:r>
        <w:rPr>
          <w:rFonts w:ascii="Arial" w:cs="Arial" w:eastAsia="Arial" w:hAnsi="Arial"/>
          <w:color w:val="52514E"/>
          <w:sz w:val="13"/>
          <w:szCs w:val="13"/>
        </w:rPr>
        <w:t xml:space="preserve">https://www.apra.gov.au/quarterly-fund-level-statistics</w:t>
      </w:r>
    </w:p>
    <w:p>
      <w:pPr>
        <w:spacing w:after="30" w:line="230"/>
      </w:pPr>
      <w:r>
        <w:rPr>
          <w:rFonts w:ascii="Arial" w:cs="Arial" w:eastAsia="Arial" w:hAnsi="Arial"/>
          <w:color w:val="52514E"/>
          <w:sz w:val="13"/>
          <w:szCs w:val="13"/>
        </w:rPr>
        <w:t xml:space="preserve">https://www.apra.gov.au/annual-superannuation-bulletin</w:t>
      </w:r>
    </w:p>
    <w:p>
      <w:pPr>
        <w:spacing w:after="30" w:line="230"/>
      </w:pPr>
      <w:r>
        <w:rPr>
          <w:rFonts w:ascii="Arial" w:cs="Arial" w:eastAsia="Arial" w:hAnsi="Arial"/>
          <w:color w:val="52514E"/>
          <w:sz w:val="13"/>
          <w:szCs w:val="13"/>
        </w:rPr>
        <w:t xml:space="preserve">https://www.apra.gov.au/quarterly-superannuation-performance-statistics-highlights-march-2026</w:t>
      </w:r>
    </w:p>
    <w:p>
      <w:pPr>
        <w:spacing w:after="30" w:line="230"/>
      </w:pPr>
      <w:r>
        <w:rPr>
          <w:rFonts w:ascii="Arial" w:cs="Arial" w:eastAsia="Arial" w:hAnsi="Arial"/>
          <w:color w:val="52514E"/>
          <w:sz w:val="13"/>
          <w:szCs w:val="13"/>
        </w:rPr>
        <w:t xml:space="preserve">https://www.apra.gov.au/annual-superannuation-bulletin-2024-25-highlights</w:t>
      </w:r>
    </w:p>
    <w:p>
      <w:pPr>
        <w:spacing w:after="30" w:line="230"/>
      </w:pPr>
      <w:r>
        <w:rPr>
          <w:rFonts w:ascii="Arial" w:cs="Arial" w:eastAsia="Arial" w:hAnsi="Arial"/>
          <w:color w:val="52514E"/>
          <w:sz w:val="13"/>
          <w:szCs w:val="13"/>
        </w:rPr>
        <w:t xml:space="preserve">https://data.gov.au/data/dataset/2fd970ec-984e-4593-bbad-2e69a5fa7a89/resource/7a50c5c8-5c0e-4a4b-a11e-feaad39f2bd0/download/smsf-annual-overview-2023-24.xlsx</w:t>
      </w:r>
    </w:p>
    <w:p>
      <w:pPr>
        <w:spacing w:after="30" w:line="230"/>
      </w:pPr>
      <w:r>
        <w:rPr>
          <w:rFonts w:ascii="Arial" w:cs="Arial" w:eastAsia="Arial" w:hAnsi="Arial"/>
          <w:color w:val="52514E"/>
          <w:sz w:val="13"/>
          <w:szCs w:val="13"/>
        </w:rPr>
        <w:t xml:space="preserve">https://www.superannuation.asn.au/wp-content/uploads/2024/09/ASFA-Research-Account-balances-August-2024.pdf</w:t>
      </w:r>
    </w:p>
    <w:p>
      <w:pPr>
        <w:spacing w:after="30" w:line="230"/>
      </w:pPr>
      <w:r>
        <w:rPr>
          <w:rFonts w:ascii="Arial" w:cs="Arial" w:eastAsia="Arial" w:hAnsi="Arial"/>
          <w:color w:val="52514E"/>
          <w:sz w:val="13"/>
          <w:szCs w:val="13"/>
        </w:rPr>
        <w:t xml:space="preserve">https://fsc.org.au/news/media-release/media-release-fsc-new-analysis-of-the-impact-of-proposed-superannuation-tax</w:t>
      </w:r>
    </w:p>
    <w:p>
      <w:pPr>
        <w:spacing w:after="30" w:line="230"/>
      </w:pPr>
      <w:r>
        <w:rPr>
          <w:rFonts w:ascii="Arial" w:cs="Arial" w:eastAsia="Arial" w:hAnsi="Arial"/>
          <w:color w:val="52514E"/>
          <w:sz w:val="13"/>
          <w:szCs w:val="13"/>
        </w:rPr>
        <w:t xml:space="preserve">https://ministers.treasury.gov.au/sites/ministers.treasury.gov.au/files/2023-03/better-targeted-superannuation-concessions-factsheet_0.pdf</w:t>
      </w:r>
    </w:p>
    <w:p>
      <w:pPr>
        <w:spacing w:after="30" w:line="230"/>
      </w:pPr>
      <w:r>
        <w:rPr>
          <w:rFonts w:ascii="Arial" w:cs="Arial" w:eastAsia="Arial" w:hAnsi="Arial"/>
          <w:color w:val="52514E"/>
          <w:sz w:val="13"/>
          <w:szCs w:val="13"/>
        </w:rPr>
        <w:t xml:space="preserve">https://www.smsfassociation.com/wp-content/uploads/2026/04/20260407-SMSF-Association-Submission_Building-a-stronger-fairer-super-system-Draft-regulations-WEB-COPY.pdf</w:t>
      </w:r>
    </w:p>
    <w:p>
      <w:pPr>
        <w:spacing w:after="30" w:line="230"/>
      </w:pPr>
      <w:r>
        <w:rPr>
          <w:rFonts w:ascii="Arial" w:cs="Arial" w:eastAsia="Arial" w:hAnsi="Arial"/>
          <w:color w:val="52514E"/>
          <w:sz w:val="13"/>
          <w:szCs w:val="13"/>
        </w:rPr>
        <w:t xml:space="preserve">https://www.taxinstitute.com.au/content/dam/thetaxinstitute/resources/submissions/2026/26%2004%2016%20TTI%20Submission%20-%20Building%20a%20stronger%20and%20fairer%20super%20system%20Act%202026%20-%20Draft%20regulations%20-%20For%20publication.pdf</w:t>
      </w:r>
    </w:p>
    <w:p>
      <w:pPr>
        <w:spacing w:after="30" w:line="230"/>
      </w:pPr>
      <w:r>
        <w:rPr>
          <w:rFonts w:ascii="Arial" w:cs="Arial" w:eastAsia="Arial" w:hAnsi="Arial"/>
          <w:color w:val="52514E"/>
          <w:sz w:val="13"/>
          <w:szCs w:val="13"/>
        </w:rPr>
        <w:t xml:space="preserve">https://content.actuaries.asn.au/resources/resource-ce6yyqn64sx3-2093352434-60788</w:t>
      </w:r>
    </w:p>
    <w:p>
      <w:pPr>
        <w:spacing w:after="30" w:line="230"/>
      </w:pPr>
      <w:r>
        <w:rPr>
          <w:rFonts w:ascii="Arial" w:cs="Arial" w:eastAsia="Arial" w:hAnsi="Arial"/>
          <w:color w:val="52514E"/>
          <w:sz w:val="13"/>
          <w:szCs w:val="13"/>
        </w:rPr>
        <w:t xml:space="preserve">https://ifpa.com.au/wp-content/uploads/2026/01/IFPA-better-targeted-super-concessions-Jan-2026.pdf</w:t>
      </w:r>
    </w:p>
    <w:p>
      <w:pPr>
        <w:spacing w:after="30" w:line="230"/>
      </w:pPr>
      <w:r>
        <w:rPr>
          <w:rFonts w:ascii="Arial" w:cs="Arial" w:eastAsia="Arial" w:hAnsi="Arial"/>
          <w:color w:val="52514E"/>
          <w:sz w:val="13"/>
          <w:szCs w:val="13"/>
        </w:rPr>
        <w:t xml:space="preserve">https://www.smsfassociation.com/media-release/smsf-association-presses-treasury-on-division-296-tax-concerns</w:t>
      </w:r>
    </w:p>
    <w:p>
      <w:pPr>
        <w:spacing w:after="30" w:line="230"/>
      </w:pPr>
      <w:r>
        <w:rPr>
          <w:rFonts w:ascii="Arial" w:cs="Arial" w:eastAsia="Arial" w:hAnsi="Arial"/>
          <w:color w:val="52514E"/>
          <w:sz w:val="13"/>
          <w:szCs w:val="13"/>
        </w:rPr>
        <w:t xml:space="preserve">https://www.smsfassociation.com/media-release/draft-division-296-bills-raise-serious-practical-concerns</w:t>
      </w:r>
    </w:p>
    <w:p>
      <w:pPr>
        <w:spacing w:after="30" w:line="230"/>
      </w:pPr>
      <w:r>
        <w:rPr>
          <w:rFonts w:ascii="Arial" w:cs="Arial" w:eastAsia="Arial" w:hAnsi="Arial"/>
          <w:color w:val="52514E"/>
          <w:sz w:val="13"/>
          <w:szCs w:val="13"/>
        </w:rPr>
        <w:t xml:space="preserve">https://beta.treasury.gov.au/key-activities/consultations/c2026-750935</w:t>
      </w:r>
    </w:p>
    <w:p>
      <w:pPr>
        <w:spacing w:after="30" w:line="230"/>
      </w:pPr>
      <w:r>
        <w:rPr>
          <w:rFonts w:ascii="Arial" w:cs="Arial" w:eastAsia="Arial" w:hAnsi="Arial"/>
          <w:color w:val="52514E"/>
          <w:sz w:val="13"/>
          <w:szCs w:val="13"/>
        </w:rPr>
        <w:t xml:space="preserve">https://fsc.org.au/news/fsc-policy-updates/fsc-policy-update-issue-89-3-march</w:t>
      </w:r>
    </w:p>
    <w:p>
      <w:pPr>
        <w:spacing w:after="30" w:line="230"/>
      </w:pPr>
      <w:r>
        <w:rPr>
          <w:rFonts w:ascii="Arial" w:cs="Arial" w:eastAsia="Arial" w:hAnsi="Arial"/>
          <w:color w:val="52514E"/>
          <w:sz w:val="13"/>
          <w:szCs w:val="13"/>
        </w:rPr>
        <w:t xml:space="preserve">https://www.accurium.com.au/blog/2026/03/division-296-draft-regulations-what-they-mean-for-smsf-trustees-and-actuaries/</w:t>
      </w:r>
    </w:p>
    <w:p>
      <w:pPr>
        <w:spacing w:after="30" w:line="230"/>
      </w:pPr>
      <w:r>
        <w:rPr>
          <w:rFonts w:ascii="Arial" w:cs="Arial" w:eastAsia="Arial" w:hAnsi="Arial"/>
          <w:color w:val="52514E"/>
          <w:sz w:val="13"/>
          <w:szCs w:val="13"/>
        </w:rPr>
        <w:t xml:space="preserve">https://www.smsfalliance.com.au/draft-div-296-regulations-have-been-released/</w:t>
      </w:r>
    </w:p>
    <w:p>
      <w:pPr>
        <w:spacing w:after="30" w:line="230"/>
      </w:pPr>
      <w:r>
        <w:rPr>
          <w:rFonts w:ascii="Arial" w:cs="Arial" w:eastAsia="Arial" w:hAnsi="Arial"/>
          <w:color w:val="52514E"/>
          <w:sz w:val="13"/>
          <w:szCs w:val="13"/>
        </w:rPr>
        <w:t xml:space="preserve">https://wealthdata.com.au/blog-1/smsf-data-statistics-analysis-march-2026</w:t>
      </w:r>
    </w:p>
    <w:p>
      <w:pPr>
        <w:spacing w:after="30" w:line="230"/>
      </w:pPr>
      <w:r>
        <w:rPr>
          <w:rFonts w:ascii="Arial" w:cs="Arial" w:eastAsia="Arial" w:hAnsi="Arial"/>
          <w:color w:val="52514E"/>
          <w:sz w:val="13"/>
          <w:szCs w:val="13"/>
        </w:rPr>
        <w:t xml:space="preserve">https://www.taxinstitute.com.au/insights/articles/2025/div-296-poor-design</w:t>
      </w:r>
    </w:p>
    <w:p>
      <w:pPr>
        <w:spacing w:after="30" w:line="230"/>
      </w:pPr>
      <w:r>
        <w:rPr>
          <w:rFonts w:ascii="Arial" w:cs="Arial" w:eastAsia="Arial" w:hAnsi="Arial"/>
          <w:color w:val="52514E"/>
          <w:sz w:val="13"/>
          <w:szCs w:val="13"/>
        </w:rPr>
        <w:t xml:space="preserve">https://hearsay.org.au/better-targeted-superannuation-concessions-or-targeting-judicial-independence/</w:t>
      </w:r>
    </w:p>
    <w:p>
      <w:pPr>
        <w:spacing w:after="30" w:line="230"/>
      </w:pPr>
      <w:r>
        <w:rPr>
          <w:rFonts w:ascii="Arial" w:cs="Arial" w:eastAsia="Arial" w:hAnsi="Arial"/>
          <w:color w:val="52514E"/>
          <w:sz w:val="13"/>
          <w:szCs w:val="13"/>
        </w:rPr>
        <w:t xml:space="preserve">https://blog.stockspot.com.au/why-your-super-fund-might-be-hiding-a-capital-gains-time-bomb/</w:t>
      </w:r>
    </w:p>
    <w:sectPr>
      <w:footerReference w:type="default" r:id="rId7"/>
      <w:pgSz w:w="11906" w:h="16838" w:orient="portrait"/>
      <w:pgMar w:top="1080" w:right="1000" w:bottom="1080" w:left="1000"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8D2" w:sz="4" w:space="6"/>
      </w:pBdr>
      <w:tabs>
        <w:tab w:val="right" w:pos="9906"/>
      </w:tabs>
      <w:spacing w:before="0"/>
    </w:pPr>
    <w:r>
      <w:rPr>
        <w:rFonts w:ascii="Arial" w:cs="Arial" w:eastAsia="Arial" w:hAnsi="Arial"/>
        <w:color w:val="898781"/>
        <w:sz w:val="13"/>
        <w:szCs w:val="13"/>
      </w:rPr>
      <w:t xml:space="preserve">Prudential research note  ·  Division 296 — prudential implications</w:t>
    </w:r>
    <w:r>
      <w:rPr>
        <w:rFonts w:ascii="Arial" w:cs="Arial" w:eastAsia="Arial" w:hAnsi="Arial"/>
      </w:rPr>
      <w:t xml:space="preserve">	</w:t>
    </w:r>
    <w:r>
      <w:rPr>
        <w:rFonts w:ascii="Arial" w:cs="Arial" w:eastAsia="Arial" w:hAnsi="Arial"/>
        <w:color w:val="898781"/>
        <w:sz w:val="13"/>
        <w:szCs w:val="13"/>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70"/>
      </w:pPr>
      <w:rPr>
        <w:color w:val="0072CE"/>
        <w:sz w:val="19"/>
        <w:szCs w:val="19"/>
      </w:rPr>
    </w:lvl>
    <w:lvl w:ilvl="1" w15:tentative="1">
      <w:start w:val="1"/>
      <w:numFmt w:val="bullet"/>
      <w:lvlText w:val="–"/>
      <w:lvlJc w:val="left"/>
      <w:pPr>
        <w:ind w:left="520" w:hanging="170"/>
      </w:pPr>
      <w:rPr>
        <w:color w:val="00B398"/>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17381cba38909523a6f34bc516360bc13852ef.png"/><Relationship Id="rId9" Type="http://schemas.openxmlformats.org/officeDocument/2006/relationships/image" Target="media/73b4f58bc06e97a4470b8a2769c911b59224cf65.png"/><Relationship Id="rId10" Type="http://schemas.openxmlformats.org/officeDocument/2006/relationships/image" Target="media/b87306d3aa905b8cecb84a2a55e4adf100dc278b.png"/><Relationship Id="rId11" Type="http://schemas.openxmlformats.org/officeDocument/2006/relationships/image" Target="media/e87dfd26cf50fae705f4e1c4d89b231798dedbfb.png"/><Relationship Id="rId12" Type="http://schemas.openxmlformats.org/officeDocument/2006/relationships/image" Target="media/57822b5df0d34e1e56048141d6eb2d2595ea3994.png"/><Relationship Id="rId13" Type="http://schemas.openxmlformats.org/officeDocument/2006/relationships/image" Target="media/9532008da9070f324cabd2d3b43e10258baf39e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Division 296 and the prudential framework</dc:title>
  <dc:creator>APRA</dc:creator>
  <dc:description>What Australia's new tax on large superannuation balances asks of prudential regulation — and what it does not</dc:description>
  <cp:lastModifiedBy>Un-named</cp:lastModifiedBy>
  <cp:revision>1</cp:revision>
  <dcterms:created xsi:type="dcterms:W3CDTF">2026-07-26T06:57:35.107Z</dcterms:created>
  <dcterms:modified xsi:type="dcterms:W3CDTF">2026-07-26T06:57:35.108Z</dcterms:modified>
</cp:coreProperties>
</file>

<file path=docProps/custom.xml><?xml version="1.0" encoding="utf-8"?>
<Properties xmlns="http://schemas.openxmlformats.org/officeDocument/2006/custom-properties" xmlns:vt="http://schemas.openxmlformats.org/officeDocument/2006/docPropsVTypes"/>
</file>