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Exercise of APRA powers. Where this Prudential Standard provides for APRA to determine, approve, require or adjust anything, that power is to be exercised in writing. The procedural requirements attaching to each such power are matters for legal settlement and are recorded in Annex F.</w:t>
      </w:r>
    </w:p>
    <w:p>
      <w:pPr>
        <w:pStyle w:val="Guidance"/>
      </w:pPr>
      <w:r>
        <w:t>Terms defined in Annex A have the meaning given in that Annex.</w:t>
      </w:r>
    </w:p>
    <w:p>
      <w:pPr>
        <w:pStyle w:val="Heading1"/>
      </w:pPr>
      <w:r>
        <w:t>Authority, application and commencement</w:t>
      </w:r>
    </w:p>
    <w:p>
      <w:pPr>
        <w:pStyle w:val="Heading3"/>
      </w:pPr>
      <w:r>
        <w:t>A1 — Authority</w:t>
      </w:r>
    </w:p>
    <w:p>
      <w:pPr>
        <w:pStyle w:val="Requirement"/>
      </w:pPr>
      <w:r>
        <w:rPr>
          <w:b/>
        </w:rPr>
        <w:t>A1. This Prudential Standard is made under the enabling provisions of the Banking Act 1959, the Insurance Act 1973, the Life Insurance Act 1995, the Private Health Insurance (Prudential Supervision) Act 2015 and the Superannuation Industry (Supervision) Act 1993, as applicable to each class of APRA-regulated entity.</w:t>
      </w:r>
    </w:p>
    <w:p>
      <w:pPr>
        <w:pStyle w:val="Guidance"/>
      </w:pPr>
      <w:r>
        <w:t>The precise enabling sections, and whether a single cross-industry instrument can be made for all classes of APRA-regulated entity or whether companion instruments are required, must be settled by APRA Legal and the Office of Parliamentary Counsel. Annex F records this.</w:t>
      </w:r>
    </w:p>
    <w:p>
      <w:pPr>
        <w:pStyle w:val="Heading3"/>
      </w:pPr>
      <w:r>
        <w:t>A2 — Application</w:t>
      </w:r>
    </w:p>
    <w:p>
      <w:pPr>
        <w:pStyle w:val="Requirement"/>
      </w:pPr>
      <w:r>
        <w:rPr>
          <w:b/>
        </w:rPr>
        <w:t>A2. This Prudential Standard applies to all APRA-regulated entities, in accordance with the classes specified in this paragraph and subject to any adjustment or exclusion determined under paragraph A5.</w:t>
      </w:r>
    </w:p>
    <w:p>
      <w:pPr>
        <w:pStyle w:val="Guidance"/>
      </w:pPr>
      <w:r>
        <w:t>The classes to which this Prudential Standard applies, including the treatment of foreign ADIs and branches, non-operating holding companies, private health insurers and application at Level 1, Level 2 and Level 3, require settlement before consultation.</w:t>
      </w:r>
    </w:p>
    <w:p>
      <w:pPr>
        <w:pStyle w:val="Guidance"/>
      </w:pPr>
      <w:r>
        <w:t>An APRA-regulated entity that is a member of a group must comply with this Prudential Standard both as an individual entity and, where APRA so determines, on a group basis.</w:t>
      </w:r>
    </w:p>
    <w:p>
      <w:pPr>
        <w:pStyle w:val="Heading3"/>
      </w:pPr>
      <w:r>
        <w:t>A3 — Commencement</w:t>
      </w:r>
    </w:p>
    <w:p>
      <w:pPr>
        <w:pStyle w:val="Requirement"/>
      </w:pPr>
      <w:r>
        <w:rPr>
          <w:b/>
        </w:rPr>
        <w:t>A3. This Prudential Standard commences on a date to be determined.</w:t>
      </w:r>
    </w:p>
    <w:p>
      <w:pPr>
        <w:pStyle w:val="Guidance"/>
      </w:pPr>
      <w:r>
        <w:t>Commencement and any transitional arrangements are matters for settlement. Given the uplift required in model identification, inventory completeness and validation coverage, staged commencement with earlier milestones for inventory and tiering than for validation would be consistent with the transition periods adopted by comparable authorities.</w:t>
      </w:r>
    </w:p>
    <w:p>
      <w:pPr>
        <w:pStyle w:val="Heading3"/>
      </w:pPr>
      <w:r>
        <w:t>A4 — Transitional arrangements</w:t>
      </w:r>
    </w:p>
    <w:p>
      <w:pPr>
        <w:pStyle w:val="Requirement"/>
      </w:pPr>
      <w:r>
        <w:rPr>
          <w:b/>
        </w:rPr>
        <w:t>A4. An APRA-regulated entity must comply with the framework, governance and identification requirements of this Prudential Standard from commencement, and must bring each model that is in use at commencement into compliance with the remaining requirements in accordance with a documented remediation plan approved by the Board or a Board committee, within the period determined by APRA.</w:t>
      </w:r>
    </w:p>
    <w:p>
      <w:pPr>
        <w:pStyle w:val="Guidance"/>
      </w:pPr>
      <w:r>
        <w:t>The two limbs address different problems. Entity-level obligations — the framework, the accountable executive, policies, appetite and the inventory — can be met from commencement and are the foundation for everything else. Model-level obligations expressed as a bar on use, such as pre-implementation testing and independent validation, would on commencement prohibit the continued use of models the entity is already relying on, which is not the intended effect.</w:t>
      </w:r>
    </w:p>
    <w:p>
      <w:pPr>
        <w:pStyle w:val="Guidance"/>
      </w:pPr>
      <w:r>
        <w:t>The remediation plan should sequence by model risk tier rather than by convenience, and should identify the models the entity cannot bring into compliance within the period and what it proposes to do about them.</w:t>
      </w:r>
    </w:p>
    <w:p>
      <w:pPr>
        <w:pStyle w:val="Heading3"/>
      </w:pPr>
      <w:r>
        <w:t>A5 — Adjustments and exclusions</w:t>
      </w:r>
    </w:p>
    <w:p>
      <w:pPr>
        <w:pStyle w:val="Requirement"/>
      </w:pPr>
      <w:r>
        <w:rPr>
          <w:b/>
        </w:rPr>
        <w:t>A5. APRA may, by notice in writing to an APRA-regulated entity, adjust or exclude a specific requirement in this Prudential Standard in relation to that entity.</w:t>
      </w:r>
    </w:p>
    <w:p>
      <w:pPr>
        <w:pStyle w:val="Guidance"/>
      </w:pPr>
      <w:r>
        <w:t>This mirrors the adjustment power in the other cross-industry prudential standards. It is the route by which a requirement can be varied for an individual entity, and its absence would make this Prudential Standard less flexible than the instruments it sits alongside.</w:t>
      </w:r>
    </w:p>
    <w:p>
      <w:pPr>
        <w:pStyle w:val="Guidance"/>
      </w:pPr>
      <w:r>
        <w:t>The scope of the power, and the procedural requirements attaching to its exercise, require legal settlement.</w:t>
      </w:r>
    </w:p>
    <w:p>
      <w:pPr>
        <w:pStyle w:val="Heading3"/>
      </w:pPr>
      <w:r>
        <w:t>A6 — Interpretation, defined terms and foreign ADIs</w:t>
      </w:r>
    </w:p>
    <w:p>
      <w:pPr>
        <w:pStyle w:val="Requirement"/>
      </w:pPr>
      <w:r>
        <w:rPr>
          <w:b/>
        </w:rPr>
        <w:t>A6. Terms defined in Annex A have the meaning given in that Annex; a term not so defined has the meaning given in Prudential Standard CPS 001 Defined Terms; a reference to a prudential standard is a reference to that standard as in force from time to time; and, for a foreign ADI, a reference to the Board is a reference to the senior officer outside Australia to whom authority has been delegated, and this Prudential Standard applies in respect of the models used in or affecting its Australian operations.</w:t>
      </w:r>
    </w:p>
    <w:p>
      <w:pPr>
        <w:pStyle w:val="Guidance"/>
      </w:pPr>
      <w:r>
        <w:t>Where an artificial intelligence system meets the definition of a model, this Prudential Standard applies to it. The interaction with any separate prudential standard on artificial intelligence risk management is addressed in M35 and is a matter for settlement once the numbering and scope of that instrument are known.</w:t>
      </w:r>
    </w:p>
    <w:p>
      <w:pPr>
        <w:pStyle w:val="Guidance"/>
      </w:pPr>
      <w:r>
        <w:t>The read-down for foreign ADIs follows the approach taken in the other cross-industry standards. Without it, every governance obligation expressed in terms of the Board would be incapable of performance by a branch.</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Front matter is drafting scaffolding</w:t>
            </w:r>
          </w:p>
          <w:p>
            <w:pPr/>
            <w:r>
              <w:rPr>
                <w:rFonts w:ascii="Arial" w:hAnsi="Arial"/>
                <w:sz w:val="19"/>
              </w:rPr>
              <w:t>Paragraphs A1 to A6 set out the instrument mechanics that every APRA prudential standard carries. They are drafted here so that the standard is structurally complete and can be read as an instrument, but the enabling provisions, application classes, commencement, transition period and the scope of the adjustment power are all matters for APRA Legal and the Office of Parliamentary Counsel. Annex F records each of them.</w:t>
            </w:r>
          </w:p>
        </w:tc>
      </w:tr>
    </w:tbl>
    <w:p>
      <w:pPr>
        <w:pStyle w:val="DocMeta"/>
      </w:pPr>
    </w:p>
    <w:p>
      <w:pPr>
        <w:pStyle w:val="Heading1"/>
      </w:pPr>
      <w:r>
        <w:t>Contents</w:t>
      </w:r>
    </w:p>
    <w:p>
      <w:pPr>
        <w:pStyle w:val="ContentsHead"/>
      </w:pPr>
      <w:r>
        <w:t>Authority, application and commencement  (A1–A6)</w:t>
      </w:r>
    </w:p>
    <w:p>
      <w:pPr>
        <w:pStyle w:val="ContentsHead"/>
      </w:pPr>
      <w:r>
        <w:t>Part A — Application and interpretation</w:t>
      </w:r>
    </w:p>
    <w:p>
      <w:pPr>
        <w:pStyle w:val="ContentsItem"/>
      </w:pPr>
      <w:r>
        <w:t>1. Application and scope  (M01–M03)</w:t>
      </w:r>
    </w:p>
    <w:p>
      <w:pPr>
        <w:pStyle w:val="ContentsItem"/>
      </w:pPr>
      <w:r>
        <w:t>2. Proportionality  (M04–M05)</w:t>
      </w:r>
    </w:p>
    <w:p>
      <w:pPr>
        <w:pStyle w:val="ContentsHead"/>
      </w:pPr>
      <w:r>
        <w:t>Part B — Governance and accountability</w:t>
      </w:r>
    </w:p>
    <w:p>
      <w:pPr>
        <w:pStyle w:val="ContentsItem"/>
      </w:pPr>
      <w:r>
        <w:t>3. Board and senior management  (M06–M08)</w:t>
      </w:r>
    </w:p>
    <w:p>
      <w:pPr>
        <w:pStyle w:val="ContentsItem"/>
      </w:pPr>
      <w:r>
        <w:t>4. Capability and independence  (M09)</w:t>
      </w:r>
    </w:p>
    <w:p>
      <w:pPr>
        <w:pStyle w:val="ContentsHead"/>
      </w:pPr>
      <w:r>
        <w:t>Part C — Framework, appetite and policy</w:t>
      </w:r>
    </w:p>
    <w:p>
      <w:pPr>
        <w:pStyle w:val="ContentsItem"/>
      </w:pPr>
      <w:r>
        <w:t>5. Model risk management framework  (M10–M12)</w:t>
      </w:r>
    </w:p>
    <w:p>
      <w:pPr>
        <w:pStyle w:val="ContentsItem"/>
      </w:pPr>
      <w:r>
        <w:t>6. Reporting and escalation  (M13)</w:t>
      </w:r>
    </w:p>
    <w:p>
      <w:pPr>
        <w:pStyle w:val="ContentsHead"/>
      </w:pPr>
      <w:r>
        <w:t>Part D — Identification, inventory and tiering</w:t>
      </w:r>
    </w:p>
    <w:p>
      <w:pPr>
        <w:pStyle w:val="ContentsItem"/>
      </w:pPr>
      <w:r>
        <w:t>7. Inventory  (M14)</w:t>
      </w:r>
    </w:p>
    <w:p>
      <w:pPr>
        <w:pStyle w:val="ContentsItem"/>
      </w:pPr>
      <w:r>
        <w:t>8. Tiering  (M15–M16)</w:t>
      </w:r>
    </w:p>
    <w:p>
      <w:pPr>
        <w:pStyle w:val="ContentsHead"/>
      </w:pPr>
      <w:r>
        <w:t>Part E — Development, data and documentation</w:t>
      </w:r>
    </w:p>
    <w:p>
      <w:pPr>
        <w:pStyle w:val="ContentsItem"/>
      </w:pPr>
      <w:r>
        <w:t>9. Development  (M17)</w:t>
      </w:r>
    </w:p>
    <w:p>
      <w:pPr>
        <w:pStyle w:val="ContentsItem"/>
      </w:pPr>
      <w:r>
        <w:t>10. Data  (M18)</w:t>
      </w:r>
    </w:p>
    <w:p>
      <w:pPr>
        <w:pStyle w:val="ContentsItem"/>
      </w:pPr>
      <w:r>
        <w:t>11. Documentation  (M19)</w:t>
      </w:r>
    </w:p>
    <w:p>
      <w:pPr>
        <w:pStyle w:val="ContentsHead"/>
      </w:pPr>
      <w:r>
        <w:t>Part F — Testing, validation and approval</w:t>
      </w:r>
    </w:p>
    <w:p>
      <w:pPr>
        <w:pStyle w:val="ContentsItem"/>
      </w:pPr>
      <w:r>
        <w:t>12. Testing before use  (M20)</w:t>
      </w:r>
    </w:p>
    <w:p>
      <w:pPr>
        <w:pStyle w:val="ContentsItem"/>
      </w:pPr>
      <w:r>
        <w:t>13. Independent validation  (M21–M23)</w:t>
      </w:r>
    </w:p>
    <w:p>
      <w:pPr>
        <w:pStyle w:val="ContentsItem"/>
      </w:pPr>
      <w:r>
        <w:t>14. Approval  (M24)</w:t>
      </w:r>
    </w:p>
    <w:p>
      <w:pPr>
        <w:pStyle w:val="ContentsHead"/>
      </w:pPr>
      <w:r>
        <w:t>Part G — Implementation, use and change</w:t>
      </w:r>
    </w:p>
    <w:p>
      <w:pPr>
        <w:pStyle w:val="ContentsItem"/>
      </w:pPr>
      <w:r>
        <w:t>15. Implementation  (M25)</w:t>
      </w:r>
    </w:p>
    <w:p>
      <w:pPr>
        <w:pStyle w:val="ContentsItem"/>
      </w:pPr>
      <w:r>
        <w:t>16. Change  (M26)</w:t>
      </w:r>
    </w:p>
    <w:p>
      <w:pPr>
        <w:pStyle w:val="ContentsItem"/>
      </w:pPr>
      <w:r>
        <w:t>17. Use  (M27–M28)</w:t>
      </w:r>
    </w:p>
    <w:p>
      <w:pPr>
        <w:pStyle w:val="ContentsItem"/>
      </w:pPr>
      <w:r>
        <w:t>18. Monitoring  (M29–M30)</w:t>
      </w:r>
    </w:p>
    <w:p>
      <w:pPr>
        <w:pStyle w:val="ContentsItem"/>
      </w:pPr>
      <w:r>
        <w:t>19. Retirement  (M31)</w:t>
      </w:r>
    </w:p>
    <w:p>
      <w:pPr>
        <w:pStyle w:val="ContentsHead"/>
      </w:pPr>
      <w:r>
        <w:t>Part H — Third-party and AI models</w:t>
      </w:r>
    </w:p>
    <w:p>
      <w:pPr>
        <w:pStyle w:val="ContentsItem"/>
      </w:pPr>
      <w:r>
        <w:t>20. Third-party models  (M32–M33)</w:t>
      </w:r>
    </w:p>
    <w:p>
      <w:pPr>
        <w:pStyle w:val="ContentsItem"/>
      </w:pPr>
      <w:r>
        <w:t>21. AI and machine learning models  (M34–M35)</w:t>
      </w:r>
    </w:p>
    <w:p>
      <w:pPr>
        <w:pStyle w:val="ContentsHead"/>
      </w:pPr>
      <w:r>
        <w:t>Part I — Specialist model classes</w:t>
      </w:r>
    </w:p>
    <w:p>
      <w:pPr>
        <w:pStyle w:val="ContentsItem"/>
      </w:pPr>
      <w:r>
        <w:t>22. Regulatory capital models  (M36)</w:t>
      </w:r>
    </w:p>
    <w:p>
      <w:pPr>
        <w:pStyle w:val="ContentsItem"/>
      </w:pPr>
      <w:r>
        <w:t>23. Valuation and financial reporting models  (M37)</w:t>
      </w:r>
    </w:p>
    <w:p>
      <w:pPr>
        <w:pStyle w:val="ContentsItem"/>
      </w:pPr>
      <w:r>
        <w:t>24. Actuarial and insurance models  (M38)</w:t>
      </w:r>
    </w:p>
    <w:p>
      <w:pPr>
        <w:pStyle w:val="ContentsItem"/>
      </w:pPr>
      <w:r>
        <w:t>25. Superannuation models  (M39)</w:t>
      </w:r>
    </w:p>
    <w:p>
      <w:pPr>
        <w:pStyle w:val="ContentsItem"/>
      </w:pPr>
      <w:r>
        <w:t>26. Stress testing and scenario models  (M40)</w:t>
      </w:r>
    </w:p>
    <w:p>
      <w:pPr>
        <w:pStyle w:val="ContentsHead"/>
      </w:pPr>
      <w:r>
        <w:t>Part J — Aggregate risk, records and assurance</w:t>
      </w:r>
    </w:p>
    <w:p>
      <w:pPr>
        <w:pStyle w:val="ContentsItem"/>
      </w:pPr>
      <w:r>
        <w:t>27. Aggregate model risk  (M41)</w:t>
      </w:r>
    </w:p>
    <w:p>
      <w:pPr>
        <w:pStyle w:val="ContentsItem"/>
      </w:pPr>
      <w:r>
        <w:t>28. Records  (M42)</w:t>
      </w:r>
    </w:p>
    <w:p>
      <w:pPr>
        <w:pStyle w:val="ContentsItem"/>
      </w:pPr>
      <w:r>
        <w:t>29. Assurance  (M43)</w:t>
      </w:r>
    </w:p>
    <w:p>
      <w:pPr>
        <w:pStyle w:val="ContentsItem"/>
      </w:pPr>
      <w:r>
        <w:t>30. APRA engagement  (M44)</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and compliance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 being tools whose output is fully determined by their inputs and documented rules, without estimation, statistical inference or an embedded assumption about an uncertain quantity, and whose output does not determine a regulatory figure, a reported valuation or an amount attributable to a customer or beneficiary —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must be able to demonstrate that the intensity of controls applied to each model reflects its model risk tier and that models of equivalent tier are treated consistently, and must document, time-bound, approve at an authority commensurate with the risk and periodically review any departure from its own model risk policies and standards.</w:t>
      </w:r>
    </w:p>
    <w:p>
      <w:pPr>
        <w:pStyle w:val="Guidance"/>
      </w:pPr>
      <w:r>
        <w:t>Proportionality changes the depth, frequency and formality of controls. It does not permit an entity to except itself from a requirement of this Prudential Standard. Only APRA may adjust or exclude a requirement, under paragraph A5.</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28–29.</w:t>
      </w:r>
    </w:p>
    <w:p>
      <w:pPr>
        <w:pStyle w:val="Heading3"/>
      </w:pPr>
      <w:r>
        <w:t>M05 — De minimis models</w:t>
      </w:r>
    </w:p>
    <w:p>
      <w:pPr>
        <w:pStyle w:val="Requirement"/>
      </w:pPr>
      <w:r>
        <w:rPr>
          <w:b/>
        </w:rPr>
        <w:t>M05. An APRA-regulated entity may determine that a model is de minimis, and apply to that model only the identification, inventory, ownership, classification and reassessment requirements of this Prudential Standard, where the entity has assessed and documented that an error in, or misuse of, the model could not have a material effect on its financial position, its regulatory obligations, its critical operations, or amounts or entitlements attributable to its customers or beneficiaries. The entity must record the determination and the reasoning for it, approve it at an authority commensurate with the risk, assess whether models individually determined to be de minimis are material in aggregate, and reassess each determination on the occurrence of a trigger event and at a frequency set out in its model risk policy.</w:t>
      </w:r>
    </w:p>
    <w:p>
      <w:pPr>
        <w:pStyle w:val="Guidance"/>
      </w:pPr>
      <w:r>
        <w:t>A de minimis determination is a conclusion about consequence, not about size, complexity or cost. The question is whether the entity could be materially wrong, or materially unfair to a customer or beneficiary, if the model were wrong and no one noticed.</w:t>
      </w:r>
    </w:p>
    <w:p>
      <w:pPr>
        <w:pStyle w:val="Guidance"/>
      </w:pPr>
      <w:r>
        <w:t>A de minimis model remains within the framework. It must still be identified, recorded in the inventory, owned and classified, and its determination must still be reassessed. Without those obligations an entity could not demonstrate that anything is de minimis, and the exception would become a route out of the inventory rather than a route to lighter controls.</w:t>
      </w:r>
    </w:p>
    <w:p>
      <w:pPr>
        <w:pStyle w:val="Guidance"/>
      </w:pPr>
      <w:r>
        <w:t>A model must not be determined to be de minimis where it is used to determine a regulatory capital requirement, a provision, a technical or insurance liability, a valuation reported in the financial statements, a unit price or another amount attributable to a customer or beneficiary, or where it supports a critical operation.</w:t>
      </w:r>
    </w:p>
    <w:p>
      <w:pPr>
        <w:pStyle w:val="Guidance"/>
      </w:pPr>
      <w:r>
        <w:t>The aggregate test matters. A single immaterial model is immaterial; two hundred of them, feeding the same process or sharing the same flawed assumption, may not be. An entity should be able to show that it has examined the population and not only the individual determinations.</w:t>
      </w:r>
    </w:p>
    <w:p>
      <w:pPr>
        <w:pStyle w:val="Guidance"/>
      </w:pPr>
      <w:r>
        <w:t>A model must not be disaggregated into components in order to bring those components below the threshold, and a determination made for one use does not carry over to another use of the same model.</w:t>
      </w:r>
    </w:p>
    <w:p>
      <w:pPr>
        <w:pStyle w:val="CrossRef"/>
      </w:pPr>
      <w:r>
        <w:rPr>
          <w:i/>
        </w:rPr>
        <w:t>→ Guidance: CPG XXXX paragraphs 22–27.</w:t>
      </w:r>
    </w:p>
    <w:p>
      <w:pPr>
        <w:pStyle w:val="Heading1"/>
      </w:pPr>
      <w:r>
        <w:t>Part B — Governance and accountability</w:t>
      </w:r>
    </w:p>
    <w:p>
      <w:pPr>
        <w:pStyle w:val="Heading2"/>
      </w:pPr>
      <w:r>
        <w:t>3. Board and senior management</w:t>
      </w:r>
    </w:p>
    <w:p>
      <w:pPr>
        <w:pStyle w:val="Heading3"/>
      </w:pPr>
      <w:r>
        <w:t>M06 — Board oversight of model risk</w:t>
      </w:r>
    </w:p>
    <w:p>
      <w:pPr>
        <w:pStyle w:val="Requirement"/>
      </w:pPr>
      <w:r>
        <w:rPr>
          <w:b/>
        </w:rPr>
        <w:t>M06.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32–33, 35.</w:t>
      </w:r>
    </w:p>
    <w:p>
      <w:pPr>
        <w:pStyle w:val="Heading3"/>
      </w:pPr>
      <w:r>
        <w:t>M07 — Senior accountability for the framework</w:t>
      </w:r>
    </w:p>
    <w:p>
      <w:pPr>
        <w:pStyle w:val="Requirement"/>
      </w:pPr>
      <w:r>
        <w:rPr>
          <w:b/>
        </w:rPr>
        <w:t>M07.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36–37.</w:t>
      </w:r>
    </w:p>
    <w:p>
      <w:pPr>
        <w:pStyle w:val="Heading3"/>
      </w:pPr>
      <w:r>
        <w:t>M08 — Model ownership and defined lifecycle roles</w:t>
      </w:r>
    </w:p>
    <w:p>
      <w:pPr>
        <w:pStyle w:val="Requirement"/>
      </w:pPr>
      <w:r>
        <w:rPr>
          <w:b/>
        </w:rPr>
        <w:t>M08. An APRA-regulated entity must assign, for each model, a model owner accountable for the model throughout its lifecycle, and must define the roles, responsibilities and required independence of developers, validators, approvers, users and those responsible for monitoring. Where development, validation, approval or monitoring is performed by another member of the entity's group or by a related body corporate, the entity must satisfy itself that the work meets the requirements of this Prudential Standard and must retain the ability to direct, challenge and obtain evidence of it.</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38–39.</w:t>
      </w:r>
    </w:p>
    <w:p>
      <w:pPr>
        <w:pStyle w:val="Heading2"/>
      </w:pPr>
      <w:r>
        <w:t>4. Capability and independence</w:t>
      </w:r>
    </w:p>
    <w:p>
      <w:pPr>
        <w:pStyle w:val="Heading3"/>
      </w:pPr>
      <w:r>
        <w:t>M09 — Capability, resourcing and independence</w:t>
      </w:r>
    </w:p>
    <w:p>
      <w:pPr>
        <w:pStyle w:val="Requirement"/>
      </w:pPr>
      <w:r>
        <w:rPr>
          <w:b/>
        </w:rPr>
        <w:t>M09.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40–42.</w:t>
      </w:r>
    </w:p>
    <w:p>
      <w:pPr>
        <w:pStyle w:val="Heading1"/>
      </w:pPr>
      <w:r>
        <w:t>Part C — Framework, appetite and policy</w:t>
      </w:r>
    </w:p>
    <w:p>
      <w:pPr>
        <w:pStyle w:val="Heading2"/>
      </w:pPr>
      <w:r>
        <w:t>5. Model risk management framework</w:t>
      </w:r>
    </w:p>
    <w:p>
      <w:pPr>
        <w:pStyle w:val="Heading3"/>
      </w:pPr>
      <w:r>
        <w:t>M10 — Integrated model risk management framework</w:t>
      </w:r>
    </w:p>
    <w:p>
      <w:pPr>
        <w:pStyle w:val="Requirement"/>
      </w:pPr>
      <w:r>
        <w:rPr>
          <w:b/>
        </w:rPr>
        <w:t>M10.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43–44.</w:t>
      </w:r>
    </w:p>
    <w:p>
      <w:pPr>
        <w:pStyle w:val="Heading3"/>
      </w:pPr>
      <w:r>
        <w:t>M11 — Model risk appetite and limits</w:t>
      </w:r>
    </w:p>
    <w:p>
      <w:pPr>
        <w:pStyle w:val="Requirement"/>
      </w:pPr>
      <w:r>
        <w:rPr>
          <w:b/>
        </w:rPr>
        <w:t>M11.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45–47.</w:t>
      </w:r>
    </w:p>
    <w:p>
      <w:pPr>
        <w:pStyle w:val="Heading3"/>
      </w:pPr>
      <w:r>
        <w:t>M12 — Policy, standards and consistency of application</w:t>
      </w:r>
    </w:p>
    <w:p>
      <w:pPr>
        <w:pStyle w:val="Requirement"/>
      </w:pPr>
      <w:r>
        <w:rPr>
          <w:b/>
        </w:rPr>
        <w:t>M12.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48–49.</w:t>
      </w:r>
    </w:p>
    <w:p>
      <w:pPr>
        <w:pStyle w:val="Heading2"/>
      </w:pPr>
      <w:r>
        <w:t>6. Reporting and escalation</w:t>
      </w:r>
    </w:p>
    <w:p>
      <w:pPr>
        <w:pStyle w:val="Heading3"/>
      </w:pPr>
      <w:r>
        <w:t>M13 — Management information and escalation</w:t>
      </w:r>
    </w:p>
    <w:p>
      <w:pPr>
        <w:pStyle w:val="Requirement"/>
      </w:pPr>
      <w:r>
        <w:rPr>
          <w:b/>
        </w:rPr>
        <w:t>M13.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33–34, 87.</w:t>
      </w:r>
    </w:p>
    <w:p>
      <w:pPr>
        <w:pStyle w:val="Heading1"/>
      </w:pPr>
      <w:r>
        <w:t>Part D — Identification, inventory and tiering</w:t>
      </w:r>
    </w:p>
    <w:p>
      <w:pPr>
        <w:pStyle w:val="Heading2"/>
      </w:pPr>
      <w:r>
        <w:t>7. Inventory</w:t>
      </w:r>
    </w:p>
    <w:p>
      <w:pPr>
        <w:pStyle w:val="Heading3"/>
      </w:pPr>
      <w:r>
        <w:t>M14 — Model identification and enterprise inventory</w:t>
      </w:r>
    </w:p>
    <w:p>
      <w:pPr>
        <w:pStyle w:val="Requirement"/>
      </w:pPr>
      <w:r>
        <w:rPr>
          <w:b/>
        </w:rPr>
        <w:t>M14. An APRA-regulated entity must maintain an enterprise-wide inventory of its models and must maintain processes designed to ensure that the inventory is complete, accurate and current, including models supplied by third parties, models embedded in acquired systems, models under development and models that have been retired but whose outputs remain in use, recording at least the fields set out in Annex B.</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24, 50–54.</w:t>
      </w:r>
    </w:p>
    <w:p>
      <w:pPr>
        <w:pStyle w:val="Heading2"/>
      </w:pPr>
      <w:r>
        <w:t>8. Tiering</w:t>
      </w:r>
    </w:p>
    <w:p>
      <w:pPr>
        <w:pStyle w:val="Heading3"/>
      </w:pPr>
      <w:r>
        <w:t>M15 — Model risk tiering</w:t>
      </w:r>
    </w:p>
    <w:p>
      <w:pPr>
        <w:pStyle w:val="Requirement"/>
      </w:pPr>
      <w:r>
        <w:rPr>
          <w:b/>
        </w:rPr>
        <w:t>M15.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M16 — Reassessment and trigger events</w:t>
      </w:r>
    </w:p>
    <w:p>
      <w:pPr>
        <w:pStyle w:val="Requirement"/>
      </w:pPr>
      <w:r>
        <w:rPr>
          <w:b/>
        </w:rPr>
        <w:t>M16.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27, 30–31.</w:t>
      </w:r>
    </w:p>
    <w:p>
      <w:pPr>
        <w:pStyle w:val="Heading1"/>
      </w:pPr>
      <w:r>
        <w:t>Part E — Development, data and documentation</w:t>
      </w:r>
    </w:p>
    <w:p>
      <w:pPr>
        <w:pStyle w:val="Heading2"/>
      </w:pPr>
      <w:r>
        <w:t>9. Development</w:t>
      </w:r>
    </w:p>
    <w:p>
      <w:pPr>
        <w:pStyle w:val="Heading3"/>
      </w:pPr>
      <w:r>
        <w:t>M17 — Conceptual soundness and development standards</w:t>
      </w:r>
    </w:p>
    <w:p>
      <w:pPr>
        <w:pStyle w:val="Requirement"/>
      </w:pPr>
      <w:r>
        <w:rPr>
          <w:b/>
        </w:rPr>
        <w:t>M17.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55–58.</w:t>
      </w:r>
    </w:p>
    <w:p>
      <w:pPr>
        <w:pStyle w:val="Heading2"/>
      </w:pPr>
      <w:r>
        <w:t>10. Data</w:t>
      </w:r>
    </w:p>
    <w:p>
      <w:pPr>
        <w:pStyle w:val="Heading3"/>
      </w:pPr>
      <w:r>
        <w:t>M18 — Data quality, provenance and appropriateness</w:t>
      </w:r>
    </w:p>
    <w:p>
      <w:pPr>
        <w:pStyle w:val="Requirement"/>
      </w:pPr>
      <w:r>
        <w:rPr>
          <w:b/>
        </w:rPr>
        <w:t>M18.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59–62.</w:t>
      </w:r>
    </w:p>
    <w:p>
      <w:pPr>
        <w:pStyle w:val="Heading2"/>
      </w:pPr>
      <w:r>
        <w:t>11. Documentation</w:t>
      </w:r>
    </w:p>
    <w:p>
      <w:pPr>
        <w:pStyle w:val="Heading3"/>
      </w:pPr>
      <w:r>
        <w:t>M19 — Documentation sufficient for independent reconstruction</w:t>
      </w:r>
    </w:p>
    <w:p>
      <w:pPr>
        <w:pStyle w:val="Requirement"/>
      </w:pPr>
      <w:r>
        <w:rPr>
          <w:b/>
        </w:rPr>
        <w:t>M19.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63–64.</w:t>
      </w:r>
    </w:p>
    <w:p>
      <w:pPr>
        <w:pStyle w:val="Heading1"/>
      </w:pPr>
      <w:r>
        <w:t>Part F — Testing, validation and approval</w:t>
      </w:r>
    </w:p>
    <w:p>
      <w:pPr>
        <w:pStyle w:val="Heading2"/>
      </w:pPr>
      <w:r>
        <w:t>12. Testing before use</w:t>
      </w:r>
    </w:p>
    <w:p>
      <w:pPr>
        <w:pStyle w:val="Heading3"/>
      </w:pPr>
      <w:r>
        <w:t>M20 — Pre-implementation testing</w:t>
      </w:r>
    </w:p>
    <w:p>
      <w:pPr>
        <w:pStyle w:val="Requirement"/>
      </w:pPr>
      <w:r>
        <w:rPr>
          <w:b/>
        </w:rPr>
        <w:t>M20.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65–67.</w:t>
      </w:r>
    </w:p>
    <w:p>
      <w:pPr>
        <w:pStyle w:val="Heading2"/>
      </w:pPr>
      <w:r>
        <w:t>13. Independent validation</w:t>
      </w:r>
    </w:p>
    <w:p>
      <w:pPr>
        <w:pStyle w:val="Heading3"/>
      </w:pPr>
      <w:r>
        <w:t>M21 — Independent validation</w:t>
      </w:r>
    </w:p>
    <w:p>
      <w:pPr>
        <w:pStyle w:val="Requirement"/>
      </w:pPr>
      <w:r>
        <w:rPr>
          <w:b/>
        </w:rPr>
        <w:t>M21.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 Where an urgent business need requires a model to be used before independent validation is complete, the entity must approve that use at an authority commensurate with the model's tier, apply compensating controls, inform users of the limitation and complete the validation within a defined period.</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75.</w:t>
      </w:r>
    </w:p>
    <w:p>
      <w:pPr>
        <w:pStyle w:val="Heading3"/>
      </w:pPr>
      <w:r>
        <w:t>M22 — Scope of validation</w:t>
      </w:r>
    </w:p>
    <w:p>
      <w:pPr>
        <w:pStyle w:val="Requirement"/>
      </w:pPr>
      <w:r>
        <w:rPr>
          <w:b/>
        </w:rPr>
        <w:t>M22. Validation of a model must address conceptual soundness, outcomes analysis comparing model outputs with corresponding actual outcomes to the extent those outcomes are observable and sufficient for the purpose, and ongoing model monitoring, and must reach an explicit conclusion on the model's fitness for its intended use together with any conditions or limitations. Where outcomes are not observable, the entity must apply alternative evidence of performance, including benchmarking, sensitivity analysis and assessment of assumptions.</w:t>
      </w:r>
    </w:p>
    <w:p>
      <w:pPr>
        <w:pStyle w:val="Guidance"/>
      </w:pPr>
      <w:r>
        <w:t>These three components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68–71.</w:t>
      </w:r>
    </w:p>
    <w:p>
      <w:pPr>
        <w:pStyle w:val="Heading3"/>
      </w:pPr>
      <w:r>
        <w:t>M23 — Effective challenge</w:t>
      </w:r>
    </w:p>
    <w:p>
      <w:pPr>
        <w:pStyle w:val="Requirement"/>
      </w:pPr>
      <w:r>
        <w:rPr>
          <w:b/>
        </w:rPr>
        <w:t>M23.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The three attributes operate together: expertise to identify the limitation, sufficient independence to reach an objective view of it, and the organisational standing and influence to have it acted on. Removing any one defeats the control while leaving its documentation intact. Incentives are a practical condition of the third attribute: a challenger whose workload, progression or remuneration depends on models being approved will not exercise influence for long.</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72–74.</w:t>
      </w:r>
    </w:p>
    <w:p>
      <w:pPr>
        <w:pStyle w:val="Heading2"/>
      </w:pPr>
      <w:r>
        <w:t>14. Approval</w:t>
      </w:r>
    </w:p>
    <w:p>
      <w:pPr>
        <w:pStyle w:val="Heading3"/>
      </w:pPr>
      <w:r>
        <w:t>M24 — Approval and conditions of use</w:t>
      </w:r>
    </w:p>
    <w:p>
      <w:pPr>
        <w:pStyle w:val="Requirement"/>
      </w:pPr>
      <w:r>
        <w:rPr>
          <w:b/>
        </w:rPr>
        <w:t>M24.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76–78.</w:t>
      </w:r>
    </w:p>
    <w:p>
      <w:pPr>
        <w:pStyle w:val="Heading1"/>
      </w:pPr>
      <w:r>
        <w:t>Part G — Implementation, use and change</w:t>
      </w:r>
    </w:p>
    <w:p>
      <w:pPr>
        <w:pStyle w:val="Heading2"/>
      </w:pPr>
      <w:r>
        <w:t>15. Implementation</w:t>
      </w:r>
    </w:p>
    <w:p>
      <w:pPr>
        <w:pStyle w:val="Heading3"/>
      </w:pPr>
      <w:r>
        <w:t>M25 — Implementation controls</w:t>
      </w:r>
    </w:p>
    <w:p>
      <w:pPr>
        <w:pStyle w:val="Requirement"/>
      </w:pPr>
      <w:r>
        <w:rPr>
          <w:b/>
        </w:rPr>
        <w:t>M25.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70, 79–80.</w:t>
      </w:r>
    </w:p>
    <w:p>
      <w:pPr>
        <w:pStyle w:val="Heading2"/>
      </w:pPr>
      <w:r>
        <w:t>16. Change</w:t>
      </w:r>
    </w:p>
    <w:p>
      <w:pPr>
        <w:pStyle w:val="Heading3"/>
      </w:pPr>
      <w:r>
        <w:t>M26 — Change management and re-approval</w:t>
      </w:r>
    </w:p>
    <w:p>
      <w:pPr>
        <w:pStyle w:val="Requirement"/>
      </w:pPr>
      <w:r>
        <w:rPr>
          <w:b/>
        </w:rPr>
        <w:t>M26.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81–82, 105.</w:t>
      </w:r>
    </w:p>
    <w:p>
      <w:pPr>
        <w:pStyle w:val="Heading2"/>
      </w:pPr>
      <w:r>
        <w:t>17. Use</w:t>
      </w:r>
    </w:p>
    <w:p>
      <w:pPr>
        <w:pStyle w:val="Heading3"/>
      </w:pPr>
      <w:r>
        <w:t>M27 — Use consistent with approved purpose</w:t>
      </w:r>
    </w:p>
    <w:p>
      <w:pPr>
        <w:pStyle w:val="Requirement"/>
      </w:pPr>
      <w:r>
        <w:rPr>
          <w:b/>
        </w:rPr>
        <w:t>M27.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83–84.</w:t>
      </w:r>
    </w:p>
    <w:p>
      <w:pPr>
        <w:pStyle w:val="Heading3"/>
      </w:pPr>
      <w:r>
        <w:t>M28 — Overlays, adjustments and expert judgement</w:t>
      </w:r>
    </w:p>
    <w:p>
      <w:pPr>
        <w:pStyle w:val="Requirement"/>
      </w:pPr>
      <w:r>
        <w:rPr>
          <w:b/>
        </w:rPr>
        <w:t>M28.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85–87.</w:t>
      </w:r>
    </w:p>
    <w:p>
      <w:pPr>
        <w:pStyle w:val="Heading2"/>
      </w:pPr>
      <w:r>
        <w:t>18. Monitoring</w:t>
      </w:r>
    </w:p>
    <w:p>
      <w:pPr>
        <w:pStyle w:val="Heading3"/>
      </w:pPr>
      <w:r>
        <w:t>M29 — Ongoing performance monitoring</w:t>
      </w:r>
    </w:p>
    <w:p>
      <w:pPr>
        <w:pStyle w:val="Requirement"/>
      </w:pPr>
      <w:r>
        <w:rPr>
          <w:b/>
        </w:rPr>
        <w:t>M29.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88–90.</w:t>
      </w:r>
    </w:p>
    <w:p>
      <w:pPr>
        <w:pStyle w:val="Heading3"/>
      </w:pPr>
      <w:r>
        <w:t>M30 — Limitations, compensating controls and remediation</w:t>
      </w:r>
    </w:p>
    <w:p>
      <w:pPr>
        <w:pStyle w:val="Requirement"/>
      </w:pPr>
      <w:r>
        <w:rPr>
          <w:b/>
        </w:rPr>
        <w:t>M30. An APRA-regulated entity must record known model limitations and deficiencies, apply compensating controls where a limitation is material and not immediately resolvable, track remediation to completion against owners and dates, and escalate overdue or unresolved material findings. On identifying a material model error or failure, the entity must determine its cause, assess whether the same weakness affects other models, and assess and address the effect on decisions, figures, balances and amounts attributable to customers or beneficiaries that the model has already produced.</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78, 91–92.</w:t>
      </w:r>
    </w:p>
    <w:p>
      <w:pPr>
        <w:pStyle w:val="Heading2"/>
      </w:pPr>
      <w:r>
        <w:t>19. Retirement</w:t>
      </w:r>
    </w:p>
    <w:p>
      <w:pPr>
        <w:pStyle w:val="Heading3"/>
      </w:pPr>
      <w:r>
        <w:t>M31 — Restriction, suspension and decommissioning</w:t>
      </w:r>
    </w:p>
    <w:p>
      <w:pPr>
        <w:pStyle w:val="Requirement"/>
      </w:pPr>
      <w:r>
        <w:rPr>
          <w:b/>
        </w:rPr>
        <w:t>M31. An APRA-regulated entity must be able to restrict, suspend, replace or decommission a model that is unfit for its purpose, and must manage decommissioning so that dependent processes, downstream models and outputs that remain in force are addressed and records are retained. Where a model in the entity's highest risk tier is material to a decision or figure, the entity must identify and periodically assess the alternative basis on which that decision or figure would be determined if the model were unavailable.</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93–94.</w:t>
      </w:r>
    </w:p>
    <w:p>
      <w:pPr>
        <w:pStyle w:val="Heading1"/>
      </w:pPr>
      <w:r>
        <w:t>Part H — Third-party and AI models</w:t>
      </w:r>
    </w:p>
    <w:p>
      <w:pPr>
        <w:pStyle w:val="Heading2"/>
      </w:pPr>
      <w:r>
        <w:t>20. Third-party models</w:t>
      </w:r>
    </w:p>
    <w:p>
      <w:pPr>
        <w:pStyle w:val="Heading3"/>
      </w:pPr>
      <w:r>
        <w:t>M32 — Vendor and externally developed models</w:t>
      </w:r>
    </w:p>
    <w:p>
      <w:pPr>
        <w:pStyle w:val="Requirement"/>
      </w:pPr>
      <w:r>
        <w:rPr>
          <w:b/>
        </w:rPr>
        <w:t>M32. An APRA-regulated entity must apply this Prudential Standard to models supplied, hosted or operated by third parties, and must obtain information sufficient to understand the model's design, data, assumptions, limitations and performance. Where the entity cannot itself discharge an obligation in this Prudential Standard in relation to a third-party model, it must obtain equivalent assurance from the provider or implement compensating controls, and must record which obligations are met in that way.</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75, 95–97.</w:t>
      </w:r>
    </w:p>
    <w:p>
      <w:pPr>
        <w:pStyle w:val="Heading3"/>
      </w:pPr>
      <w:r>
        <w:t>M33 — Information rights, concentration and substitutability</w:t>
      </w:r>
    </w:p>
    <w:p>
      <w:pPr>
        <w:pStyle w:val="Requirement"/>
      </w:pPr>
      <w:r>
        <w:rPr>
          <w:b/>
        </w:rPr>
        <w:t>M33.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in its own reliance on models, data sources, platforms and providers, including where that reliance is shared with other entities. Where an arrangement is already on foot at the commencement of this Prudential Standard, this paragraph applies from the earlier of the next renewal or material variation of that arrangement and the end of the transition period determined by APRA.</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98–100.</w:t>
      </w:r>
    </w:p>
    <w:p>
      <w:pPr>
        <w:pStyle w:val="Heading2"/>
      </w:pPr>
      <w:r>
        <w:t>21. AI and machine learning models</w:t>
      </w:r>
    </w:p>
    <w:p>
      <w:pPr>
        <w:pStyle w:val="Heading3"/>
      </w:pPr>
      <w:r>
        <w:t>M34 — Additional controls for AI and machine learning models</w:t>
      </w:r>
    </w:p>
    <w:p>
      <w:pPr>
        <w:pStyle w:val="Requirement"/>
      </w:pPr>
      <w:r>
        <w:rPr>
          <w:b/>
        </w:rPr>
        <w:t>M34. Where a model uses artificial intelligence or machine learning techniques, an APRA-regulated entity must address the additional risks arising from those techniques, including limited explainability, sensitivity to data drift, instability under retraining, feature leakage, systematic differences in model performance across segments of the population to which the model is applied,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62, 101–106.</w:t>
      </w:r>
    </w:p>
    <w:p>
      <w:pPr>
        <w:pStyle w:val="Heading3"/>
      </w:pPr>
      <w:r>
        <w:t>M35 — Boundary with the AI risk management framework</w:t>
      </w:r>
    </w:p>
    <w:p>
      <w:pPr>
        <w:pStyle w:val="Requirement"/>
      </w:pPr>
      <w:r>
        <w:rPr>
          <w:b/>
        </w:rPr>
        <w:t>M35. An APRA-regulated entity must apply this Prudential Standard to any artificial intelligence system that meets the definition of a model, must apply its artificial intelligence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107–109.</w:t>
      </w:r>
    </w:p>
    <w:p>
      <w:pPr>
        <w:pStyle w:val="Heading1"/>
      </w:pPr>
      <w:r>
        <w:t>Part I — Specialist model classes</w:t>
      </w:r>
    </w:p>
    <w:p>
      <w:pPr>
        <w:pStyle w:val="Heading2"/>
      </w:pPr>
      <w:r>
        <w:t>22. Regulatory capital models</w:t>
      </w:r>
    </w:p>
    <w:p>
      <w:pPr>
        <w:pStyle w:val="Heading3"/>
      </w:pPr>
      <w:r>
        <w:t>M36 — Models used to determine regulatory capital</w:t>
      </w:r>
    </w:p>
    <w:p>
      <w:pPr>
        <w:pStyle w:val="Requirement"/>
      </w:pPr>
      <w:r>
        <w:rPr>
          <w:b/>
        </w:rPr>
        <w:t>M36.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prudential standard requires that approval, and must ensure the model is used in the entity's internal risk management to the extent the applicable prudential standard so requires.</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110–111.</w:t>
      </w:r>
    </w:p>
    <w:p>
      <w:pPr>
        <w:pStyle w:val="Heading2"/>
      </w:pPr>
      <w:r>
        <w:t>23. Valuation and financial reporting models</w:t>
      </w:r>
    </w:p>
    <w:p>
      <w:pPr>
        <w:pStyle w:val="Heading3"/>
      </w:pPr>
      <w:r>
        <w:t>M37 — Valuation and financial reporting models</w:t>
      </w:r>
    </w:p>
    <w:p>
      <w:pPr>
        <w:pStyle w:val="Requirement"/>
      </w:pPr>
      <w:r>
        <w:rPr>
          <w:b/>
        </w:rPr>
        <w:t>M37.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112–113.</w:t>
      </w:r>
    </w:p>
    <w:p>
      <w:pPr>
        <w:pStyle w:val="Heading2"/>
      </w:pPr>
      <w:r>
        <w:t>24. Actuarial and insurance models</w:t>
      </w:r>
    </w:p>
    <w:p>
      <w:pPr>
        <w:pStyle w:val="Heading3"/>
      </w:pPr>
      <w:r>
        <w:t>M38 — Actuarial, reserving and insurance liability models</w:t>
      </w:r>
    </w:p>
    <w:p>
      <w:pPr>
        <w:pStyle w:val="Requirement"/>
      </w:pPr>
      <w:r>
        <w:rPr>
          <w:b/>
        </w:rPr>
        <w:t>M38. An APRA-regulated insurer, including a private health insurer, must apply this Prudential Standard to models used to determine insurance liabilities, including deferred claims liabilities and, for a private health insurer, amounts arising under the risk equalisation arrangements, and to models used to determine premiums, reinsurance recoveries and capital, and must ensure that the role of the Appointed Actuary and this Prudential Standard's validation requirements operate together without gaps in independent review. Independent review performed under CPS 320 and the sectoral actuarial standards may satisfy the independent validation requirement for an actuarial model to the extent the reviewer was not responsible for developing the model or setting its assumptions, and the insurer must identify and separately address any element not so covered.</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114–115.</w:t>
      </w:r>
    </w:p>
    <w:p>
      <w:pPr>
        <w:pStyle w:val="Heading2"/>
      </w:pPr>
      <w:r>
        <w:t>25. Superannuation models</w:t>
      </w:r>
    </w:p>
    <w:p>
      <w:pPr>
        <w:pStyle w:val="Heading3"/>
      </w:pPr>
      <w:r>
        <w:t>M39 — Models used by RSE licensees</w:t>
      </w:r>
    </w:p>
    <w:p>
      <w:pPr>
        <w:pStyle w:val="Requirement"/>
      </w:pPr>
      <w:r>
        <w:rPr>
          <w:b/>
        </w:rPr>
        <w:t>M39.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116–117.</w:t>
      </w:r>
    </w:p>
    <w:p>
      <w:pPr>
        <w:pStyle w:val="Heading2"/>
      </w:pPr>
      <w:r>
        <w:t>26. Stress testing and scenario models</w:t>
      </w:r>
    </w:p>
    <w:p>
      <w:pPr>
        <w:pStyle w:val="Heading3"/>
      </w:pPr>
      <w:r>
        <w:t>M40 — Stress testing, scenario and capital planning models</w:t>
      </w:r>
    </w:p>
    <w:p>
      <w:pPr>
        <w:pStyle w:val="Requirement"/>
      </w:pPr>
      <w:r>
        <w:rPr>
          <w:b/>
        </w:rPr>
        <w:t>M40.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118–119.</w:t>
      </w:r>
    </w:p>
    <w:p>
      <w:pPr>
        <w:pStyle w:val="Heading1"/>
      </w:pPr>
      <w:r>
        <w:t>Part J — Aggregate risk, records and assurance</w:t>
      </w:r>
    </w:p>
    <w:p>
      <w:pPr>
        <w:pStyle w:val="Heading2"/>
      </w:pPr>
      <w:r>
        <w:t>27. Aggregate model risk</w:t>
      </w:r>
    </w:p>
    <w:p>
      <w:pPr>
        <w:pStyle w:val="Heading3"/>
      </w:pPr>
      <w:r>
        <w:t>M41 — Aggregate assessment of model risk</w:t>
      </w:r>
    </w:p>
    <w:p>
      <w:pPr>
        <w:pStyle w:val="Requirement"/>
      </w:pPr>
      <w:r>
        <w:rPr>
          <w:b/>
        </w:rPr>
        <w:t>M41. An APRA-regulated entity must assess model risk in aggregate across its model portfolio, must consider the effect of that aggregate risk in its internal capital adequacy assessment or, for an RSE licensee, in the assessment of operational risk that informs the operational risk financial requirement target amount determined under SPS 114,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47, 120–122.</w:t>
      </w:r>
    </w:p>
    <w:p>
      <w:pPr>
        <w:pStyle w:val="Heading2"/>
      </w:pPr>
      <w:r>
        <w:t>28. Records</w:t>
      </w:r>
    </w:p>
    <w:p>
      <w:pPr>
        <w:pStyle w:val="Heading3"/>
      </w:pPr>
      <w:r>
        <w:t>M42 — Records and reconstructability</w:t>
      </w:r>
    </w:p>
    <w:p>
      <w:pPr>
        <w:pStyle w:val="Requirement"/>
      </w:pPr>
      <w:r>
        <w:rPr>
          <w:b/>
        </w:rPr>
        <w:t>M42.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123–124.</w:t>
      </w:r>
    </w:p>
    <w:p>
      <w:pPr>
        <w:pStyle w:val="Heading2"/>
      </w:pPr>
      <w:r>
        <w:t>29. Assurance</w:t>
      </w:r>
    </w:p>
    <w:p>
      <w:pPr>
        <w:pStyle w:val="Heading3"/>
      </w:pPr>
      <w:r>
        <w:t>M43 — Internal audit and independent assurance</w:t>
      </w:r>
    </w:p>
    <w:p>
      <w:pPr>
        <w:pStyle w:val="Requirement"/>
      </w:pPr>
      <w:r>
        <w:rPr>
          <w:b/>
        </w:rPr>
        <w:t>M43.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74, 125–126.</w:t>
      </w:r>
    </w:p>
    <w:p>
      <w:pPr>
        <w:pStyle w:val="Heading2"/>
      </w:pPr>
      <w:r>
        <w:t>30. APRA engagement</w:t>
      </w:r>
    </w:p>
    <w:p>
      <w:pPr>
        <w:pStyle w:val="Heading3"/>
      </w:pPr>
      <w:r>
        <w:t>M44 — Notification and provision of information to APRA</w:t>
      </w:r>
    </w:p>
    <w:p>
      <w:pPr>
        <w:pStyle w:val="Requirement"/>
      </w:pPr>
      <w:r>
        <w:rPr>
          <w:b/>
        </w:rPr>
        <w:t>M44. An APRA-regulated entity must notify APRA as soon as practicable, and within the timeframe applicable under CPS 230 or CPS 234 where the event also falls within those standards, of a model failure or model risk event that has, or is likely to have, a material impact on its financial position, on amounts credited to or debited from the accounts of its customers or beneficiaries, on its regulatory reporting or on its ability to meet its prudential obligations, and must provide APRA with information relating to its models and model risk management where APRA requires it in writing.</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127–128.</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that is used for a material purpose, or whose failure or misuse could otherwise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and objective analysis by persons with the expertise to identify model limitations, sufficient independence to maintain objectivity, and the organisational standing and influence to effect change.</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De minimis model</w:t>
            </w:r>
          </w:p>
        </w:tc>
        <w:tc>
          <w:tcPr>
            <w:tcW w:type="dxa" w:w="7143"/>
            <w:shd w:val="clear" w:color="auto" w:fill="F4F6FA"/>
          </w:tcPr>
          <w:p>
            <w:pPr>
              <w:pStyle w:val="TableText"/>
            </w:pPr>
            <w:r>
              <w:rPr>
                <w:rFonts w:ascii="Arial" w:hAnsi="Arial"/>
                <w:sz w:val="17"/>
              </w:rPr>
              <w:t>A model that the entity has determined, and documented, could not have a material effect on its financial position, its regulatory obligations, its critical operations, or amounts or entitlements attributable to its customers or beneficiaries if it were wrong or misused. A de minimis model remains subject to identification, inventory, ownership, classification and reassessment.</w:t>
            </w:r>
          </w:p>
        </w:tc>
      </w:tr>
      <w:tr>
        <w:tc>
          <w:tcPr>
            <w:tcW w:type="dxa" w:w="2268"/>
          </w:tcPr>
          <w:p>
            <w:pPr>
              <w:pStyle w:val="TableText"/>
            </w:pPr>
            <w:r>
              <w:rPr>
                <w:rFonts w:ascii="Arial" w:hAnsi="Arial"/>
                <w:sz w:val="17"/>
              </w:rPr>
              <w:t>Material purpose</w:t>
            </w:r>
          </w:p>
        </w:tc>
        <w:tc>
          <w:tcPr>
            <w:tcW w:type="dxa" w:w="7143"/>
          </w:tcPr>
          <w:p>
            <w:pPr>
              <w:pStyle w:val="TableText"/>
            </w:pPr>
            <w:r>
              <w:rPr>
                <w:rFonts w:ascii="Arial" w:hAnsi="Arial"/>
                <w:sz w:val="17"/>
              </w:rPr>
              <w:t>A purpose where an incorrect or misused model output could have a material effect on the entity's financial position, its regulatory obligations, its critical operations, or amounts or entitlements attributable to its customers or beneficiaries.</w:t>
            </w:r>
          </w:p>
        </w:tc>
      </w:tr>
      <w:tr>
        <w:tc>
          <w:tcPr>
            <w:tcW w:type="dxa" w:w="2268"/>
            <w:shd w:val="clear" w:color="auto" w:fill="F4F6FA"/>
          </w:tcPr>
          <w:p>
            <w:pPr>
              <w:pStyle w:val="TableText"/>
            </w:pPr>
            <w:r>
              <w:rPr>
                <w:rFonts w:ascii="Arial" w:hAnsi="Arial"/>
                <w:sz w:val="17"/>
              </w:rPr>
              <w:t>Ongoing model monitoring</w:t>
            </w:r>
          </w:p>
        </w:tc>
        <w:tc>
          <w:tcPr>
            <w:tcW w:type="dxa" w:w="7143"/>
            <w:shd w:val="clear" w:color="auto" w:fill="F4F6FA"/>
          </w:tcPr>
          <w:p>
            <w:pPr>
              <w:pStyle w:val="TableText"/>
            </w:pPr>
            <w:r>
              <w:rPr>
                <w:rFonts w:ascii="Arial" w:hAnsi="Arial"/>
                <w:sz w:val="17"/>
              </w:rPr>
              <w:t>Evaluation of whether a model continues to perform as expected given changes in products, exposures, activities, customers, data relevance or market conditions.</w:t>
            </w:r>
          </w:p>
        </w:tc>
      </w:tr>
      <w:tr>
        <w:tc>
          <w:tcPr>
            <w:tcW w:type="dxa" w:w="2268"/>
          </w:tcPr>
          <w:p>
            <w:pPr>
              <w:pStyle w:val="TableText"/>
            </w:pPr>
            <w:r>
              <w:rPr>
                <w:rFonts w:ascii="Arial" w:hAnsi="Arial"/>
                <w:sz w:val="17"/>
              </w:rPr>
              <w:t>Independent price verification</w:t>
            </w:r>
          </w:p>
        </w:tc>
        <w:tc>
          <w:tcPr>
            <w:tcW w:type="dxa" w:w="7143"/>
          </w:tcPr>
          <w:p>
            <w:pPr>
              <w:pStyle w:val="TableText"/>
            </w:pPr>
            <w:r>
              <w:rPr>
                <w:rFonts w:ascii="Arial" w:hAnsi="Arial"/>
                <w:sz w:val="17"/>
              </w:rPr>
              <w:t>Verification of valuation inputs and prices by a function independent of the business that originated the position, distinct from validation of the valuation model itself.</w:t>
            </w:r>
          </w:p>
        </w:tc>
      </w:tr>
      <w:tr>
        <w:tc>
          <w:tcPr>
            <w:tcW w:type="dxa" w:w="2268"/>
            <w:shd w:val="clear" w:color="auto" w:fill="F4F6FA"/>
          </w:tcPr>
          <w:p>
            <w:pPr>
              <w:pStyle w:val="TableText"/>
            </w:pPr>
            <w:r>
              <w:rPr>
                <w:rFonts w:ascii="Arial" w:hAnsi="Arial"/>
                <w:sz w:val="17"/>
              </w:rPr>
              <w:t>Model failure</w:t>
            </w:r>
          </w:p>
        </w:tc>
        <w:tc>
          <w:tcPr>
            <w:tcW w:type="dxa" w:w="7143"/>
            <w:shd w:val="clear" w:color="auto" w:fill="F4F6FA"/>
          </w:tcPr>
          <w:p>
            <w:pPr>
              <w:pStyle w:val="TableText"/>
            </w:pPr>
            <w:r>
              <w:rPr>
                <w:rFonts w:ascii="Arial" w:hAnsi="Arial"/>
                <w:sz w:val="17"/>
              </w:rPr>
              <w:t>An event in which a model produces materially incorrect output, is materially misused, or becomes unavailable, in each case in circumstances affecting a material purpose.</w:t>
            </w:r>
          </w:p>
        </w:tc>
      </w:tr>
      <w:tr>
        <w:tc>
          <w:tcPr>
            <w:tcW w:type="dxa" w:w="2268"/>
          </w:tcPr>
          <w:p>
            <w:pPr>
              <w:pStyle w:val="TableText"/>
            </w:pPr>
            <w:r>
              <w:rPr>
                <w:rFonts w:ascii="Arial" w:hAnsi="Arial"/>
                <w:sz w:val="17"/>
              </w:rPr>
              <w:t>Artificial intelligence system</w:t>
            </w:r>
          </w:p>
        </w:tc>
        <w:tc>
          <w:tcPr>
            <w:tcW w:type="dxa" w:w="7143"/>
          </w:tcPr>
          <w:p>
            <w:pPr>
              <w:pStyle w:val="TableText"/>
            </w:pPr>
            <w:r>
              <w:rPr>
                <w:rFonts w:ascii="Arial" w:hAnsi="Arial"/>
                <w:sz w:val="17"/>
              </w:rPr>
              <w:t>A machine-based system that infers from inputs how to generate outputs such as predictions, content, recommendations, decisions or actions. An artificial intelligence system that produces quantitative estimates relied upon for a material purpose is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M14 requires the enterprise model inventory to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or a price.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Principle 1.1(a) sets out a definition firms should adopt as the basis for the scope of their framework, and expects consideration of quantitative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De minimis and scope relief</w:t>
            </w:r>
          </w:p>
        </w:tc>
        <w:tc>
          <w:tcPr>
            <w:tcW w:type="dxa" w:w="1757"/>
            <w:shd w:val="clear" w:color="auto" w:fill="F4F6FA"/>
          </w:tcPr>
          <w:p>
            <w:pPr>
              <w:pStyle w:val="TableText"/>
            </w:pPr>
            <w:r>
              <w:rPr>
                <w:rFonts w:ascii="Arial" w:hAnsi="Arial"/>
                <w:sz w:val="14"/>
              </w:rPr>
              <w:t>Express de minimis determination at model level, confined to identification, inventory, ownership, classification and reassessment, with prohibited classes, an aggregate test and an anti-disaggregation limb.</w:t>
            </w:r>
          </w:p>
        </w:tc>
        <w:tc>
          <w:tcPr>
            <w:tcW w:type="dxa" w:w="1701"/>
            <w:shd w:val="clear" w:color="auto" w:fill="F4F6FA"/>
          </w:tcPr>
          <w:p>
            <w:pPr>
              <w:pStyle w:val="TableText"/>
            </w:pPr>
            <w:r>
              <w:rPr>
                <w:rFonts w:ascii="Arial" w:hAnsi="Arial"/>
                <w:sz w:val="14"/>
              </w:rPr>
              <w:t>Models deemed immaterial may attract only identification and monitoring of the conditions under which their use could become material; the guidance also applies mainly above a $30bn entity threshold.</w:t>
            </w:r>
          </w:p>
        </w:tc>
        <w:tc>
          <w:tcPr>
            <w:tcW w:type="dxa" w:w="1701"/>
            <w:shd w:val="clear" w:color="auto" w:fill="F4F6FA"/>
          </w:tcPr>
          <w:p>
            <w:pPr>
              <w:pStyle w:val="TableText"/>
            </w:pPr>
            <w:r>
              <w:rPr>
                <w:rFonts w:ascii="Arial" w:hAnsi="Arial"/>
                <w:sz w:val="14"/>
              </w:rPr>
              <w:t>Tiering determines control intensity; no separate de minimis category.</w:t>
            </w:r>
          </w:p>
        </w:tc>
        <w:tc>
          <w:tcPr>
            <w:tcW w:type="dxa" w:w="1701"/>
            <w:shd w:val="clear" w:color="auto" w:fill="F4F6FA"/>
          </w:tcPr>
          <w:p>
            <w:pPr>
              <w:pStyle w:val="TableText"/>
            </w:pPr>
            <w:r>
              <w:rPr>
                <w:rFonts w:ascii="Arial" w:hAnsi="Arial"/>
                <w:sz w:val="14"/>
              </w:rPr>
              <w:t>Principle 2.3 scales scope, scale and intensity to model risk, but Principle 2.1 keeps all models within identification.</w:t>
            </w:r>
          </w:p>
        </w:tc>
        <w:tc>
          <w:tcPr>
            <w:tcW w:type="dxa" w:w="1701"/>
            <w:shd w:val="clear" w:color="auto" w:fill="F4F6FA"/>
          </w:tcPr>
          <w:p>
            <w:pPr>
              <w:pStyle w:val="TableText"/>
            </w:pPr>
            <w:r>
              <w:rPr>
                <w:rFonts w:ascii="Arial" w:hAnsi="Arial"/>
                <w:sz w:val="14"/>
              </w:rPr>
              <w:t>Materiality assessment within the internal model framework; no de minimis category.</w:t>
            </w:r>
          </w:p>
        </w:tc>
        <w:tc>
          <w:tcPr>
            <w:tcW w:type="dxa" w:w="1644"/>
            <w:shd w:val="clear" w:color="auto" w:fill="F4F6FA"/>
          </w:tcPr>
          <w:p>
            <w:pPr>
              <w:pStyle w:val="TableText"/>
            </w:pPr>
            <w:r>
              <w:rPr>
                <w:rFonts w:ascii="Arial" w:hAnsi="Arial"/>
                <w:sz w:val="14"/>
              </w:rPr>
              <w:t>Risk materiality drives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Proportionality by use-case materiality.</w:t>
            </w:r>
          </w:p>
        </w:tc>
      </w:tr>
      <w:tr>
        <w:tc>
          <w:tcPr>
            <w:tcW w:type="dxa" w:w="1417"/>
          </w:tcPr>
          <w:p>
            <w:pPr>
              <w:pStyle w:val="TableText"/>
            </w:pPr>
            <w:r>
              <w:rPr>
                <w:rFonts w:ascii="Arial" w:hAnsi="Arial"/>
                <w:sz w:val="14"/>
              </w:rPr>
              <w:t>Model inventory</w:t>
            </w:r>
          </w:p>
        </w:tc>
        <w:tc>
          <w:tcPr>
            <w:tcW w:type="dxa" w:w="1757"/>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tcPr>
          <w:p>
            <w:pPr>
              <w:pStyle w:val="TableText"/>
            </w:pPr>
            <w:r>
              <w:rPr>
                <w:rFonts w:ascii="Arial" w:hAnsi="Arial"/>
                <w:sz w:val="14"/>
              </w:rPr>
              <w:t>Described as common industry practice rather than an expectation.</w:t>
            </w:r>
          </w:p>
        </w:tc>
        <w:tc>
          <w:tcPr>
            <w:tcW w:type="dxa" w:w="1701"/>
          </w:tcPr>
          <w:p>
            <w:pPr>
              <w:pStyle w:val="TableText"/>
            </w:pPr>
            <w:r>
              <w:rPr>
                <w:rFonts w:ascii="Arial" w:hAnsi="Arial"/>
                <w:sz w:val="14"/>
              </w:rPr>
              <w:t>Principle 1.2 requires a model inventory.</w:t>
            </w:r>
          </w:p>
        </w:tc>
        <w:tc>
          <w:tcPr>
            <w:tcW w:type="dxa" w:w="1701"/>
          </w:tcPr>
          <w:p>
            <w:pPr>
              <w:pStyle w:val="TableText"/>
            </w:pPr>
            <w:r>
              <w:rPr>
                <w:rFonts w:ascii="Arial" w:hAnsi="Arial"/>
                <w:sz w:val="14"/>
              </w:rPr>
              <w:t>Principle 2.1 requires identification and tracking of all models in use or recently decommissioned.</w:t>
            </w:r>
          </w:p>
        </w:tc>
        <w:tc>
          <w:tcPr>
            <w:tcW w:type="dxa" w:w="1701"/>
          </w:tcPr>
          <w:p>
            <w:pPr>
              <w:pStyle w:val="TableText"/>
            </w:pPr>
            <w:r>
              <w:rPr>
                <w:rFonts w:ascii="Arial" w:hAnsi="Arial"/>
                <w:sz w:val="14"/>
              </w:rPr>
              <w:t>Model register expected for internal models.</w:t>
            </w:r>
          </w:p>
        </w:tc>
        <w:tc>
          <w:tcPr>
            <w:tcW w:type="dxa" w:w="1644"/>
          </w:tcPr>
          <w:p>
            <w:pPr>
              <w:pStyle w:val="TableText"/>
            </w:pPr>
            <w:r>
              <w:rPr>
                <w:rFonts w:ascii="Arial" w:hAnsi="Arial"/>
                <w:sz w:val="14"/>
              </w:rPr>
              <w:t>Expected for capital models; inventories observed in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of AI identified as a sound practice.</w:t>
            </w:r>
          </w:p>
        </w:tc>
      </w:tr>
      <w:tr>
        <w:tc>
          <w:tcPr>
            <w:tcW w:type="dxa" w:w="1417"/>
            <w:shd w:val="clear" w:color="auto" w:fill="F4F6FA"/>
          </w:tcPr>
          <w:p>
            <w:pPr>
              <w:pStyle w:val="TableText"/>
            </w:pPr>
            <w:r>
              <w:rPr>
                <w:rFonts w:ascii="Arial" w:hAnsi="Arial"/>
                <w:sz w:val="14"/>
              </w:rPr>
              <w:t>Risk tiering</w:t>
            </w:r>
          </w:p>
        </w:tc>
        <w:tc>
          <w:tcPr>
            <w:tcW w:type="dxa" w:w="1757"/>
            <w:shd w:val="clear" w:color="auto" w:fill="F4F6FA"/>
          </w:tcPr>
          <w:p>
            <w:pPr>
              <w:pStyle w:val="TableText"/>
            </w:pPr>
            <w:r>
              <w:rPr>
                <w:rFonts w:ascii="Arial" w:hAnsi="Arial"/>
                <w:sz w:val="14"/>
              </w:rPr>
              <w:t>Documented tiering on quantitative and qualitative factors, driving validation, monitoring, approval and reporting intensity.</w:t>
            </w:r>
          </w:p>
        </w:tc>
        <w:tc>
          <w:tcPr>
            <w:tcW w:type="dxa" w:w="1701"/>
            <w:shd w:val="clear" w:color="auto" w:fill="F4F6FA"/>
          </w:tcPr>
          <w:p>
            <w:pPr>
              <w:pStyle w:val="TableText"/>
            </w:pPr>
            <w:r>
              <w:rPr>
                <w:rFonts w:ascii="Arial" w:hAnsi="Arial"/>
                <w:sz w:val="14"/>
              </w:rPr>
              <w:t>Model risk framed as inherent risk in the context of materiality, itself a function of exposure and purpose.</w:t>
            </w:r>
          </w:p>
        </w:tc>
        <w:tc>
          <w:tcPr>
            <w:tcW w:type="dxa" w:w="1701"/>
            <w:shd w:val="clear" w:color="auto" w:fill="F4F6FA"/>
          </w:tcPr>
          <w:p>
            <w:pPr>
              <w:pStyle w:val="TableText"/>
            </w:pPr>
            <w:r>
              <w:rPr>
                <w:rFonts w:ascii="Arial" w:hAnsi="Arial"/>
                <w:sz w:val="14"/>
              </w:rPr>
              <w:t>Principle 1.3 model tiering.</w:t>
            </w:r>
          </w:p>
        </w:tc>
        <w:tc>
          <w:tcPr>
            <w:tcW w:type="dxa" w:w="1701"/>
            <w:shd w:val="clear" w:color="auto" w:fill="F4F6FA"/>
          </w:tcPr>
          <w:p>
            <w:pPr>
              <w:pStyle w:val="TableText"/>
            </w:pPr>
            <w:r>
              <w:rPr>
                <w:rFonts w:ascii="Arial" w:hAnsi="Arial"/>
                <w:sz w:val="14"/>
              </w:rPr>
              <w:t>Principle 2.2 requires a model risk rating approach assessing key dimensions.</w:t>
            </w:r>
          </w:p>
        </w:tc>
        <w:tc>
          <w:tcPr>
            <w:tcW w:type="dxa" w:w="1701"/>
            <w:shd w:val="clear" w:color="auto" w:fill="F4F6FA"/>
          </w:tcPr>
          <w:p>
            <w:pPr>
              <w:pStyle w:val="TableText"/>
            </w:pPr>
            <w:r>
              <w:rPr>
                <w:rFonts w:ascii="Arial" w:hAnsi="Arial"/>
                <w:sz w:val="14"/>
              </w:rPr>
              <w:t>Materiality assessment within the internal model framework.</w:t>
            </w:r>
          </w:p>
        </w:tc>
        <w:tc>
          <w:tcPr>
            <w:tcW w:type="dxa" w:w="1644"/>
            <w:shd w:val="clear" w:color="auto" w:fill="F4F6FA"/>
          </w:tcPr>
          <w:p>
            <w:pPr>
              <w:pStyle w:val="TableText"/>
            </w:pPr>
            <w:r>
              <w:rPr>
                <w:rFonts w:ascii="Arial" w:hAnsi="Arial"/>
                <w:sz w:val="14"/>
              </w:rPr>
              <w:t>Risk materiality assessment central to AI control intensity.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Materiality and risk assessment at inception and thereafter.</w:t>
            </w:r>
          </w:p>
        </w:tc>
      </w:tr>
      <w:tr>
        <w:tc>
          <w:tcPr>
            <w:tcW w:type="dxa" w:w="1417"/>
          </w:tcPr>
          <w:p>
            <w:pPr>
              <w:pStyle w:val="TableText"/>
            </w:pPr>
            <w:r>
              <w:rPr>
                <w:rFonts w:ascii="Arial" w:hAnsi="Arial"/>
                <w:sz w:val="14"/>
              </w:rPr>
              <w:t>Board and senior accountability</w:t>
            </w:r>
          </w:p>
        </w:tc>
        <w:tc>
          <w:tcPr>
            <w:tcW w:type="dxa" w:w="1757"/>
          </w:tcPr>
          <w:p>
            <w:pPr>
              <w:pStyle w:val="TableText"/>
            </w:pPr>
            <w:r>
              <w:rPr>
                <w:rFonts w:ascii="Arial" w:hAnsi="Arial"/>
                <w:sz w:val="14"/>
              </w:rPr>
              <w:t>Board approves the framework and appetite; a named senior executive is accountable for the framework; every model has a named owner.</w:t>
            </w:r>
          </w:p>
        </w:tc>
        <w:tc>
          <w:tcPr>
            <w:tcW w:type="dxa" w:w="1701"/>
          </w:tcPr>
          <w:p>
            <w:pPr>
              <w:pStyle w:val="TableText"/>
            </w:pPr>
            <w:r>
              <w:rPr>
                <w:rFonts w:ascii="Arial" w:hAnsi="Arial"/>
                <w:sz w:val="14"/>
              </w:rPr>
              <w:t>Roles and responsibilities with defined accountability, including conflicts between development and validation.</w:t>
            </w:r>
          </w:p>
        </w:tc>
        <w:tc>
          <w:tcPr>
            <w:tcW w:type="dxa" w:w="1701"/>
          </w:tcPr>
          <w:p>
            <w:pPr>
              <w:pStyle w:val="TableText"/>
            </w:pPr>
            <w:r>
              <w:rPr>
                <w:rFonts w:ascii="Arial" w:hAnsi="Arial"/>
                <w:sz w:val="14"/>
              </w:rPr>
              <w:t>Principle 2.1 Board responsibilities and 2.2 SMF accountability for the framework.</w:t>
            </w:r>
          </w:p>
        </w:tc>
        <w:tc>
          <w:tcPr>
            <w:tcW w:type="dxa" w:w="1701"/>
          </w:tcPr>
          <w:p>
            <w:pPr>
              <w:pStyle w:val="TableText"/>
            </w:pPr>
            <w:r>
              <w:rPr>
                <w:rFonts w:ascii="Arial" w:hAnsi="Arial"/>
                <w:sz w:val="14"/>
              </w:rPr>
              <w:t>Principle 1.1 on reporting structures and resourcing.</w:t>
            </w:r>
          </w:p>
        </w:tc>
        <w:tc>
          <w:tcPr>
            <w:tcW w:type="dxa" w:w="1701"/>
          </w:tcPr>
          <w:p>
            <w:pPr>
              <w:pStyle w:val="TableText"/>
            </w:pPr>
            <w:r>
              <w:rPr>
                <w:rFonts w:ascii="Arial" w:hAnsi="Arial"/>
                <w:sz w:val="14"/>
              </w:rPr>
              <w:t>Section 5 identification of management body and senior management.</w:t>
            </w:r>
          </w:p>
        </w:tc>
        <w:tc>
          <w:tcPr>
            <w:tcW w:type="dxa" w:w="1644"/>
          </w:tcPr>
          <w:p>
            <w:pPr>
              <w:pStyle w:val="TableText"/>
            </w:pPr>
            <w:r>
              <w:rPr>
                <w:rFonts w:ascii="Arial" w:hAnsi="Arial"/>
                <w:sz w:val="14"/>
              </w:rPr>
              <w:t>Board and senior management oversight in observed AI practice.</w:t>
            </w:r>
          </w:p>
        </w:tc>
        <w:tc>
          <w:tcPr>
            <w:tcW w:type="dxa" w:w="1531"/>
          </w:tcPr>
          <w:p>
            <w:pPr>
              <w:pStyle w:val="TableText"/>
            </w:pPr>
            <w:r>
              <w:rPr>
                <w:rFonts w:ascii="Arial" w:hAnsi="Arial"/>
                <w:sz w:val="14"/>
              </w:rPr>
              <w:t>Governance is BCBS 239 Principle 1.</w:t>
            </w:r>
          </w:p>
        </w:tc>
        <w:tc>
          <w:tcPr>
            <w:tcW w:type="dxa" w:w="1417"/>
          </w:tcPr>
          <w:p>
            <w:pPr>
              <w:pStyle w:val="TableText"/>
            </w:pPr>
            <w:r>
              <w:rPr>
                <w:rFonts w:ascii="Arial" w:hAnsi="Arial"/>
                <w:sz w:val="14"/>
              </w:rPr>
              <w:t>Sound Practices 1 and 2 on strategic direction, oversight, governance and accountability.</w:t>
            </w:r>
          </w:p>
        </w:tc>
      </w:tr>
      <w:tr>
        <w:tc>
          <w:tcPr>
            <w:tcW w:type="dxa" w:w="1417"/>
            <w:shd w:val="clear" w:color="auto" w:fill="F4F6FA"/>
          </w:tcPr>
          <w:p>
            <w:pPr>
              <w:pStyle w:val="TableText"/>
            </w:pPr>
            <w:r>
              <w:rPr>
                <w:rFonts w:ascii="Arial" w:hAnsi="Arial"/>
                <w:sz w:val="14"/>
              </w:rPr>
              <w:t>Development and conceptual soundness</w:t>
            </w:r>
          </w:p>
        </w:tc>
        <w:tc>
          <w:tcPr>
            <w:tcW w:type="dxa" w:w="1757"/>
            <w:shd w:val="clear" w:color="auto" w:fill="F4F6FA"/>
          </w:tcPr>
          <w:p>
            <w:pPr>
              <w:pStyle w:val="TableText"/>
            </w:pPr>
            <w:r>
              <w:rPr>
                <w:rFonts w:ascii="Arial" w:hAnsi="Arial"/>
                <w:sz w:val="14"/>
              </w:rPr>
              <w:t>Documented development standards, conceptual soundness, consideration of alternatives, and recorded limitations for all material models.</w:t>
            </w:r>
          </w:p>
        </w:tc>
        <w:tc>
          <w:tcPr>
            <w:tcW w:type="dxa" w:w="1701"/>
            <w:shd w:val="clear" w:color="auto" w:fill="F4F6FA"/>
          </w:tcPr>
          <w:p>
            <w:pPr>
              <w:pStyle w:val="TableText"/>
            </w:pPr>
            <w:r>
              <w:rPr>
                <w:rFonts w:ascii="Arial" w:hAnsi="Arial"/>
                <w:sz w:val="14"/>
              </w:rPr>
              <w:t>Section IV on model development, including purpose statement, user input and testing.</w:t>
            </w:r>
          </w:p>
        </w:tc>
        <w:tc>
          <w:tcPr>
            <w:tcW w:type="dxa" w:w="1701"/>
            <w:shd w:val="clear" w:color="auto" w:fill="F4F6FA"/>
          </w:tcPr>
          <w:p>
            <w:pPr>
              <w:pStyle w:val="TableText"/>
            </w:pPr>
            <w:r>
              <w:rPr>
                <w:rFonts w:ascii="Arial" w:hAnsi="Arial"/>
                <w:sz w:val="14"/>
              </w:rPr>
              <w:t>Principle 3.1 model purpose and design; 3.3 development testing.</w:t>
            </w:r>
          </w:p>
        </w:tc>
        <w:tc>
          <w:tcPr>
            <w:tcW w:type="dxa" w:w="1701"/>
            <w:shd w:val="clear" w:color="auto" w:fill="F4F6FA"/>
          </w:tcPr>
          <w:p>
            <w:pPr>
              <w:pStyle w:val="TableText"/>
            </w:pPr>
            <w:r>
              <w:rPr>
                <w:rFonts w:ascii="Arial" w:hAnsi="Arial"/>
                <w:sz w:val="14"/>
              </w:rPr>
              <w:t>Principle 3.3 on development processes with clear standards.</w:t>
            </w:r>
          </w:p>
        </w:tc>
        <w:tc>
          <w:tcPr>
            <w:tcW w:type="dxa" w:w="1701"/>
            <w:shd w:val="clear" w:color="auto" w:fill="F4F6FA"/>
          </w:tcPr>
          <w:p>
            <w:pPr>
              <w:pStyle w:val="TableText"/>
            </w:pPr>
            <w:r>
              <w:rPr>
                <w:rFonts w:ascii="Arial" w:hAnsi="Arial"/>
                <w:sz w:val="14"/>
              </w:rPr>
              <w:t>Documentation and data governance sections of the overarching principles chapter.</w:t>
            </w:r>
          </w:p>
        </w:tc>
        <w:tc>
          <w:tcPr>
            <w:tcW w:type="dxa" w:w="1644"/>
            <w:shd w:val="clear" w:color="auto" w:fill="F4F6FA"/>
          </w:tcPr>
          <w:p>
            <w:pPr>
              <w:pStyle w:val="TableText"/>
            </w:pPr>
            <w:r>
              <w:rPr>
                <w:rFonts w:ascii="Arial" w:hAnsi="Arial"/>
                <w:sz w:val="14"/>
              </w:rPr>
              <w:t>Notice 637 for capital models.</w:t>
            </w:r>
          </w:p>
        </w:tc>
        <w:tc>
          <w:tcPr>
            <w:tcW w:type="dxa" w:w="1531"/>
            <w:shd w:val="clear" w:color="auto" w:fill="F4F6FA"/>
          </w:tcPr>
          <w:p>
            <w:pPr>
              <w:pStyle w:val="TableText"/>
            </w:pPr>
            <w:r>
              <w:rPr>
                <w:rFonts w:ascii="Arial" w:hAnsi="Arial"/>
                <w:sz w:val="14"/>
              </w:rPr>
              <w:t>Not addressed directly.</w:t>
            </w:r>
          </w:p>
        </w:tc>
        <w:tc>
          <w:tcPr>
            <w:tcW w:type="dxa" w:w="1417"/>
            <w:shd w:val="clear" w:color="auto" w:fill="F4F6FA"/>
          </w:tcPr>
          <w:p>
            <w:pPr>
              <w:pStyle w:val="TableText"/>
            </w:pPr>
            <w:r>
              <w:rPr>
                <w:rFonts w:ascii="Arial" w:hAnsi="Arial"/>
                <w:sz w:val="14"/>
              </w:rPr>
              <w:t>Sound Practice 6 on selection.</w:t>
            </w:r>
          </w:p>
        </w:tc>
      </w:tr>
      <w:tr>
        <w:tc>
          <w:tcPr>
            <w:tcW w:type="dxa" w:w="1417"/>
          </w:tcPr>
          <w:p>
            <w:pPr>
              <w:pStyle w:val="TableText"/>
            </w:pPr>
            <w:r>
              <w:rPr>
                <w:rFonts w:ascii="Arial" w:hAnsi="Arial"/>
                <w:sz w:val="14"/>
              </w:rPr>
              <w:t>Data</w:t>
            </w:r>
          </w:p>
        </w:tc>
        <w:tc>
          <w:tcPr>
            <w:tcW w:type="dxa" w:w="1757"/>
          </w:tcPr>
          <w:p>
            <w:pPr>
              <w:pStyle w:val="TableText"/>
            </w:pPr>
            <w:r>
              <w:rPr>
                <w:rFonts w:ascii="Arial" w:hAnsi="Arial"/>
                <w:sz w:val="14"/>
              </w:rPr>
              <w:t>Data appropriateness as well as quality, lineage to source, and documented treatment of proxy, external and synthetic data.</w:t>
            </w:r>
          </w:p>
        </w:tc>
        <w:tc>
          <w:tcPr>
            <w:tcW w:type="dxa" w:w="1701"/>
          </w:tcPr>
          <w:p>
            <w:pPr>
              <w:pStyle w:val="TableText"/>
            </w:pPr>
            <w:r>
              <w:rPr>
                <w:rFonts w:ascii="Arial" w:hAnsi="Arial"/>
                <w:sz w:val="14"/>
              </w:rPr>
              <w:t>Data quality, relevance and inputs assessed within development testing.</w:t>
            </w:r>
          </w:p>
        </w:tc>
        <w:tc>
          <w:tcPr>
            <w:tcW w:type="dxa" w:w="1701"/>
          </w:tcPr>
          <w:p>
            <w:pPr>
              <w:pStyle w:val="TableText"/>
            </w:pPr>
            <w:r>
              <w:rPr>
                <w:rFonts w:ascii="Arial" w:hAnsi="Arial"/>
                <w:sz w:val="14"/>
              </w:rPr>
              <w:t>Principle 3.2 the use of data.</w:t>
            </w:r>
          </w:p>
        </w:tc>
        <w:tc>
          <w:tcPr>
            <w:tcW w:type="dxa" w:w="1701"/>
          </w:tcPr>
          <w:p>
            <w:pPr>
              <w:pStyle w:val="TableText"/>
            </w:pPr>
            <w:r>
              <w:rPr>
                <w:rFonts w:ascii="Arial" w:hAnsi="Arial"/>
                <w:sz w:val="14"/>
              </w:rPr>
              <w:t>Principle 3.2 requires data suitable for the intended use.</w:t>
            </w:r>
          </w:p>
        </w:tc>
        <w:tc>
          <w:tcPr>
            <w:tcW w:type="dxa" w:w="1701"/>
          </w:tcPr>
          <w:p>
            <w:pPr>
              <w:pStyle w:val="TableText"/>
            </w:pPr>
            <w:r>
              <w:rPr>
                <w:rFonts w:ascii="Arial" w:hAnsi="Arial"/>
                <w:sz w:val="14"/>
              </w:rPr>
              <w:t>Section 3 data governance; separate guide on risk data aggregation and reporting.</w:t>
            </w:r>
          </w:p>
        </w:tc>
        <w:tc>
          <w:tcPr>
            <w:tcW w:type="dxa" w:w="1644"/>
          </w:tcPr>
          <w:p>
            <w:pPr>
              <w:pStyle w:val="TableText"/>
            </w:pPr>
            <w:r>
              <w:rPr>
                <w:rFonts w:ascii="Arial" w:hAnsi="Arial"/>
                <w:sz w:val="14"/>
              </w:rPr>
              <w:t>Data quality and representativeness prominent in AI practice.</w:t>
            </w:r>
          </w:p>
        </w:tc>
        <w:tc>
          <w:tcPr>
            <w:tcW w:type="dxa" w:w="1531"/>
          </w:tcPr>
          <w:p>
            <w:pPr>
              <w:pStyle w:val="TableText"/>
            </w:pPr>
            <w:r>
              <w:rPr>
                <w:rFonts w:ascii="Arial" w:hAnsi="Arial"/>
                <w:sz w:val="14"/>
              </w:rPr>
              <w:t>BCBS 239 sets fourteen principles on risk data aggregation and reporting.</w:t>
            </w:r>
          </w:p>
        </w:tc>
        <w:tc>
          <w:tcPr>
            <w:tcW w:type="dxa" w:w="1417"/>
          </w:tcPr>
          <w:p>
            <w:pPr>
              <w:pStyle w:val="TableText"/>
            </w:pPr>
            <w:r>
              <w:rPr>
                <w:rFonts w:ascii="Arial" w:hAnsi="Arial"/>
                <w:sz w:val="14"/>
              </w:rPr>
              <w:t>Sound Practice 7 on data governance.</w:t>
            </w:r>
          </w:p>
        </w:tc>
      </w:tr>
      <w:tr>
        <w:tc>
          <w:tcPr>
            <w:tcW w:type="dxa" w:w="1417"/>
            <w:shd w:val="clear" w:color="auto" w:fill="F4F6FA"/>
          </w:tcPr>
          <w:p>
            <w:pPr>
              <w:pStyle w:val="TableText"/>
            </w:pPr>
            <w:r>
              <w:rPr>
                <w:rFonts w:ascii="Arial" w:hAnsi="Arial"/>
                <w:sz w:val="14"/>
              </w:rPr>
              <w:t>Documentation</w:t>
            </w:r>
          </w:p>
        </w:tc>
        <w:tc>
          <w:tcPr>
            <w:tcW w:type="dxa" w:w="1757"/>
            <w:shd w:val="clear" w:color="auto" w:fill="F4F6FA"/>
          </w:tcPr>
          <w:p>
            <w:pPr>
              <w:pStyle w:val="TableText"/>
            </w:pPr>
            <w:r>
              <w:rPr>
                <w:rFonts w:ascii="Arial" w:hAnsi="Arial"/>
                <w:sz w:val="14"/>
              </w:rPr>
              <w:t>Reconstruction standard: sufficient for an independent competent person to reproduce material results.</w:t>
            </w:r>
          </w:p>
        </w:tc>
        <w:tc>
          <w:tcPr>
            <w:tcW w:type="dxa" w:w="1701"/>
            <w:shd w:val="clear" w:color="auto" w:fill="F4F6FA"/>
          </w:tcPr>
          <w:p>
            <w:pPr>
              <w:pStyle w:val="TableText"/>
            </w:pPr>
            <w:r>
              <w:rPr>
                <w:rFonts w:ascii="Arial" w:hAnsi="Arial"/>
                <w:sz w:val="14"/>
              </w:rPr>
              <w:t>Reduced in 2026 to a statement that adequate documentation helps support model risk management.</w:t>
            </w:r>
          </w:p>
        </w:tc>
        <w:tc>
          <w:tcPr>
            <w:tcW w:type="dxa" w:w="1701"/>
            <w:shd w:val="clear" w:color="auto" w:fill="F4F6FA"/>
          </w:tcPr>
          <w:p>
            <w:pPr>
              <w:pStyle w:val="TableText"/>
            </w:pPr>
            <w:r>
              <w:rPr>
                <w:rFonts w:ascii="Arial" w:hAnsi="Arial"/>
                <w:sz w:val="14"/>
              </w:rPr>
              <w:t>Principle 3.5 model development documentation.</w:t>
            </w:r>
          </w:p>
        </w:tc>
        <w:tc>
          <w:tcPr>
            <w:tcW w:type="dxa" w:w="1701"/>
            <w:shd w:val="clear" w:color="auto" w:fill="F4F6FA"/>
          </w:tcPr>
          <w:p>
            <w:pPr>
              <w:pStyle w:val="TableText"/>
            </w:pPr>
            <w:r>
              <w:rPr>
                <w:rFonts w:ascii="Arial" w:hAnsi="Arial"/>
                <w:sz w:val="14"/>
              </w:rPr>
              <w:t>Principle 3.3 covers documentation standards.</w:t>
            </w:r>
          </w:p>
        </w:tc>
        <w:tc>
          <w:tcPr>
            <w:tcW w:type="dxa" w:w="1701"/>
            <w:shd w:val="clear" w:color="auto" w:fill="F4F6FA"/>
          </w:tcPr>
          <w:p>
            <w:pPr>
              <w:pStyle w:val="TableText"/>
            </w:pPr>
            <w:r>
              <w:rPr>
                <w:rFonts w:ascii="Arial" w:hAnsi="Arial"/>
                <w:sz w:val="14"/>
              </w:rPr>
              <w:t>Section 2 documentation of internal models; CRR Article 188 makes it binding.</w:t>
            </w:r>
          </w:p>
        </w:tc>
        <w:tc>
          <w:tcPr>
            <w:tcW w:type="dxa" w:w="1644"/>
            <w:shd w:val="clear" w:color="auto" w:fill="F4F6FA"/>
          </w:tcPr>
          <w:p>
            <w:pPr>
              <w:pStyle w:val="TableText"/>
            </w:pPr>
            <w:r>
              <w:rPr>
                <w:rFonts w:ascii="Arial" w:hAnsi="Arial"/>
                <w:sz w:val="14"/>
              </w:rPr>
              <w:t>Required for capital models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identified as a sound practice.</w:t>
            </w:r>
          </w:p>
        </w:tc>
      </w:tr>
      <w:tr>
        <w:tc>
          <w:tcPr>
            <w:tcW w:type="dxa" w:w="1417"/>
          </w:tcPr>
          <w:p>
            <w:pPr>
              <w:pStyle w:val="TableText"/>
            </w:pPr>
            <w:r>
              <w:rPr>
                <w:rFonts w:ascii="Arial" w:hAnsi="Arial"/>
                <w:sz w:val="14"/>
              </w:rPr>
              <w:t>Testing before use</w:t>
            </w:r>
          </w:p>
        </w:tc>
        <w:tc>
          <w:tcPr>
            <w:tcW w:type="dxa" w:w="1757"/>
          </w:tcPr>
          <w:p>
            <w:pPr>
              <w:pStyle w:val="TableText"/>
            </w:pPr>
            <w:r>
              <w:rPr>
                <w:rFonts w:ascii="Arial" w:hAnsi="Arial"/>
                <w:sz w:val="14"/>
              </w:rPr>
              <w:t>Express bar: a model must not be used for a material purpose until tested and residual limitations accepted at an appropriate authority.</w:t>
            </w:r>
          </w:p>
        </w:tc>
        <w:tc>
          <w:tcPr>
            <w:tcW w:type="dxa" w:w="1701"/>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tcPr>
          <w:p>
            <w:pPr>
              <w:pStyle w:val="TableText"/>
            </w:pPr>
            <w:r>
              <w:rPr>
                <w:rFonts w:ascii="Arial" w:hAnsi="Arial"/>
                <w:sz w:val="14"/>
              </w:rPr>
              <w:t>Principle 3.3 model development testing.</w:t>
            </w:r>
          </w:p>
        </w:tc>
        <w:tc>
          <w:tcPr>
            <w:tcW w:type="dxa" w:w="1701"/>
          </w:tcPr>
          <w:p>
            <w:pPr>
              <w:pStyle w:val="TableText"/>
            </w:pPr>
            <w:r>
              <w:rPr>
                <w:rFonts w:ascii="Arial" w:hAnsi="Arial"/>
                <w:sz w:val="14"/>
              </w:rPr>
              <w:t>Within the model review and approval lifecycle stages.</w:t>
            </w:r>
          </w:p>
        </w:tc>
        <w:tc>
          <w:tcPr>
            <w:tcW w:type="dxa" w:w="1701"/>
          </w:tcPr>
          <w:p>
            <w:pPr>
              <w:pStyle w:val="TableText"/>
            </w:pPr>
            <w:r>
              <w:rPr>
                <w:rFonts w:ascii="Arial" w:hAnsi="Arial"/>
                <w:sz w:val="14"/>
              </w:rPr>
              <w:t>Pre-approval assessment by the supervisor for capital models.</w:t>
            </w:r>
          </w:p>
        </w:tc>
        <w:tc>
          <w:tcPr>
            <w:tcW w:type="dxa" w:w="1644"/>
          </w:tcPr>
          <w:p>
            <w:pPr>
              <w:pStyle w:val="TableText"/>
            </w:pPr>
            <w:r>
              <w:rPr>
                <w:rFonts w:ascii="Arial" w:hAnsi="Arial"/>
                <w:sz w:val="14"/>
              </w:rPr>
              <w:t>Pre-deployment validation expected for higher-risk AI.</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assessment proportionate to risk.</w:t>
            </w:r>
          </w:p>
        </w:tc>
      </w:tr>
      <w:tr>
        <w:tc>
          <w:tcPr>
            <w:tcW w:type="dxa" w:w="1417"/>
            <w:shd w:val="clear" w:color="auto" w:fill="F4F6FA"/>
          </w:tcPr>
          <w:p>
            <w:pPr>
              <w:pStyle w:val="TableText"/>
            </w:pPr>
            <w:r>
              <w:rPr>
                <w:rFonts w:ascii="Arial" w:hAnsi="Arial"/>
                <w:sz w:val="14"/>
              </w:rPr>
              <w:t>Independent validation</w:t>
            </w:r>
          </w:p>
        </w:tc>
        <w:tc>
          <w:tcPr>
            <w:tcW w:type="dxa" w:w="1757"/>
            <w:shd w:val="clear" w:color="auto" w:fill="F4F6FA"/>
          </w:tcPr>
          <w:p>
            <w:pPr>
              <w:pStyle w:val="TableText"/>
            </w:pPr>
            <w:r>
              <w:rPr>
                <w:rFonts w:ascii="Arial" w:hAnsi="Arial"/>
                <w:sz w:val="14"/>
              </w:rPr>
              <w:t>Independent validation required for material models, with vendor or sponsor validation expressly insufficient.</w:t>
            </w:r>
          </w:p>
        </w:tc>
        <w:tc>
          <w:tcPr>
            <w:tcW w:type="dxa" w:w="1701"/>
            <w:shd w:val="clear" w:color="auto" w:fill="F4F6FA"/>
          </w:tcPr>
          <w:p>
            <w:pPr>
              <w:pStyle w:val="TableText"/>
            </w:pPr>
            <w:r>
              <w:rPr>
                <w:rFonts w:ascii="Arial" w:hAnsi="Arial"/>
                <w:sz w:val="14"/>
              </w:rPr>
              <w:t>Quality of validation depends on the rigour of the review rather than on organisational structure — a softening from the 2011 text.</w:t>
            </w:r>
          </w:p>
        </w:tc>
        <w:tc>
          <w:tcPr>
            <w:tcW w:type="dxa" w:w="1701"/>
            <w:shd w:val="clear" w:color="auto" w:fill="F4F6FA"/>
          </w:tcPr>
          <w:p>
            <w:pPr>
              <w:pStyle w:val="TableText"/>
            </w:pPr>
            <w:r>
              <w:rPr>
                <w:rFonts w:ascii="Arial" w:hAnsi="Arial"/>
                <w:sz w:val="14"/>
              </w:rPr>
              <w:t>Principle 4 independent model validation, with five sub-principles.</w:t>
            </w:r>
          </w:p>
        </w:tc>
        <w:tc>
          <w:tcPr>
            <w:tcW w:type="dxa" w:w="1701"/>
            <w:shd w:val="clear" w:color="auto" w:fill="F4F6FA"/>
          </w:tcPr>
          <w:p>
            <w:pPr>
              <w:pStyle w:val="TableText"/>
            </w:pPr>
            <w:r>
              <w:rPr>
                <w:rFonts w:ascii="Arial" w:hAnsi="Arial"/>
                <w:sz w:val="14"/>
              </w:rPr>
              <w:t>Principle 3.4 requires a process to independently assess conceptual soundness and performance.</w:t>
            </w:r>
          </w:p>
        </w:tc>
        <w:tc>
          <w:tcPr>
            <w:tcW w:type="dxa" w:w="1701"/>
            <w:shd w:val="clear" w:color="auto" w:fill="F4F6FA"/>
          </w:tcPr>
          <w:p>
            <w:pPr>
              <w:pStyle w:val="TableText"/>
            </w:pPr>
            <w:r>
              <w:rPr>
                <w:rFonts w:ascii="Arial" w:hAnsi="Arial"/>
                <w:sz w:val="14"/>
              </w:rPr>
              <w:t>Section 6 internal validation; CRR Articles 185 and 188 make validation binding.</w:t>
            </w:r>
          </w:p>
        </w:tc>
        <w:tc>
          <w:tcPr>
            <w:tcW w:type="dxa" w:w="1644"/>
            <w:shd w:val="clear" w:color="auto" w:fill="F4F6FA"/>
          </w:tcPr>
          <w:p>
            <w:pPr>
              <w:pStyle w:val="TableText"/>
            </w:pPr>
            <w:r>
              <w:rPr>
                <w:rFonts w:ascii="Arial" w:hAnsi="Arial"/>
                <w:sz w:val="14"/>
              </w:rPr>
              <w:t>Notice 637 paragraphs 2.5 and 2.6 on internal validation and its independent review.</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management, with independence left flexible.</w:t>
            </w:r>
          </w:p>
        </w:tc>
      </w:tr>
      <w:tr>
        <w:tc>
          <w:tcPr>
            <w:tcW w:type="dxa" w:w="1417"/>
          </w:tcPr>
          <w:p>
            <w:pPr>
              <w:pStyle w:val="TableText"/>
            </w:pPr>
            <w:r>
              <w:rPr>
                <w:rFonts w:ascii="Arial" w:hAnsi="Arial"/>
                <w:sz w:val="14"/>
              </w:rPr>
              <w:t>Components of validation</w:t>
            </w:r>
          </w:p>
        </w:tc>
        <w:tc>
          <w:tcPr>
            <w:tcW w:type="dxa" w:w="1757"/>
          </w:tcPr>
          <w:p>
            <w:pPr>
              <w:pStyle w:val="TableText"/>
            </w:pPr>
            <w:r>
              <w:rPr>
                <w:rFonts w:ascii="Arial" w:hAnsi="Arial"/>
                <w:sz w:val="14"/>
              </w:rPr>
              <w:t>Conceptual soundness, outcomes analysis and ongoing model monitoring, with an explicit conclusion on fitness for use.</w:t>
            </w:r>
          </w:p>
        </w:tc>
        <w:tc>
          <w:tcPr>
            <w:tcW w:type="dxa" w:w="1701"/>
          </w:tcPr>
          <w:p>
            <w:pPr>
              <w:pStyle w:val="TableText"/>
            </w:pPr>
            <w:r>
              <w:rPr>
                <w:rFonts w:ascii="Arial" w:hAnsi="Arial"/>
                <w:sz w:val="14"/>
              </w:rPr>
              <w:t>Conceptual soundness, outcomes analysis, and ongoing model monitoring.</w:t>
            </w:r>
          </w:p>
        </w:tc>
        <w:tc>
          <w:tcPr>
            <w:tcW w:type="dxa" w:w="1701"/>
          </w:tcPr>
          <w:p>
            <w:pPr>
              <w:pStyle w:val="TableText"/>
            </w:pPr>
            <w:r>
              <w:rPr>
                <w:rFonts w:ascii="Arial" w:hAnsi="Arial"/>
                <w:sz w:val="14"/>
              </w:rPr>
              <w:t>Principles 4.2 independent review, 4.3 process verification, 4.4 performance monitoring, 4.5 periodic revalidation.</w:t>
            </w:r>
          </w:p>
        </w:tc>
        <w:tc>
          <w:tcPr>
            <w:tcW w:type="dxa" w:w="1701"/>
          </w:tcPr>
          <w:p>
            <w:pPr>
              <w:pStyle w:val="TableText"/>
            </w:pPr>
            <w:r>
              <w:rPr>
                <w:rFonts w:ascii="Arial" w:hAnsi="Arial"/>
                <w:sz w:val="14"/>
              </w:rPr>
              <w:t>Conceptual soundness and performance under Principle 3.4.</w:t>
            </w:r>
          </w:p>
        </w:tc>
        <w:tc>
          <w:tcPr>
            <w:tcW w:type="dxa" w:w="1701"/>
          </w:tcPr>
          <w:p>
            <w:pPr>
              <w:pStyle w:val="TableText"/>
            </w:pPr>
            <w:r>
              <w:rPr>
                <w:rFonts w:ascii="Arial" w:hAnsi="Arial"/>
                <w:sz w:val="14"/>
              </w:rPr>
              <w:t>Validation covering methodology, data and performance.</w:t>
            </w:r>
          </w:p>
        </w:tc>
        <w:tc>
          <w:tcPr>
            <w:tcW w:type="dxa" w:w="1644"/>
          </w:tcPr>
          <w:p>
            <w:pPr>
              <w:pStyle w:val="TableText"/>
            </w:pPr>
            <w:r>
              <w:rPr>
                <w:rFonts w:ascii="Arial" w:hAnsi="Arial"/>
                <w:sz w:val="14"/>
              </w:rPr>
              <w:t>Validation requirements in Section 7 of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Effective challenge</w:t>
            </w:r>
          </w:p>
        </w:tc>
        <w:tc>
          <w:tcPr>
            <w:tcW w:type="dxa" w:w="1757"/>
            <w:shd w:val="clear" w:color="auto" w:fill="F4F6FA"/>
          </w:tcPr>
          <w:p>
            <w:pPr>
              <w:pStyle w:val="TableText"/>
            </w:pPr>
            <w:r>
              <w:rPr>
                <w:rFonts w:ascii="Arial" w:hAnsi="Arial"/>
                <w:sz w:val="14"/>
              </w:rPr>
              <w:t>Express requirement, with an expectation that entities test whether challenge is operating effectively.</w:t>
            </w:r>
          </w:p>
        </w:tc>
        <w:tc>
          <w:tcPr>
            <w:tcW w:type="dxa" w:w="1701"/>
            <w:shd w:val="clear" w:color="auto" w:fill="F4F6FA"/>
          </w:tcPr>
          <w:p>
            <w:pPr>
              <w:pStyle w:val="TableText"/>
            </w:pPr>
            <w:r>
              <w:rPr>
                <w:rFonts w:ascii="Arial" w:hAnsi="Arial"/>
                <w:sz w:val="14"/>
              </w:rPr>
              <w:t>Retained and reformulated: expertise, sufficient independence, and organisational standing and influence to effect change.</w:t>
            </w:r>
          </w:p>
        </w:tc>
        <w:tc>
          <w:tcPr>
            <w:tcW w:type="dxa" w:w="1701"/>
            <w:shd w:val="clear" w:color="auto" w:fill="F4F6FA"/>
          </w:tcPr>
          <w:p>
            <w:pPr>
              <w:pStyle w:val="TableText"/>
            </w:pPr>
            <w:r>
              <w:rPr>
                <w:rFonts w:ascii="Arial" w:hAnsi="Arial"/>
                <w:sz w:val="14"/>
              </w:rPr>
              <w:t>Embedded in Principle 4 as ongoing, independent and effective challenge.</w:t>
            </w:r>
          </w:p>
        </w:tc>
        <w:tc>
          <w:tcPr>
            <w:tcW w:type="dxa" w:w="1701"/>
            <w:shd w:val="clear" w:color="auto" w:fill="F4F6FA"/>
          </w:tcPr>
          <w:p>
            <w:pPr>
              <w:pStyle w:val="TableText"/>
            </w:pPr>
            <w:r>
              <w:rPr>
                <w:rFonts w:ascii="Arial" w:hAnsi="Arial"/>
                <w:sz w:val="14"/>
              </w:rPr>
              <w:t>Implicit in the independent assessment principle.</w:t>
            </w:r>
          </w:p>
        </w:tc>
        <w:tc>
          <w:tcPr>
            <w:tcW w:type="dxa" w:w="1701"/>
            <w:shd w:val="clear" w:color="auto" w:fill="F4F6FA"/>
          </w:tcPr>
          <w:p>
            <w:pPr>
              <w:pStyle w:val="TableText"/>
            </w:pPr>
            <w:r>
              <w:rPr>
                <w:rFonts w:ascii="Arial" w:hAnsi="Arial"/>
                <w:sz w:val="14"/>
              </w:rPr>
              <w:t>Internal validation and internal audit principles.</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Model use and misuse</w:t>
            </w:r>
          </w:p>
        </w:tc>
        <w:tc>
          <w:tcPr>
            <w:tcW w:type="dxa" w:w="1757"/>
          </w:tcPr>
          <w:p>
            <w:pPr>
              <w:pStyle w:val="TableText"/>
            </w:pPr>
            <w:r>
              <w:rPr>
                <w:rFonts w:ascii="Arial" w:hAnsi="Arial"/>
                <w:sz w:val="14"/>
              </w:rPr>
              <w:t>Use confined to approved purpose and conditions, with limitations communicated to users rather than merely recorded.</w:t>
            </w:r>
          </w:p>
        </w:tc>
        <w:tc>
          <w:tcPr>
            <w:tcW w:type="dxa" w:w="1701"/>
          </w:tcPr>
          <w:p>
            <w:pPr>
              <w:pStyle w:val="TableText"/>
            </w:pPr>
            <w:r>
              <w:rPr>
                <w:rFonts w:ascii="Arial" w:hAnsi="Arial"/>
                <w:sz w:val="14"/>
              </w:rPr>
              <w:t>Recognised that a sound model can carry high model risk if misapplied or misused.</w:t>
            </w:r>
          </w:p>
        </w:tc>
        <w:tc>
          <w:tcPr>
            <w:tcW w:type="dxa" w:w="1701"/>
          </w:tcPr>
          <w:p>
            <w:pPr>
              <w:pStyle w:val="TableText"/>
            </w:pPr>
            <w:r>
              <w:rPr>
                <w:rFonts w:ascii="Arial" w:hAnsi="Arial"/>
                <w:sz w:val="14"/>
              </w:rPr>
              <w:t>Principle 3 covers model use.</w:t>
            </w:r>
          </w:p>
        </w:tc>
        <w:tc>
          <w:tcPr>
            <w:tcW w:type="dxa" w:w="1701"/>
          </w:tcPr>
          <w:p>
            <w:pPr>
              <w:pStyle w:val="TableText"/>
            </w:pPr>
            <w:r>
              <w:rPr>
                <w:rFonts w:ascii="Arial" w:hAnsi="Arial"/>
                <w:sz w:val="14"/>
              </w:rPr>
              <w:t>Principle 1.3 models should be appropriate for their business purposes.</w:t>
            </w:r>
          </w:p>
        </w:tc>
        <w:tc>
          <w:tcPr>
            <w:tcW w:type="dxa" w:w="1701"/>
          </w:tcPr>
          <w:p>
            <w:pPr>
              <w:pStyle w:val="TableText"/>
            </w:pPr>
            <w:r>
              <w:rPr>
                <w:rFonts w:ascii="Arial" w:hAnsi="Arial"/>
                <w:sz w:val="14"/>
              </w:rPr>
              <w:t>Credit risk chapter, general topics Section 6 model use; CRR Article 174 use of models is binding.</w:t>
            </w:r>
          </w:p>
        </w:tc>
        <w:tc>
          <w:tcPr>
            <w:tcW w:type="dxa" w:w="1644"/>
          </w:tcPr>
          <w:p>
            <w:pPr>
              <w:pStyle w:val="TableText"/>
            </w:pPr>
            <w:r>
              <w:rPr>
                <w:rFonts w:ascii="Arial" w:hAnsi="Arial"/>
                <w:sz w:val="14"/>
              </w:rPr>
              <w:t>Use test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Human oversight sound practice.</w:t>
            </w:r>
          </w:p>
        </w:tc>
      </w:tr>
      <w:tr>
        <w:tc>
          <w:tcPr>
            <w:tcW w:type="dxa" w:w="1417"/>
            <w:shd w:val="clear" w:color="auto" w:fill="F4F6FA"/>
          </w:tcPr>
          <w:p>
            <w:pPr>
              <w:pStyle w:val="TableText"/>
            </w:pPr>
            <w:r>
              <w:rPr>
                <w:rFonts w:ascii="Arial" w:hAnsi="Arial"/>
                <w:sz w:val="14"/>
              </w:rPr>
              <w:t>Overlays and expert judgement</w:t>
            </w:r>
          </w:p>
        </w:tc>
        <w:tc>
          <w:tcPr>
            <w:tcW w:type="dxa" w:w="1757"/>
            <w:shd w:val="clear" w:color="auto" w:fill="F4F6FA"/>
          </w:tcPr>
          <w:p>
            <w:pPr>
              <w:pStyle w:val="TableText"/>
            </w:pPr>
            <w:r>
              <w:rPr>
                <w:rFonts w:ascii="Arial" w:hAnsi="Arial"/>
                <w:sz w:val="14"/>
              </w:rPr>
              <w:t>Governance of basis, quantification, approval, duration and removal, with aggregate reporting of overlays in force.</w:t>
            </w:r>
          </w:p>
        </w:tc>
        <w:tc>
          <w:tcPr>
            <w:tcW w:type="dxa" w:w="1701"/>
            <w:shd w:val="clear" w:color="auto" w:fill="F4F6FA"/>
          </w:tcPr>
          <w:p>
            <w:pPr>
              <w:pStyle w:val="TableText"/>
            </w:pPr>
            <w:r>
              <w:rPr>
                <w:rFonts w:ascii="Arial" w:hAnsi="Arial"/>
                <w:sz w:val="14"/>
              </w:rPr>
              <w:t>Overlays and adjustments referenced within monitoring.</w:t>
            </w:r>
          </w:p>
        </w:tc>
        <w:tc>
          <w:tcPr>
            <w:tcW w:type="dxa" w:w="1701"/>
            <w:shd w:val="clear" w:color="auto" w:fill="F4F6FA"/>
          </w:tcPr>
          <w:p>
            <w:pPr>
              <w:pStyle w:val="TableText"/>
            </w:pPr>
            <w:r>
              <w:rPr>
                <w:rFonts w:ascii="Arial" w:hAnsi="Arial"/>
                <w:sz w:val="14"/>
              </w:rPr>
              <w:t>Principle 3.4 model adjustments and expert judgement; Principle 5.1 post-model adjustments.</w:t>
            </w:r>
          </w:p>
        </w:tc>
        <w:tc>
          <w:tcPr>
            <w:tcW w:type="dxa" w:w="1701"/>
            <w:shd w:val="clear" w:color="auto" w:fill="F4F6FA"/>
          </w:tcPr>
          <w:p>
            <w:pPr>
              <w:pStyle w:val="TableText"/>
            </w:pPr>
            <w:r>
              <w:rPr>
                <w:rFonts w:ascii="Arial" w:hAnsi="Arial"/>
                <w:sz w:val="14"/>
              </w:rPr>
              <w:t>Addressed within model monitoring standards.</w:t>
            </w:r>
          </w:p>
        </w:tc>
        <w:tc>
          <w:tcPr>
            <w:tcW w:type="dxa" w:w="1701"/>
            <w:shd w:val="clear" w:color="auto" w:fill="F4F6FA"/>
          </w:tcPr>
          <w:p>
            <w:pPr>
              <w:pStyle w:val="TableText"/>
            </w:pPr>
            <w:r>
              <w:rPr>
                <w:rFonts w:ascii="Arial" w:hAnsi="Arial"/>
                <w:sz w:val="14"/>
              </w:rPr>
              <w:t>Margin of conservatism framework for internal models.</w:t>
            </w:r>
          </w:p>
        </w:tc>
        <w:tc>
          <w:tcPr>
            <w:tcW w:type="dxa" w:w="1644"/>
            <w:shd w:val="clear" w:color="auto" w:fill="F4F6FA"/>
          </w:tcPr>
          <w:p>
            <w:pPr>
              <w:pStyle w:val="TableText"/>
            </w:pPr>
            <w:r>
              <w:rPr>
                <w:rFonts w:ascii="Arial" w:hAnsi="Arial"/>
                <w:sz w:val="14"/>
              </w:rPr>
              <w:t>Not addressed generally.</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Change management</w:t>
            </w:r>
          </w:p>
        </w:tc>
        <w:tc>
          <w:tcPr>
            <w:tcW w:type="dxa" w:w="1757"/>
          </w:tcPr>
          <w:p>
            <w:pPr>
              <w:pStyle w:val="TableText"/>
            </w:pPr>
            <w:r>
              <w:rPr>
                <w:rFonts w:ascii="Arial" w:hAnsi="Arial"/>
                <w:sz w:val="14"/>
              </w:rPr>
              <w:t>Materiality assessment of changes individually and cumulatively, with provider-initiated change treated as an entity change event.</w:t>
            </w:r>
          </w:p>
        </w:tc>
        <w:tc>
          <w:tcPr>
            <w:tcW w:type="dxa" w:w="1701"/>
          </w:tcPr>
          <w:p>
            <w:pPr>
              <w:pStyle w:val="TableText"/>
            </w:pPr>
            <w:r>
              <w:rPr>
                <w:rFonts w:ascii="Arial" w:hAnsi="Arial"/>
                <w:sz w:val="14"/>
              </w:rPr>
              <w:t>Frequency and scope of model changes inform validation timing.</w:t>
            </w:r>
          </w:p>
        </w:tc>
        <w:tc>
          <w:tcPr>
            <w:tcW w:type="dxa" w:w="1701"/>
          </w:tcPr>
          <w:p>
            <w:pPr>
              <w:pStyle w:val="TableText"/>
            </w:pPr>
            <w:r>
              <w:rPr>
                <w:rFonts w:ascii="Arial" w:hAnsi="Arial"/>
                <w:sz w:val="14"/>
              </w:rPr>
              <w:t>Within Principle 3 and Principle 4.5 periodic revalidation.</w:t>
            </w:r>
          </w:p>
        </w:tc>
        <w:tc>
          <w:tcPr>
            <w:tcW w:type="dxa" w:w="1701"/>
          </w:tcPr>
          <w:p>
            <w:pPr>
              <w:pStyle w:val="TableText"/>
            </w:pPr>
            <w:r>
              <w:rPr>
                <w:rFonts w:ascii="Arial" w:hAnsi="Arial"/>
                <w:sz w:val="14"/>
              </w:rPr>
              <w:t>Principle 3.5 deployment with quality and change control processes.</w:t>
            </w:r>
          </w:p>
        </w:tc>
        <w:tc>
          <w:tcPr>
            <w:tcW w:type="dxa" w:w="1701"/>
          </w:tcPr>
          <w:p>
            <w:pPr>
              <w:pStyle w:val="TableText"/>
            </w:pPr>
            <w:r>
              <w:rPr>
                <w:rFonts w:ascii="Arial" w:hAnsi="Arial"/>
                <w:sz w:val="14"/>
              </w:rPr>
              <w:t>Section 10 on implementation of a changed or extended model; a detailed model change regime.</w:t>
            </w:r>
          </w:p>
        </w:tc>
        <w:tc>
          <w:tcPr>
            <w:tcW w:type="dxa" w:w="1644"/>
          </w:tcPr>
          <w:p>
            <w:pPr>
              <w:pStyle w:val="TableText"/>
            </w:pPr>
            <w:r>
              <w:rPr>
                <w:rFonts w:ascii="Arial" w:hAnsi="Arial"/>
                <w:sz w:val="14"/>
              </w:rPr>
              <w:t>Change control for capital models.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Organisational adaptability sound practice.</w:t>
            </w:r>
          </w:p>
        </w:tc>
      </w:tr>
      <w:tr>
        <w:tc>
          <w:tcPr>
            <w:tcW w:type="dxa" w:w="1417"/>
            <w:shd w:val="clear" w:color="auto" w:fill="F4F6FA"/>
          </w:tcPr>
          <w:p>
            <w:pPr>
              <w:pStyle w:val="TableText"/>
            </w:pPr>
            <w:r>
              <w:rPr>
                <w:rFonts w:ascii="Arial" w:hAnsi="Arial"/>
                <w:sz w:val="14"/>
              </w:rPr>
              <w:t>Monitoring and drift</w:t>
            </w:r>
          </w:p>
        </w:tc>
        <w:tc>
          <w:tcPr>
            <w:tcW w:type="dxa" w:w="1757"/>
            <w:shd w:val="clear" w:color="auto" w:fill="F4F6FA"/>
          </w:tcPr>
          <w:p>
            <w:pPr>
              <w:pStyle w:val="TableText"/>
            </w:pPr>
            <w:r>
              <w:rPr>
                <w:rFonts w:ascii="Arial" w:hAnsi="Arial"/>
                <w:sz w:val="14"/>
              </w:rPr>
              <w:t>Tier-based monitoring frequency with pre-set thresholds linked to investigation, restriction, revalidation or withdrawal.</w:t>
            </w:r>
          </w:p>
        </w:tc>
        <w:tc>
          <w:tcPr>
            <w:tcW w:type="dxa" w:w="1701"/>
            <w:shd w:val="clear" w:color="auto" w:fill="F4F6FA"/>
          </w:tcPr>
          <w:p>
            <w:pPr>
              <w:pStyle w:val="TableText"/>
            </w:pPr>
            <w:r>
              <w:rPr>
                <w:rFonts w:ascii="Arial" w:hAnsi="Arial"/>
                <w:sz w:val="14"/>
              </w:rPr>
              <w:t>Ongoing model monitoring as a named validation component.</w:t>
            </w:r>
          </w:p>
        </w:tc>
        <w:tc>
          <w:tcPr>
            <w:tcW w:type="dxa" w:w="1701"/>
            <w:shd w:val="clear" w:color="auto" w:fill="F4F6FA"/>
          </w:tcPr>
          <w:p>
            <w:pPr>
              <w:pStyle w:val="TableText"/>
            </w:pPr>
            <w:r>
              <w:rPr>
                <w:rFonts w:ascii="Arial" w:hAnsi="Arial"/>
                <w:sz w:val="14"/>
              </w:rPr>
              <w:t>Principle 4.4 model performance monitoring.</w:t>
            </w:r>
          </w:p>
        </w:tc>
        <w:tc>
          <w:tcPr>
            <w:tcW w:type="dxa" w:w="1701"/>
            <w:shd w:val="clear" w:color="auto" w:fill="F4F6FA"/>
          </w:tcPr>
          <w:p>
            <w:pPr>
              <w:pStyle w:val="TableText"/>
            </w:pPr>
            <w:r>
              <w:rPr>
                <w:rFonts w:ascii="Arial" w:hAnsi="Arial"/>
                <w:sz w:val="14"/>
              </w:rPr>
              <w:t>Principle 3.6 standards for model monitoring and decommission.</w:t>
            </w:r>
          </w:p>
        </w:tc>
        <w:tc>
          <w:tcPr>
            <w:tcW w:type="dxa" w:w="1701"/>
            <w:shd w:val="clear" w:color="auto" w:fill="F4F6FA"/>
          </w:tcPr>
          <w:p>
            <w:pPr>
              <w:pStyle w:val="TableText"/>
            </w:pPr>
            <w:r>
              <w:rPr>
                <w:rFonts w:ascii="Arial" w:hAnsi="Arial"/>
                <w:sz w:val="14"/>
              </w:rPr>
              <w:t>Within internal validation and model change provisions.</w:t>
            </w:r>
          </w:p>
        </w:tc>
        <w:tc>
          <w:tcPr>
            <w:tcW w:type="dxa" w:w="1644"/>
            <w:shd w:val="clear" w:color="auto" w:fill="F4F6FA"/>
          </w:tcPr>
          <w:p>
            <w:pPr>
              <w:pStyle w:val="TableText"/>
            </w:pPr>
            <w:r>
              <w:rPr>
                <w:rFonts w:ascii="Arial" w:hAnsi="Arial"/>
                <w:sz w:val="14"/>
              </w:rPr>
              <w:t>Post-deployment monitoring in observed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Sound Practice 9 performance management.</w:t>
            </w:r>
          </w:p>
        </w:tc>
      </w:tr>
      <w:tr>
        <w:tc>
          <w:tcPr>
            <w:tcW w:type="dxa" w:w="1417"/>
          </w:tcPr>
          <w:p>
            <w:pPr>
              <w:pStyle w:val="TableText"/>
            </w:pPr>
            <w:r>
              <w:rPr>
                <w:rFonts w:ascii="Arial" w:hAnsi="Arial"/>
                <w:sz w:val="14"/>
              </w:rPr>
              <w:t>Decommissioning</w:t>
            </w:r>
          </w:p>
        </w:tc>
        <w:tc>
          <w:tcPr>
            <w:tcW w:type="dxa" w:w="1757"/>
          </w:tcPr>
          <w:p>
            <w:pPr>
              <w:pStyle w:val="TableText"/>
            </w:pPr>
            <w:r>
              <w:rPr>
                <w:rFonts w:ascii="Arial" w:hAnsi="Arial"/>
                <w:sz w:val="14"/>
              </w:rPr>
              <w:t>Managed decommissioning covering downstream models, outputs still in force, records and data disposition.</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Not separately addressed.</w:t>
            </w:r>
          </w:p>
        </w:tc>
        <w:tc>
          <w:tcPr>
            <w:tcW w:type="dxa" w:w="1701"/>
          </w:tcPr>
          <w:p>
            <w:pPr>
              <w:pStyle w:val="TableText"/>
            </w:pPr>
            <w:r>
              <w:rPr>
                <w:rFonts w:ascii="Arial" w:hAnsi="Arial"/>
                <w:sz w:val="14"/>
              </w:rPr>
              <w:t>Principle 3.6 expressly covers model decommission.</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Third-party and vendor models</w:t>
            </w:r>
          </w:p>
        </w:tc>
        <w:tc>
          <w:tcPr>
            <w:tcW w:type="dxa" w:w="1757"/>
            <w:shd w:val="clear" w:color="auto" w:fill="F4F6FA"/>
          </w:tcPr>
          <w:p>
            <w:pPr>
              <w:pStyle w:val="TableText"/>
            </w:pPr>
            <w:r>
              <w:rPr>
                <w:rFonts w:ascii="Arial" w:hAnsi="Arial"/>
                <w:sz w:val="14"/>
              </w:rPr>
              <w:t>Full framework applied to third-party models, with usable information rights and compensating controls where information is unavailable.</w:t>
            </w:r>
          </w:p>
        </w:tc>
        <w:tc>
          <w:tcPr>
            <w:tcW w:type="dxa" w:w="1701"/>
            <w:shd w:val="clear" w:color="auto" w:fill="F4F6FA"/>
          </w:tcPr>
          <w:p>
            <w:pPr>
              <w:pStyle w:val="TableText"/>
            </w:pPr>
            <w:r>
              <w:rPr>
                <w:rFonts w:ascii="Arial" w:hAnsi="Arial"/>
                <w:sz w:val="14"/>
              </w:rPr>
              <w:t>Section VII on vendor and other third-party products, including validation and ongoing monitoring of vendor models.</w:t>
            </w:r>
          </w:p>
        </w:tc>
        <w:tc>
          <w:tcPr>
            <w:tcW w:type="dxa" w:w="1701"/>
            <w:shd w:val="clear" w:color="auto" w:fill="F4F6FA"/>
          </w:tcPr>
          <w:p>
            <w:pPr>
              <w:pStyle w:val="TableText"/>
            </w:pPr>
            <w:r>
              <w:rPr>
                <w:rFonts w:ascii="Arial" w:hAnsi="Arial"/>
                <w:sz w:val="14"/>
              </w:rPr>
              <w:t>Principle 2.6 use of externally developed models and third-party vendor products.</w:t>
            </w:r>
          </w:p>
        </w:tc>
        <w:tc>
          <w:tcPr>
            <w:tcW w:type="dxa" w:w="1701"/>
            <w:shd w:val="clear" w:color="auto" w:fill="F4F6FA"/>
          </w:tcPr>
          <w:p>
            <w:pPr>
              <w:pStyle w:val="TableText"/>
            </w:pPr>
            <w:r>
              <w:rPr>
                <w:rFonts w:ascii="Arial" w:hAnsi="Arial"/>
                <w:sz w:val="14"/>
              </w:rPr>
              <w:t>All models in scope regardless of source; B-10 applies to the arrangement.</w:t>
            </w:r>
          </w:p>
        </w:tc>
        <w:tc>
          <w:tcPr>
            <w:tcW w:type="dxa" w:w="1701"/>
            <w:shd w:val="clear" w:color="auto" w:fill="F4F6FA"/>
          </w:tcPr>
          <w:p>
            <w:pPr>
              <w:pStyle w:val="TableText"/>
            </w:pPr>
            <w:r>
              <w:rPr>
                <w:rFonts w:ascii="Arial" w:hAnsi="Arial"/>
                <w:sz w:val="14"/>
              </w:rPr>
              <w:t>Section 11 third-party involvement.</w:t>
            </w:r>
          </w:p>
        </w:tc>
        <w:tc>
          <w:tcPr>
            <w:tcW w:type="dxa" w:w="1644"/>
            <w:shd w:val="clear" w:color="auto" w:fill="F4F6FA"/>
          </w:tcPr>
          <w:p>
            <w:pPr>
              <w:pStyle w:val="TableText"/>
            </w:pPr>
            <w:r>
              <w:rPr>
                <w:rFonts w:ascii="Arial" w:hAnsi="Arial"/>
                <w:sz w:val="14"/>
              </w:rPr>
              <w:t>Provider opacity and contingency prominent in AI practice.</w:t>
            </w:r>
          </w:p>
        </w:tc>
        <w:tc>
          <w:tcPr>
            <w:tcW w:type="dxa" w:w="1531"/>
            <w:shd w:val="clear" w:color="auto" w:fill="F4F6FA"/>
          </w:tcPr>
          <w:p>
            <w:pPr>
              <w:pStyle w:val="TableText"/>
            </w:pPr>
            <w:r>
              <w:rPr>
                <w:rFonts w:ascii="Arial" w:hAnsi="Arial"/>
                <w:sz w:val="14"/>
              </w:rPr>
              <w:t>Twelve third-party risk principles covering the full lifecycle.</w:t>
            </w:r>
          </w:p>
        </w:tc>
        <w:tc>
          <w:tcPr>
            <w:tcW w:type="dxa" w:w="1417"/>
            <w:shd w:val="clear" w:color="auto" w:fill="F4F6FA"/>
          </w:tcPr>
          <w:p>
            <w:pPr>
              <w:pStyle w:val="TableText"/>
            </w:pPr>
            <w:r>
              <w:rPr>
                <w:rFonts w:ascii="Arial" w:hAnsi="Arial"/>
                <w:sz w:val="14"/>
              </w:rPr>
              <w:t>Sound Practice 12 third-party AI risk management.</w:t>
            </w:r>
          </w:p>
        </w:tc>
      </w:tr>
      <w:tr>
        <w:tc>
          <w:tcPr>
            <w:tcW w:type="dxa" w:w="1417"/>
          </w:tcPr>
          <w:p>
            <w:pPr>
              <w:pStyle w:val="TableText"/>
            </w:pPr>
            <w:r>
              <w:rPr>
                <w:rFonts w:ascii="Arial" w:hAnsi="Arial"/>
                <w:sz w:val="14"/>
              </w:rPr>
              <w:t>Concentration and substitutability</w:t>
            </w:r>
          </w:p>
        </w:tc>
        <w:tc>
          <w:tcPr>
            <w:tcW w:type="dxa" w:w="1757"/>
          </w:tcPr>
          <w:p>
            <w:pPr>
              <w:pStyle w:val="TableText"/>
            </w:pPr>
            <w:r>
              <w:rPr>
                <w:rFonts w:ascii="Arial" w:hAnsi="Arial"/>
                <w:sz w:val="14"/>
              </w:rPr>
              <w:t>Entity-level concentration assessment, with support for sector-wide monitoring of common model and data dependencies.</w:t>
            </w:r>
          </w:p>
        </w:tc>
        <w:tc>
          <w:tcPr>
            <w:tcW w:type="dxa" w:w="1701"/>
          </w:tcPr>
          <w:p>
            <w:pPr>
              <w:pStyle w:val="TableText"/>
            </w:pPr>
            <w:r>
              <w:rPr>
                <w:rFonts w:ascii="Arial" w:hAnsi="Arial"/>
                <w:sz w:val="14"/>
              </w:rPr>
              <w:t>Not addressed as a systemic matter.</w:t>
            </w:r>
          </w:p>
        </w:tc>
        <w:tc>
          <w:tcPr>
            <w:tcW w:type="dxa" w:w="1701"/>
          </w:tcPr>
          <w:p>
            <w:pPr>
              <w:pStyle w:val="TableText"/>
            </w:pPr>
            <w:r>
              <w:rPr>
                <w:rFonts w:ascii="Arial" w:hAnsi="Arial"/>
                <w:sz w:val="14"/>
              </w:rPr>
              <w:t>Not AI-specific.</w:t>
            </w:r>
          </w:p>
        </w:tc>
        <w:tc>
          <w:tcPr>
            <w:tcW w:type="dxa" w:w="1701"/>
          </w:tcPr>
          <w:p>
            <w:pPr>
              <w:pStyle w:val="TableText"/>
            </w:pPr>
            <w:r>
              <w:rPr>
                <w:rFonts w:ascii="Arial" w:hAnsi="Arial"/>
                <w:sz w:val="14"/>
              </w:rPr>
              <w:t>Interconnectedness is a proportionality factor.</w:t>
            </w:r>
          </w:p>
        </w:tc>
        <w:tc>
          <w:tcPr>
            <w:tcW w:type="dxa" w:w="1701"/>
          </w:tcPr>
          <w:p>
            <w:pPr>
              <w:pStyle w:val="TableText"/>
            </w:pPr>
            <w:r>
              <w:rPr>
                <w:rFonts w:ascii="Arial" w:hAnsi="Arial"/>
                <w:sz w:val="14"/>
              </w:rPr>
              <w:t>Not addressed as a systemic matter.</w:t>
            </w:r>
          </w:p>
        </w:tc>
        <w:tc>
          <w:tcPr>
            <w:tcW w:type="dxa" w:w="1644"/>
          </w:tcPr>
          <w:p>
            <w:pPr>
              <w:pStyle w:val="TableText"/>
            </w:pPr>
            <w:r>
              <w:rPr>
                <w:rFonts w:ascii="Arial" w:hAnsi="Arial"/>
                <w:sz w:val="14"/>
              </w:rPr>
              <w:t>Provider concentration highlighted in AI practice.</w:t>
            </w:r>
          </w:p>
        </w:tc>
        <w:tc>
          <w:tcPr>
            <w:tcW w:type="dxa" w:w="1531"/>
          </w:tcPr>
          <w:p>
            <w:pPr>
              <w:pStyle w:val="TableText"/>
            </w:pPr>
            <w:r>
              <w:rPr>
                <w:rFonts w:ascii="Arial" w:hAnsi="Arial"/>
                <w:sz w:val="14"/>
              </w:rPr>
              <w:t>Concentration addressed in the third-party principles.</w:t>
            </w:r>
          </w:p>
        </w:tc>
        <w:tc>
          <w:tcPr>
            <w:tcW w:type="dxa" w:w="1417"/>
          </w:tcPr>
          <w:p>
            <w:pPr>
              <w:pStyle w:val="TableText"/>
            </w:pPr>
            <w:r>
              <w:rPr>
                <w:rFonts w:ascii="Arial" w:hAnsi="Arial"/>
                <w:sz w:val="14"/>
              </w:rPr>
              <w:t>Third-party dependencies and service provider concentration identified as a financial stability vulnerability.</w:t>
            </w:r>
          </w:p>
        </w:tc>
      </w:tr>
      <w:tr>
        <w:tc>
          <w:tcPr>
            <w:tcW w:type="dxa" w:w="1417"/>
            <w:shd w:val="clear" w:color="auto" w:fill="F4F6FA"/>
          </w:tcPr>
          <w:p>
            <w:pPr>
              <w:pStyle w:val="TableText"/>
            </w:pPr>
            <w:r>
              <w:rPr>
                <w:rFonts w:ascii="Arial" w:hAnsi="Arial"/>
                <w:sz w:val="14"/>
              </w:rPr>
              <w:t>AI and machine learning models</w:t>
            </w:r>
          </w:p>
        </w:tc>
        <w:tc>
          <w:tcPr>
            <w:tcW w:type="dxa" w:w="1757"/>
            <w:shd w:val="clear" w:color="auto" w:fill="F4F6FA"/>
          </w:tcPr>
          <w:p>
            <w:pPr>
              <w:pStyle w:val="TableText"/>
            </w:pPr>
            <w:r>
              <w:rPr>
                <w:rFonts w:ascii="Arial" w:hAnsi="Arial"/>
                <w:sz w:val="14"/>
              </w:rPr>
              <w:t>AI models within the framework as a model class, with an express boundary rule against the separate AI instrument.</w:t>
            </w:r>
          </w:p>
        </w:tc>
        <w:tc>
          <w:tcPr>
            <w:tcW w:type="dxa" w:w="1701"/>
            <w:shd w:val="clear" w:color="auto" w:fill="F4F6FA"/>
          </w:tcPr>
          <w:p>
            <w:pPr>
              <w:pStyle w:val="TableText"/>
            </w:pPr>
            <w:r>
              <w:rPr>
                <w:rFonts w:ascii="Arial" w:hAnsi="Arial"/>
                <w:sz w:val="14"/>
              </w:rPr>
              <w:t>Traditional and non-generative, non-agentic AI models in scope; generative and agentic AI expressly excluded.</w:t>
            </w:r>
          </w:p>
        </w:tc>
        <w:tc>
          <w:tcPr>
            <w:tcW w:type="dxa" w:w="1701"/>
            <w:shd w:val="clear" w:color="auto" w:fill="F4F6FA"/>
          </w:tcPr>
          <w:p>
            <w:pPr>
              <w:pStyle w:val="TableText"/>
            </w:pPr>
            <w:r>
              <w:rPr>
                <w:rFonts w:ascii="Arial" w:hAnsi="Arial"/>
                <w:sz w:val="14"/>
              </w:rPr>
              <w:t>Covered where AI meets the firm's model definition; a 2025 roundtable considered AI and ML in model risk.</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Section 9 on the use of machine learning techniques in internal models.</w:t>
            </w:r>
          </w:p>
        </w:tc>
        <w:tc>
          <w:tcPr>
            <w:tcW w:type="dxa" w:w="1644"/>
            <w:shd w:val="clear" w:color="auto" w:fill="F4F6FA"/>
          </w:tcPr>
          <w:p>
            <w:pPr>
              <w:pStyle w:val="TableText"/>
            </w:pPr>
            <w:r>
              <w:rPr>
                <w:rFonts w:ascii="Arial" w:hAnsi="Arial"/>
                <w:sz w:val="14"/>
              </w:rPr>
              <w:t>Detailed observed practice for AI model risk management, including generative AI.</w:t>
            </w:r>
          </w:p>
        </w:tc>
        <w:tc>
          <w:tcPr>
            <w:tcW w:type="dxa" w:w="1531"/>
            <w:shd w:val="clear" w:color="auto" w:fill="F4F6FA"/>
          </w:tcPr>
          <w:p>
            <w:pPr>
              <w:pStyle w:val="TableText"/>
            </w:pPr>
            <w:r>
              <w:rPr>
                <w:rFonts w:ascii="Arial" w:hAnsi="Arial"/>
                <w:sz w:val="14"/>
              </w:rPr>
              <w:t>Analytical work on digitalisation and an AI/ML newsletter; no dedicated standard.</w:t>
            </w:r>
          </w:p>
        </w:tc>
        <w:tc>
          <w:tcPr>
            <w:tcW w:type="dxa" w:w="1417"/>
            <w:shd w:val="clear" w:color="auto" w:fill="F4F6FA"/>
          </w:tcPr>
          <w:p>
            <w:pPr>
              <w:pStyle w:val="TableText"/>
            </w:pPr>
            <w:r>
              <w:rPr>
                <w:rFonts w:ascii="Arial" w:hAnsi="Arial"/>
                <w:sz w:val="14"/>
              </w:rPr>
              <w:t>Twelve sound practices for AI adoption, expressly not a standard.</w:t>
            </w:r>
          </w:p>
        </w:tc>
      </w:tr>
      <w:tr>
        <w:tc>
          <w:tcPr>
            <w:tcW w:type="dxa" w:w="1417"/>
          </w:tcPr>
          <w:p>
            <w:pPr>
              <w:pStyle w:val="TableText"/>
            </w:pPr>
            <w:r>
              <w:rPr>
                <w:rFonts w:ascii="Arial" w:hAnsi="Arial"/>
                <w:sz w:val="14"/>
              </w:rPr>
              <w:t>Aggregate model risk</w:t>
            </w:r>
          </w:p>
        </w:tc>
        <w:tc>
          <w:tcPr>
            <w:tcW w:type="dxa" w:w="1757"/>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tcPr>
          <w:p>
            <w:pPr>
              <w:pStyle w:val="TableText"/>
            </w:pPr>
            <w:r>
              <w:rPr>
                <w:rFonts w:ascii="Arial" w:hAnsi="Arial"/>
                <w:sz w:val="14"/>
              </w:rPr>
              <w:t>Principle 2.1 board responsibilities, covering understanding and reporting of model risk in aggregate.</w:t>
            </w:r>
          </w:p>
        </w:tc>
        <w:tc>
          <w:tcPr>
            <w:tcW w:type="dxa" w:w="1701"/>
          </w:tcPr>
          <w:p>
            <w:pPr>
              <w:pStyle w:val="TableText"/>
            </w:pPr>
            <w:r>
              <w:rPr>
                <w:rFonts w:ascii="Arial" w:hAnsi="Arial"/>
                <w:sz w:val="14"/>
              </w:rPr>
              <w:t>Outcome 1 requires model risk to be understood across the enterprise.</w:t>
            </w:r>
          </w:p>
        </w:tc>
        <w:tc>
          <w:tcPr>
            <w:tcW w:type="dxa" w:w="1701"/>
          </w:tcPr>
          <w:p>
            <w:pPr>
              <w:pStyle w:val="TableText"/>
            </w:pPr>
            <w:r>
              <w:rPr>
                <w:rFonts w:ascii="Arial" w:hAnsi="Arial"/>
                <w:sz w:val="14"/>
              </w:rPr>
              <w:t>Model risk considered in supervisory review.</w:t>
            </w:r>
          </w:p>
        </w:tc>
        <w:tc>
          <w:tcPr>
            <w:tcW w:type="dxa" w:w="1644"/>
          </w:tcPr>
          <w:p>
            <w:pPr>
              <w:pStyle w:val="TableText"/>
            </w:pPr>
            <w:r>
              <w:rPr>
                <w:rFonts w:ascii="Arial" w:hAnsi="Arial"/>
                <w:sz w:val="14"/>
              </w:rPr>
              <w:t>Not addressed.</w:t>
            </w:r>
          </w:p>
        </w:tc>
        <w:tc>
          <w:tcPr>
            <w:tcW w:type="dxa" w:w="1531"/>
          </w:tcPr>
          <w:p>
            <w:pPr>
              <w:pStyle w:val="TableText"/>
            </w:pPr>
            <w:r>
              <w:rPr>
                <w:rFonts w:ascii="Arial" w:hAnsi="Arial"/>
                <w:sz w:val="14"/>
              </w:rPr>
              <w:t>Prudent valuation guidance (CAP50) and the Pillar 3 prudent valuation template may bear on aggregate model risk adjustment and disclosure; not confirmed from primary text at the as-of date.</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Internal audit and assurance</w:t>
            </w:r>
          </w:p>
        </w:tc>
        <w:tc>
          <w:tcPr>
            <w:tcW w:type="dxa" w:w="1757"/>
            <w:shd w:val="clear" w:color="auto" w:fill="F4F6FA"/>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shd w:val="clear" w:color="auto" w:fill="F4F6FA"/>
          </w:tcPr>
          <w:p>
            <w:pPr>
              <w:pStyle w:val="TableText"/>
            </w:pPr>
            <w:r>
              <w:rPr>
                <w:rFonts w:ascii="Arial" w:hAnsi="Arial"/>
                <w:sz w:val="14"/>
              </w:rPr>
              <w:t>Internal audit evaluates whether model risk management practices are rigorous and effective, rather than duplicating validation.</w:t>
            </w:r>
          </w:p>
        </w:tc>
        <w:tc>
          <w:tcPr>
            <w:tcW w:type="dxa" w:w="1701"/>
            <w:shd w:val="clear" w:color="auto" w:fill="F4F6FA"/>
          </w:tcPr>
          <w:p>
            <w:pPr>
              <w:pStyle w:val="TableText"/>
            </w:pPr>
            <w:r>
              <w:rPr>
                <w:rFonts w:ascii="Arial" w:hAnsi="Arial"/>
                <w:sz w:val="14"/>
              </w:rPr>
              <w:t>Principle 2.5 Internal Audit.</w:t>
            </w:r>
          </w:p>
        </w:tc>
        <w:tc>
          <w:tcPr>
            <w:tcW w:type="dxa" w:w="1701"/>
            <w:shd w:val="clear" w:color="auto" w:fill="F4F6FA"/>
          </w:tcPr>
          <w:p>
            <w:pPr>
              <w:pStyle w:val="TableText"/>
            </w:pPr>
            <w:r>
              <w:rPr>
                <w:rFonts w:ascii="Arial" w:hAnsi="Arial"/>
                <w:sz w:val="14"/>
              </w:rPr>
              <w:t>Addressed within governance expectations.</w:t>
            </w:r>
          </w:p>
        </w:tc>
        <w:tc>
          <w:tcPr>
            <w:tcW w:type="dxa" w:w="1701"/>
            <w:shd w:val="clear" w:color="auto" w:fill="F4F6FA"/>
          </w:tcPr>
          <w:p>
            <w:pPr>
              <w:pStyle w:val="TableText"/>
            </w:pPr>
            <w:r>
              <w:rPr>
                <w:rFonts w:ascii="Arial" w:hAnsi="Arial"/>
                <w:sz w:val="14"/>
              </w:rPr>
              <w:t>Section 7 internal audit; CRR Article 191 makes it binding.</w:t>
            </w:r>
          </w:p>
        </w:tc>
        <w:tc>
          <w:tcPr>
            <w:tcW w:type="dxa" w:w="1644"/>
            <w:shd w:val="clear" w:color="auto" w:fill="F4F6FA"/>
          </w:tcPr>
          <w:p>
            <w:pPr>
              <w:pStyle w:val="TableText"/>
            </w:pPr>
            <w:r>
              <w:rPr>
                <w:rFonts w:ascii="Arial" w:hAnsi="Arial"/>
                <w:sz w:val="14"/>
              </w:rPr>
              <w:t>Independent review under Notice 637.</w:t>
            </w:r>
          </w:p>
        </w:tc>
        <w:tc>
          <w:tcPr>
            <w:tcW w:type="dxa" w:w="1531"/>
            <w:shd w:val="clear" w:color="auto" w:fill="F4F6FA"/>
          </w:tcPr>
          <w:p>
            <w:pPr>
              <w:pStyle w:val="TableText"/>
            </w:pPr>
            <w:r>
              <w:rPr>
                <w:rFonts w:ascii="Arial" w:hAnsi="Arial"/>
                <w:sz w:val="14"/>
              </w:rPr>
              <w:t>Three lines concepts apply generally.</w:t>
            </w:r>
          </w:p>
        </w:tc>
        <w:tc>
          <w:tcPr>
            <w:tcW w:type="dxa" w:w="1417"/>
            <w:shd w:val="clear" w:color="auto" w:fill="F4F6FA"/>
          </w:tcPr>
          <w:p>
            <w:pPr>
              <w:pStyle w:val="TableText"/>
            </w:pPr>
            <w:r>
              <w:rPr>
                <w:rFonts w:ascii="Arial" w:hAnsi="Arial"/>
                <w:sz w:val="14"/>
              </w:rPr>
              <w:t>Governance sound practices.</w:t>
            </w:r>
          </w:p>
        </w:tc>
      </w:tr>
      <w:tr>
        <w:tc>
          <w:tcPr>
            <w:tcW w:type="dxa" w:w="1417"/>
          </w:tcPr>
          <w:p>
            <w:pPr>
              <w:pStyle w:val="TableText"/>
            </w:pPr>
            <w:r>
              <w:rPr>
                <w:rFonts w:ascii="Arial" w:hAnsi="Arial"/>
                <w:sz w:val="14"/>
              </w:rPr>
              <w:t>Supervisory notification</w:t>
            </w:r>
          </w:p>
        </w:tc>
        <w:tc>
          <w:tcPr>
            <w:tcW w:type="dxa" w:w="1757"/>
          </w:tcPr>
          <w:p>
            <w:pPr>
              <w:pStyle w:val="TableText"/>
            </w:pPr>
            <w:r>
              <w:rPr>
                <w:rFonts w:ascii="Arial" w:hAnsi="Arial"/>
                <w:sz w:val="14"/>
              </w:rPr>
              <w:t>Cross-references CPS 230 and CPS 234 rather than creating a separate deadline, with early engagement expected on material model weakness.</w:t>
            </w:r>
          </w:p>
        </w:tc>
        <w:tc>
          <w:tcPr>
            <w:tcW w:type="dxa" w:w="1701"/>
          </w:tcPr>
          <w:p>
            <w:pPr>
              <w:pStyle w:val="TableText"/>
            </w:pPr>
            <w:r>
              <w:rPr>
                <w:rFonts w:ascii="Arial" w:hAnsi="Arial"/>
                <w:sz w:val="14"/>
              </w:rPr>
              <w:t>No model-specific notification requirement.</w:t>
            </w:r>
          </w:p>
        </w:tc>
        <w:tc>
          <w:tcPr>
            <w:tcW w:type="dxa" w:w="1701"/>
          </w:tcPr>
          <w:p>
            <w:pPr>
              <w:pStyle w:val="TableText"/>
            </w:pPr>
            <w:r>
              <w:rPr>
                <w:rFonts w:ascii="Arial" w:hAnsi="Arial"/>
                <w:sz w:val="14"/>
              </w:rPr>
              <w:t>Escalation within the framework; no notification rule.</w:t>
            </w:r>
          </w:p>
        </w:tc>
        <w:tc>
          <w:tcPr>
            <w:tcW w:type="dxa" w:w="1701"/>
          </w:tcPr>
          <w:p>
            <w:pPr>
              <w:pStyle w:val="TableText"/>
            </w:pPr>
            <w:r>
              <w:rPr>
                <w:rFonts w:ascii="Arial" w:hAnsi="Arial"/>
                <w:sz w:val="14"/>
              </w:rPr>
              <w:t>Supervisory engagement expected.</w:t>
            </w:r>
          </w:p>
        </w:tc>
        <w:tc>
          <w:tcPr>
            <w:tcW w:type="dxa" w:w="1701"/>
          </w:tcPr>
          <w:p>
            <w:pPr>
              <w:pStyle w:val="TableText"/>
            </w:pPr>
            <w:r>
              <w:rPr>
                <w:rFonts w:ascii="Arial" w:hAnsi="Arial"/>
                <w:sz w:val="14"/>
              </w:rPr>
              <w:t>Model change approval required from the supervisor for capital models.</w:t>
            </w:r>
          </w:p>
        </w:tc>
        <w:tc>
          <w:tcPr>
            <w:tcW w:type="dxa" w:w="1644"/>
          </w:tcPr>
          <w:p>
            <w:pPr>
              <w:pStyle w:val="TableText"/>
            </w:pPr>
            <w:r>
              <w:rPr>
                <w:rFonts w:ascii="Arial" w:hAnsi="Arial"/>
                <w:sz w:val="14"/>
              </w:rPr>
              <w:t>Notification for capital model changes.</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BIS-classified Guidelines, not a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FSB-SP-2026</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Sound Practices for Responsible Adoption of Artificial Intelligence — consultation report</w:t>
            </w:r>
          </w:p>
        </w:tc>
        <w:tc>
          <w:tcPr>
            <w:tcW w:type="dxa" w:w="1304"/>
            <w:shd w:val="clear" w:color="auto" w:fill="F4F6FA"/>
          </w:tcPr>
          <w:p>
            <w:pPr>
              <w:pStyle w:val="TableText"/>
            </w:pPr>
            <w:r>
              <w:rPr>
                <w:rFonts w:ascii="Arial" w:hAnsi="Arial"/>
                <w:sz w:val="14"/>
              </w:rPr>
              <w:t>Jun 2026 (consultation)</w:t>
            </w:r>
          </w:p>
        </w:tc>
        <w:tc>
          <w:tcPr>
            <w:tcW w:type="dxa" w:w="1701"/>
            <w:shd w:val="clear" w:color="auto" w:fill="F4F6FA"/>
          </w:tcPr>
          <w:p>
            <w:pPr>
              <w:pStyle w:val="TableText"/>
            </w:pPr>
            <w:r>
              <w:rPr>
                <w:rFonts w:ascii="Arial" w:hAnsi="Arial"/>
                <w:sz w:val="14"/>
              </w:rPr>
              <w:t>Consultation report. The FSB states expressly that the sound practices are not intended to establish an international standard. Not binding anywhere.</w:t>
            </w:r>
          </w:p>
        </w:tc>
        <w:tc>
          <w:tcPr>
            <w:tcW w:type="dxa" w:w="1984"/>
            <w:shd w:val="clear" w:color="auto" w:fill="F4F6FA"/>
          </w:tcPr>
          <w:p>
            <w:pPr>
              <w:pStyle w:val="TableText"/>
            </w:pPr>
            <w:r>
              <w:rPr>
                <w:rFonts w:ascii="Arial" w:hAnsi="Arial"/>
                <w:sz w:val="14"/>
              </w:rPr>
              <w:t>https://www.fsb.org/2026/06/sound-practices-for-responsible-adoption-of-artificial-intelligence-ai/</w:t>
            </w:r>
          </w:p>
        </w:tc>
      </w:tr>
      <w:tr>
        <w:tc>
          <w:tcPr>
            <w:tcW w:type="dxa" w:w="1077"/>
          </w:tcPr>
          <w:p>
            <w:pPr>
              <w:pStyle w:val="TableText"/>
            </w:pPr>
            <w:r>
              <w:rPr>
                <w:rFonts w:ascii="Arial" w:hAnsi="Arial"/>
                <w:sz w:val="14"/>
              </w:rPr>
              <w:t>FSB-AI-2024</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The Financial Stability Implications of Artificial Intelligence</w:t>
            </w:r>
          </w:p>
        </w:tc>
        <w:tc>
          <w:tcPr>
            <w:tcW w:type="dxa" w:w="1304"/>
          </w:tcPr>
          <w:p>
            <w:pPr>
              <w:pStyle w:val="TableText"/>
            </w:pPr>
            <w:r>
              <w:rPr>
                <w:rFonts w:ascii="Arial" w:hAnsi="Arial"/>
                <w:sz w:val="14"/>
              </w:rPr>
              <w:t>14 Nov 2024</w:t>
            </w:r>
          </w:p>
        </w:tc>
        <w:tc>
          <w:tcPr>
            <w:tcW w:type="dxa" w:w="1701"/>
          </w:tcPr>
          <w:p>
            <w:pPr>
              <w:pStyle w:val="TableText"/>
            </w:pPr>
            <w:r>
              <w:rPr>
                <w:rFonts w:ascii="Arial" w:hAnsi="Arial"/>
                <w:sz w:val="14"/>
              </w:rPr>
              <w:t>Analytical report. Expressly not a standard.</w:t>
            </w:r>
          </w:p>
        </w:tc>
        <w:tc>
          <w:tcPr>
            <w:tcW w:type="dxa" w:w="1984"/>
          </w:tcPr>
          <w:p>
            <w:pPr>
              <w:pStyle w:val="TableText"/>
            </w:pPr>
            <w:r>
              <w:rPr>
                <w:rFonts w:ascii="Arial" w:hAnsi="Arial"/>
                <w:sz w:val="14"/>
              </w:rPr>
              <w:t>https://www.fsb.org/2024/11/the-financial-stability-implications-of-artificial-intelligence/</w:t>
            </w:r>
          </w:p>
        </w:tc>
      </w:tr>
      <w:tr>
        <w:tc>
          <w:tcPr>
            <w:tcW w:type="dxa" w:w="1077"/>
            <w:shd w:val="clear" w:color="auto" w:fill="F4F6FA"/>
          </w:tcPr>
          <w:p>
            <w:pPr>
              <w:pStyle w:val="TableText"/>
            </w:pPr>
            <w:r>
              <w:rPr>
                <w:rFonts w:ascii="Arial" w:hAnsi="Arial"/>
                <w:sz w:val="14"/>
              </w:rPr>
              <w:t>FSB-AI-2017</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Artificial intelligence and machine learning in financial services</w:t>
            </w:r>
          </w:p>
        </w:tc>
        <w:tc>
          <w:tcPr>
            <w:tcW w:type="dxa" w:w="1304"/>
            <w:shd w:val="clear" w:color="auto" w:fill="F4F6FA"/>
          </w:tcPr>
          <w:p>
            <w:pPr>
              <w:pStyle w:val="TableText"/>
            </w:pPr>
            <w:r>
              <w:rPr>
                <w:rFonts w:ascii="Arial" w:hAnsi="Arial"/>
                <w:sz w:val="14"/>
              </w:rPr>
              <w:t>1 Nov 2017</w:t>
            </w:r>
          </w:p>
        </w:tc>
        <w:tc>
          <w:tcPr>
            <w:tcW w:type="dxa" w:w="1701"/>
            <w:shd w:val="clear" w:color="auto" w:fill="F4F6FA"/>
          </w:tcPr>
          <w:p>
            <w:pPr>
              <w:pStyle w:val="TableText"/>
            </w:pPr>
            <w:r>
              <w:rPr>
                <w:rFonts w:ascii="Arial" w:hAnsi="Arial"/>
                <w:sz w:val="14"/>
              </w:rPr>
              <w:t>Analytical report. Not a standard.</w:t>
            </w:r>
          </w:p>
        </w:tc>
        <w:tc>
          <w:tcPr>
            <w:tcW w:type="dxa" w:w="1984"/>
            <w:shd w:val="clear" w:color="auto" w:fill="F4F6FA"/>
          </w:tcPr>
          <w:p>
            <w:pPr>
              <w:pStyle w:val="TableText"/>
            </w:pPr>
            <w:r>
              <w:rPr>
                <w:rFonts w:ascii="Arial" w:hAnsi="Arial"/>
                <w:sz w:val="14"/>
              </w:rPr>
              <w:t>https://www.fsb.org/2017/11/artificial-intelligence-and-machine-learning-in-financial-service/</w:t>
            </w:r>
          </w:p>
        </w:tc>
      </w:tr>
      <w:tr>
        <w:tc>
          <w:tcPr>
            <w:tcW w:type="dxa" w:w="1077"/>
          </w:tcPr>
          <w:p>
            <w:pPr>
              <w:pStyle w:val="TableText"/>
            </w:pPr>
            <w:r>
              <w:rPr>
                <w:rFonts w:ascii="Arial" w:hAnsi="Arial"/>
                <w:sz w:val="14"/>
              </w:rPr>
              <w:t>APRA-CPS001</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001 Defined terms</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https://www.apra.gov.au/standards/cps-001</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Commenced 1 Jul 2019</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Commenced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Released 4 Jun 2026; commenced 30 Jun 2026</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Determined 29 Apr 2026; commenced 1 Jul 2026</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Commenced 1 Jan 2023</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APRA-HPS110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HPS 110 Capital Adequacy (private health insurance)</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https://www.apra.gov.au/standards/hps-110</w:t>
            </w:r>
          </w:p>
        </w:tc>
      </w:tr>
      <w:tr>
        <w:tc>
          <w:tcPr>
            <w:tcW w:type="dxa" w:w="1077"/>
          </w:tcPr>
          <w:p>
            <w:pPr>
              <w:pStyle w:val="TableText"/>
            </w:pPr>
            <w:r>
              <w:rPr>
                <w:rFonts w:ascii="Arial" w:hAnsi="Arial"/>
                <w:sz w:val="14"/>
              </w:rPr>
              <w:t>APRA-SPS114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114 Operational Risk Financial Requirement</w:t>
            </w:r>
          </w:p>
        </w:tc>
        <w:tc>
          <w:tcPr>
            <w:tcW w:type="dxa" w:w="1304"/>
          </w:tcPr>
          <w:p>
            <w:pPr>
              <w:pStyle w:val="TableText"/>
            </w:pPr>
            <w:r>
              <w:rPr>
                <w:rFonts w:ascii="Arial" w:hAnsi="Arial"/>
                <w:sz w:val="14"/>
              </w:rPr>
              <w:t>In force; commencement not separately verified</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https://www.apra.gov.au/standards/sps-114</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 commencement not separately verified</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SPS 515 and SPS 114, the last of which governs the operational risk financial requirement that paragraph M41 refers to.</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 Paragraph A5 confers the adjustment and exclusion power and the Interpretation section requires every power under this Prudential Standard to be exercised in writing; the procedural requirements attaching to each need settlement.</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 Paragraph A4 splits entity-level from model-level obligations; the periods for each require settlement.</w:t>
            </w:r>
          </w:p>
        </w:tc>
      </w:tr>
      <w:tr>
        <w:tc>
          <w:tcPr>
            <w:tcW w:type="dxa" w:w="2608"/>
          </w:tcPr>
          <w:p>
            <w:pPr>
              <w:pStyle w:val="TableText"/>
            </w:pPr>
            <w:r>
              <w:rPr>
                <w:rFonts w:ascii="Arial" w:hAnsi="Arial"/>
                <w:sz w:val="17"/>
              </w:rPr>
              <w:t>De minimis and simplified compliance</w:t>
            </w:r>
          </w:p>
        </w:tc>
        <w:tc>
          <w:tcPr>
            <w:tcW w:type="dxa" w:w="6803"/>
          </w:tcPr>
          <w:p>
            <w:pPr>
              <w:pStyle w:val="TableText"/>
            </w:pPr>
            <w:r>
              <w:rPr>
                <w:rFonts w:ascii="Arial" w:hAnsi="Arial"/>
                <w:sz w:val="17"/>
              </w:rPr>
              <w:t>Paragraph M05 provides a de minimis exception at model level: a model of no material consequence attracts only identification, inventory, ownership, classification and reassessment. Settle the drafting of the prohibited classes, whether the aggregate test should carry a stated threshold, and the approval authority for a determination. Separately, decide whether an entity-level threshold or simplified pathway is also warranted; the United States has taken that route by confining its guidance to institutions above a size threshold. The entity-level question is not settled in this draft.</w:t>
            </w:r>
          </w:p>
        </w:tc>
      </w:tr>
      <w:tr>
        <w:tc>
          <w:tcPr>
            <w:tcW w:type="dxa" w:w="2608"/>
            <w:shd w:val="clear" w:color="auto" w:fill="F4F6FA"/>
          </w:tcPr>
          <w:p>
            <w:pPr>
              <w:pStyle w:val="TableText"/>
            </w:pPr>
            <w:r>
              <w:rPr>
                <w:rFonts w:ascii="Arial" w:hAnsi="Arial"/>
                <w:sz w:val="17"/>
              </w:rPr>
              <w:t>Foreign ADIs and branches</w:t>
            </w:r>
          </w:p>
        </w:tc>
        <w:tc>
          <w:tcPr>
            <w:tcW w:type="dxa" w:w="6803"/>
            <w:shd w:val="clear" w:color="auto" w:fill="F4F6FA"/>
          </w:tcPr>
          <w:p>
            <w:pPr>
              <w:pStyle w:val="TableText"/>
            </w:pPr>
            <w:r>
              <w:rPr>
                <w:rFonts w:ascii="Arial" w:hAnsi="Arial"/>
                <w:sz w:val="17"/>
              </w:rPr>
              <w:t>Confirm the read-down in paragraph A6 for foreign ADIs, and settle whether the standard reaches models operated outside Australia that affect Australian operations.</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M07</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M36</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M39</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M42</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M44</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M05</w:t>
            </w:r>
          </w:p>
        </w:tc>
        <w:tc>
          <w:tcPr>
            <w:tcW w:type="dxa" w:w="2608"/>
          </w:tcPr>
          <w:p>
            <w:pPr>
              <w:pStyle w:val="TableText"/>
            </w:pPr>
            <w:r>
              <w:rPr>
                <w:rFonts w:ascii="Arial" w:hAnsi="Arial"/>
                <w:sz w:val="17"/>
              </w:rPr>
              <w:t>De minimis models</w:t>
            </w:r>
          </w:p>
        </w:tc>
        <w:tc>
          <w:tcPr>
            <w:tcW w:type="dxa" w:w="5953"/>
          </w:tcPr>
          <w:p>
            <w:pPr>
              <w:pStyle w:val="TableText"/>
            </w:pPr>
            <w:r>
              <w:rPr>
                <w:rFonts w:ascii="Arial" w:hAnsi="Arial"/>
                <w:sz w:val="17"/>
              </w:rPr>
              <w:t>Each comparator relieves low-consequence models of the full lifecycle while keeping them within identification. The 2026 US guidance states that where models are deemed immaterial, model risk management may consist of identifying those models and monitoring the conditions under which their use may become material. OSFI reaches the same result through Principles 2.1 and 2.3. The aggregate test, the prohibited classes and the anti-disaggregation limb are drafting choices that close the obvious routes to misuse of the exception.</w:t>
            </w:r>
          </w:p>
        </w:tc>
      </w:tr>
      <w:tr>
        <w:tc>
          <w:tcPr>
            <w:tcW w:type="dxa" w:w="850"/>
            <w:shd w:val="clear" w:color="auto" w:fill="F4F6FA"/>
          </w:tcPr>
          <w:p>
            <w:pPr>
              <w:pStyle w:val="TableText"/>
            </w:pPr>
            <w:r>
              <w:rPr>
                <w:rFonts w:ascii="Arial" w:hAnsi="Arial"/>
                <w:sz w:val="17"/>
              </w:rPr>
              <w:t>M11</w:t>
            </w:r>
          </w:p>
        </w:tc>
        <w:tc>
          <w:tcPr>
            <w:tcW w:type="dxa" w:w="2608"/>
            <w:shd w:val="clear" w:color="auto" w:fill="F4F6FA"/>
          </w:tcPr>
          <w:p>
            <w:pPr>
              <w:pStyle w:val="TableText"/>
            </w:pPr>
            <w:r>
              <w:rPr>
                <w:rFonts w:ascii="Arial" w:hAnsi="Arial"/>
                <w:sz w:val="17"/>
              </w:rPr>
              <w:t>Model risk appetite and limits</w:t>
            </w:r>
          </w:p>
        </w:tc>
        <w:tc>
          <w:tcPr>
            <w:tcW w:type="dxa" w:w="5953"/>
            <w:shd w:val="clear" w:color="auto" w:fill="F4F6FA"/>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tcPr>
          <w:p>
            <w:pPr>
              <w:pStyle w:val="TableText"/>
            </w:pPr>
            <w:r>
              <w:rPr>
                <w:rFonts w:ascii="Arial" w:hAnsi="Arial"/>
                <w:sz w:val="17"/>
              </w:rPr>
              <w:t>M20</w:t>
            </w:r>
          </w:p>
        </w:tc>
        <w:tc>
          <w:tcPr>
            <w:tcW w:type="dxa" w:w="2608"/>
          </w:tcPr>
          <w:p>
            <w:pPr>
              <w:pStyle w:val="TableText"/>
            </w:pPr>
            <w:r>
              <w:rPr>
                <w:rFonts w:ascii="Arial" w:hAnsi="Arial"/>
                <w:sz w:val="17"/>
              </w:rPr>
              <w:t>Pre-implementation testing</w:t>
            </w:r>
          </w:p>
        </w:tc>
        <w:tc>
          <w:tcPr>
            <w:tcW w:type="dxa" w:w="5953"/>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shd w:val="clear" w:color="auto" w:fill="F4F6FA"/>
          </w:tcPr>
          <w:p>
            <w:pPr>
              <w:pStyle w:val="TableText"/>
            </w:pPr>
            <w:r>
              <w:rPr>
                <w:rFonts w:ascii="Arial" w:hAnsi="Arial"/>
                <w:sz w:val="17"/>
              </w:rPr>
              <w:t>M35</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M39</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