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M32</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M05, M14, M15, M16</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De minimis models</w:t>
      </w:r>
    </w:p>
    <w:p>
      <w:pPr>
        <w:pStyle w:val="GuideBody"/>
      </w:pPr>
      <w:r>
        <w:rPr>
          <w:b/>
        </w:rPr>
        <w:t xml:space="preserve">22. </w:t>
      </w:r>
      <w:r>
        <w:t>CPS XXXX permits an entity to determine that a model is de minimis and to apply to it only the identification, inventory, ownership, classification and reassessment requirements. The determination turns on consequence: whether the entity could be materially wrong, or materially unfair to a customer or beneficiary, if the model were wrong and the error went undetected.</w:t>
      </w:r>
    </w:p>
    <w:p>
      <w:pPr>
        <w:pStyle w:val="GuideBody"/>
      </w:pPr>
      <w:r>
        <w:rPr>
          <w:b/>
        </w:rPr>
        <w:t xml:space="preserve">23. </w:t>
      </w:r>
      <w:r>
        <w:t>It is not a determination about size, complexity, cost or how long a model has been in use. A simple model that has run without incident for a decade is not de minimis if an error in it would misstate a provision. Conversely a sophisticated model used to prioritise internal workflow may well be.</w:t>
      </w:r>
    </w:p>
    <w:p>
      <w:pPr>
        <w:pStyle w:val="SourceNote"/>
      </w:pPr>
      <w:r>
        <w:t>Source: US interagency guidance 2026 §III, which states that where models are deemed immaterial, model risk management may consist of identifying those models and monitoring the conditions under which their use may become material [SE]. OSFI Guideline E-23 (2027) Principle 2.3, read with Principle 2.1 [SE]. PRA SS1/23 Principle 1.3 Model tiering [SE].</w:t>
      </w:r>
    </w:p>
    <w:p>
      <w:pPr>
        <w:pStyle w:val="GuideBody"/>
      </w:pPr>
      <w:r>
        <w:rPr>
          <w:b/>
        </w:rPr>
        <w:t xml:space="preserve">24. </w:t>
      </w:r>
      <w:r>
        <w:t>A de minimis model stays in the inventory. That is the point on which the exception depends: an entity that has removed a model from the inventory cannot demonstrate that the determination was ever made, still less that it remains correct. Entities should treat the de minimis population as a reportable category rather than as an absence.</w:t>
      </w:r>
    </w:p>
    <w:p>
      <w:pPr>
        <w:pStyle w:val="GuideBody"/>
      </w:pPr>
      <w:r>
        <w:rPr>
          <w:b/>
        </w:rPr>
        <w:t xml:space="preserve">25. </w:t>
      </w:r>
      <w:r>
        <w:t>Certain models cannot be de minimis whatever the entity's assessment. These are models determining a regulatory capital requirement, a provision, a technical or insurance liability, a valuation reported in the financial statements, a unit price or another amount attributable to a customer or beneficiary, and models supporting a critical operation. The consequence of error in these classes is realised directly and is frequently irreversible.</w:t>
      </w:r>
    </w:p>
    <w:p>
      <w:pPr>
        <w:pStyle w:val="GuideBody"/>
      </w:pPr>
      <w:r>
        <w:rPr>
          <w:b/>
        </w:rPr>
        <w:t xml:space="preserve">26. </w:t>
      </w:r>
      <w:r>
        <w:t>Two failure modes deserve specific attention. The first is aggregation: models that are individually immaterial can matter collectively, particularly where they feed the same process, share a data source or rest on a common assumption. The entity should examine the population, not only the individual determinations. The second is disaggregation: splitting a model so that each component falls below the threshold, which defeats the exception rather than satisfying it.</w:t>
      </w:r>
    </w:p>
    <w:p>
      <w:pPr>
        <w:pStyle w:val="GuideBody"/>
      </w:pPr>
      <w:r>
        <w:rPr>
          <w:b/>
        </w:rPr>
        <w:t xml:space="preserve">27. </w:t>
      </w:r>
      <w:r>
        <w:t>A determination attaches to a use, not to a model in the abstract. Where a model that was de minimis for one purpose begins to be relied on for another, the determination should be revisited before the new use begins rather than at the next scheduled review.</w:t>
      </w:r>
    </w:p>
    <w:p>
      <w:pPr>
        <w:pStyle w:val="Verification"/>
      </w:pPr>
      <w:r>
        <w:t>⚠ Verification: the de minimis mechanism is drawn from the treatment of immaterial models in the 2026 United States interagency guidance and from OSFI Principles 2.1 and 2.3, which relieve low-risk models of the full lifecycle while keeping them within identification. The prohibited classes, the aggregate test and the anti-disaggregation limb are Australian drafting choices and are identified as a policy design choice in the assessment workbook.</w:t>
      </w:r>
    </w:p>
    <w:p>
      <w:pPr>
        <w:pStyle w:val="Heading2"/>
      </w:pPr>
      <w:r>
        <w:t>Controlled exceptions</w:t>
      </w:r>
    </w:p>
    <w:p>
      <w:pPr>
        <w:pStyle w:val="GuideBody"/>
      </w:pPr>
      <w:r>
        <w:rPr>
          <w:b/>
        </w:rPr>
        <w:t xml:space="preserve">28. </w:t>
      </w:r>
      <w:r>
        <w:t>Reduced controls should be a decision rather than an omission. An exception should identify the provision of the entity's own policies or standards not being met, the reason, the compensating control, the approver, the expiry date and the review point. It cannot except the entity from a requirement of CPS XXXX: only APRA may do that, under paragraph A5.</w:t>
      </w:r>
    </w:p>
    <w:p>
      <w:pPr>
        <w:pStyle w:val="GuideBody"/>
      </w:pPr>
      <w:r>
        <w:rPr>
          <w:b/>
        </w:rPr>
        <w:t xml:space="preserve">29.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30.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31.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M06, M07, M08, M09, M13</w:t>
            </w:r>
          </w:p>
        </w:tc>
      </w:tr>
    </w:tbl>
    <w:p>
      <w:pPr>
        <w:pStyle w:val="DocMeta"/>
      </w:pPr>
    </w:p>
    <w:p>
      <w:pPr>
        <w:pStyle w:val="GuideBody"/>
      </w:pPr>
      <w:r>
        <w:rPr>
          <w:b/>
        </w:rPr>
        <w:t xml:space="preserve">32.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33.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34.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35.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36.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37.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38.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39.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40.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41.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42.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M10, M11, M12, M42</w:t>
            </w:r>
          </w:p>
        </w:tc>
      </w:tr>
    </w:tbl>
    <w:p>
      <w:pPr>
        <w:pStyle w:val="DocMeta"/>
      </w:pPr>
    </w:p>
    <w:p>
      <w:pPr>
        <w:pStyle w:val="GuideBody"/>
      </w:pPr>
      <w:r>
        <w:rPr>
          <w:b/>
        </w:rPr>
        <w:t xml:space="preserve">43.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44.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45. </w:t>
      </w:r>
      <w:r>
        <w:t>A model risk appetite should be capable of being breached. An appetite expressed only as a statement of intent cannot be monitored and therefore cannot constrain behaviour.</w:t>
      </w:r>
    </w:p>
    <w:p>
      <w:pPr>
        <w:pStyle w:val="GuideBody"/>
      </w:pPr>
      <w:r>
        <w:rPr>
          <w:b/>
        </w:rPr>
        <w:t xml:space="preserve">46.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47.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48.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49.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M14</w:t>
            </w:r>
          </w:p>
        </w:tc>
      </w:tr>
    </w:tbl>
    <w:p>
      <w:pPr>
        <w:pStyle w:val="DocMeta"/>
      </w:pPr>
    </w:p>
    <w:p>
      <w:pPr>
        <w:pStyle w:val="GuideBody"/>
      </w:pPr>
      <w:r>
        <w:rPr>
          <w:b/>
        </w:rPr>
        <w:t xml:space="preserve">50.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51.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52.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53.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54.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M17, M18, M19, M34</w:t>
            </w:r>
          </w:p>
        </w:tc>
      </w:tr>
    </w:tbl>
    <w:p>
      <w:pPr>
        <w:pStyle w:val="DocMeta"/>
      </w:pPr>
    </w:p>
    <w:p>
      <w:pPr>
        <w:pStyle w:val="GuideBody"/>
      </w:pPr>
      <w:r>
        <w:rPr>
          <w:b/>
        </w:rPr>
        <w:t xml:space="preserve">55.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56.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57.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58.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59.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60.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61.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62.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63.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64.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M20, M21, M22, M23, M24, M25, M30, M32, M44</w:t>
            </w:r>
          </w:p>
        </w:tc>
      </w:tr>
    </w:tbl>
    <w:p>
      <w:pPr>
        <w:pStyle w:val="DocMeta"/>
      </w:pPr>
    </w:p>
    <w:p>
      <w:pPr>
        <w:pStyle w:val="GuideBody"/>
      </w:pPr>
      <w:r>
        <w:rPr>
          <w:b/>
        </w:rPr>
        <w:t xml:space="preserve">65.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66.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67.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68.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69.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70.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71.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72.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73.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74.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75.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76.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77.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78.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 M25, M26, M27, M28</w:t>
            </w:r>
          </w:p>
        </w:tc>
      </w:tr>
    </w:tbl>
    <w:p>
      <w:pPr>
        <w:pStyle w:val="DocMeta"/>
      </w:pPr>
    </w:p>
    <w:p>
      <w:pPr>
        <w:pStyle w:val="GuideBody"/>
      </w:pPr>
      <w:r>
        <w:rPr>
          <w:b/>
        </w:rPr>
        <w:t xml:space="preserve">79.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80.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81.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82.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83.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84.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85.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86.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87.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M29, M30, M31</w:t>
            </w:r>
          </w:p>
        </w:tc>
      </w:tr>
    </w:tbl>
    <w:p>
      <w:pPr>
        <w:pStyle w:val="DocMeta"/>
      </w:pPr>
    </w:p>
    <w:p>
      <w:pPr>
        <w:pStyle w:val="GuideBody"/>
      </w:pPr>
      <w:r>
        <w:rPr>
          <w:b/>
        </w:rPr>
        <w:t xml:space="preserve">88.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89.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90.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91.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92.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93.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94.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M32, M33</w:t>
            </w:r>
          </w:p>
        </w:tc>
      </w:tr>
    </w:tbl>
    <w:p>
      <w:pPr>
        <w:pStyle w:val="DocMeta"/>
      </w:pPr>
    </w:p>
    <w:p>
      <w:pPr>
        <w:pStyle w:val="GuideBody"/>
      </w:pPr>
      <w:r>
        <w:rPr>
          <w:b/>
        </w:rPr>
        <w:t xml:space="preserve">95.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96.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97.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98.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99.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100.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M26, M34, M35</w:t>
            </w:r>
          </w:p>
        </w:tc>
      </w:tr>
    </w:tbl>
    <w:p>
      <w:pPr>
        <w:pStyle w:val="DocMeta"/>
      </w:pPr>
    </w:p>
    <w:p>
      <w:pPr>
        <w:pStyle w:val="GuideBody"/>
      </w:pPr>
      <w:r>
        <w:rPr>
          <w:b/>
        </w:rPr>
        <w:t xml:space="preserve">101.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102. </w:t>
      </w:r>
      <w:r>
        <w:t>The characteristic difficulties are limited explainability, sensitivity to data drift, instability across retraining cycles, susceptibility to feature leakage, systematic differences in model performance across segments of the population to which the model is applied, and dependence on externally supplied models whose construction cannot be inspected.</w:t>
      </w:r>
    </w:p>
    <w:p>
      <w:pPr>
        <w:pStyle w:val="Heading2"/>
      </w:pPr>
      <w:r>
        <w:t>Explainability</w:t>
      </w:r>
    </w:p>
    <w:p>
      <w:pPr>
        <w:pStyle w:val="GuideBody"/>
      </w:pPr>
      <w:r>
        <w:rPr>
          <w:b/>
        </w:rPr>
        <w:t xml:space="preserve">103.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104.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105.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106.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107.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108.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109.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M36, M37, M39, M40, M41</w:t>
            </w:r>
          </w:p>
        </w:tc>
      </w:tr>
    </w:tbl>
    <w:p>
      <w:pPr>
        <w:pStyle w:val="DocMeta"/>
      </w:pPr>
    </w:p>
    <w:p>
      <w:pPr>
        <w:pStyle w:val="GuideBody"/>
      </w:pPr>
      <w:r>
        <w:rPr>
          <w:b/>
        </w:rPr>
        <w:t xml:space="preserve">110.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111.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112.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113.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114.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115.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116.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117.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118.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119.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Expected credit loss and provisioning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M38, M40, M45</w:t>
            </w:r>
          </w:p>
        </w:tc>
      </w:tr>
    </w:tbl>
    <w:p>
      <w:pPr>
        <w:pStyle w:val="DocMeta"/>
      </w:pPr>
    </w:p>
    <w:p>
      <w:pPr>
        <w:pStyle w:val="GuideBody"/>
      </w:pPr>
      <w:r>
        <w:t>This chapter addresses models used to assess and measure expected credit losses and to determine provisions, and sets out the focus areas APRA would expect a review of those models to cover.</w:t>
      </w:r>
    </w:p>
    <w:p>
      <w:pPr>
        <w:pStyle w:val="GuideBody"/>
      </w:pPr>
      <w:r>
        <w:rPr>
          <w:b/>
        </w:rPr>
        <w:t xml:space="preserve">120. </w:t>
      </w:r>
      <w:r>
        <w:t>Expected credit loss models occupy a distinctive position. For most models the output informs a decision that a person then makes; for an expected credit loss model the output is the provision itself. An error is realised immediately in the financial statements, in regulatory capital and in the reported credit quality of the portfolio, and it is realised at the level of the aggregate rather than one exposure at a time.</w:t>
      </w:r>
    </w:p>
    <w:p>
      <w:pPr>
        <w:pStyle w:val="GuideBody"/>
      </w:pPr>
      <w:r>
        <w:rPr>
          <w:b/>
        </w:rPr>
        <w:t xml:space="preserve">121. </w:t>
      </w:r>
      <w:r>
        <w:t>The Australian obligation already exists and is binding. APS 220 requires an ADI to have sound policies and processes in place to appropriately validate models used to assess and measure expected credit losses, to adopt sound methodologies for assessing and measuring credit losses, to hold aggregate provisions that are adequate and consistent with the objectives of Australian Accounting Standards, and to use experienced credit judgement in the robust consideration of reasonable and supportable forward-looking information.</w:t>
      </w:r>
    </w:p>
    <w:p>
      <w:pPr>
        <w:pStyle w:val="SourceNote"/>
      </w:pPr>
      <w:r>
        <w:t>Source: APS 220, Credit risk and accounting for expected credit losses [B]. APG 220, which states that the Basel Committee's Guidance on credit risk and accounting for expected credit losses of 18 December 2015 sets out guidance on sound credit risk practices and that APRA expects ADIs to have regard to it [G]. BCBS d350 [G].</w:t>
      </w:r>
    </w:p>
    <w:p>
      <w:pPr>
        <w:pStyle w:val="Verification"/>
      </w:pPr>
      <w:r>
        <w:t>⚠ Verification: the APS 220 obligation to validate expected credit loss models is a near-verbatim transposition of BCBS d350 Principle 5, which reads 'A bank should have policies and procedures in place to appropriately validate models used to assess and measure expected credit losses.' Both texts were read in the primary instruments. This is one of the few domains in which the Australian framework already carries an international model risk principle in binding form.</w:t>
      </w:r>
    </w:p>
    <w:p>
      <w:pPr>
        <w:pStyle w:val="GuideBody"/>
      </w:pPr>
      <w:r>
        <w:rPr>
          <w:b/>
        </w:rPr>
        <w:t xml:space="preserve">122. </w:t>
      </w:r>
      <w:r>
        <w:t>What APS 220 does not supply is the content of that validation — what it consists of, who may perform it, how often, and what follows when it finds something. CPS XXXX supplies exactly that. The two are complementary: APS 220 states the obligation, this Prudential Standard states the discipline, and where they overlap APS 220 prevails as the more specific instrument.</w:t>
      </w:r>
    </w:p>
    <w:p>
      <w:pPr>
        <w:pStyle w:val="Heading2"/>
      </w:pPr>
      <w:r>
        <w:t>Judgement-based adjustments and overlays</w:t>
      </w:r>
    </w:p>
    <w:p>
      <w:pPr>
        <w:pStyle w:val="GuideBody"/>
      </w:pPr>
      <w:r>
        <w:rPr>
          <w:b/>
        </w:rPr>
        <w:t xml:space="preserve">123. </w:t>
      </w:r>
      <w:r>
        <w:t>APRA has observed that many ADIs continue to apply sizeable judgement-based adjustments to compensate for model and data limitations. Adjustments have a legitimate role: models alone may not be calibrated to capture every driver of credit risk, particularly where conditions have moved outside the estimation window. But an overlay is a statement that the model is wrong, and it should be governed as such.</w:t>
      </w:r>
    </w:p>
    <w:p>
      <w:pPr>
        <w:pStyle w:val="SourceNote"/>
      </w:pPr>
      <w:r>
        <w:t>Source: APRA, Credit risk provisioning practices for locally incorporated authorised deposit-taking institutions, 19 October 2023 [G]. BCBS Newsletter on credit risk issues, 4 July 2023 [A].</w:t>
      </w:r>
    </w:p>
    <w:p>
      <w:pPr>
        <w:pStyle w:val="GuideBody"/>
      </w:pPr>
      <w:r>
        <w:rPr>
          <w:b/>
        </w:rPr>
        <w:t xml:space="preserve">124. </w:t>
      </w:r>
      <w:r>
        <w:t>Where judgemental adjustments are made, APRA expects them to be supported by documented analysis and robust controls and governance, including sound processes for their application, controls over the efficacy of the output, and senior management oversight and accountabilities. An entity should also be able to show that it is monitoring and improving model performance rather than allowing overlays to become a permanent substitute for recalibration.</w:t>
      </w:r>
    </w:p>
    <w:p>
      <w:pPr>
        <w:pStyle w:val="GuideBody"/>
      </w:pPr>
      <w:r>
        <w:rPr>
          <w:b/>
        </w:rPr>
        <w:t xml:space="preserve">125. </w:t>
      </w:r>
      <w:r>
        <w:t>The practical test is direction and persistence. An overlay applied in the same direction across successive reporting periods is evidence that the model no longer reflects the exposure. A reviewer would expect to see either a redevelopment plan or a reasoned explanation of why the condition being corrected is genuinely temporary.</w:t>
      </w:r>
    </w:p>
    <w:p>
      <w:pPr>
        <w:pStyle w:val="Heading2"/>
      </w:pPr>
      <w:r>
        <w:t>Capturing economic uncertainty</w:t>
      </w:r>
    </w:p>
    <w:p>
      <w:pPr>
        <w:pStyle w:val="GuideBody"/>
      </w:pPr>
      <w:r>
        <w:rPr>
          <w:b/>
        </w:rPr>
        <w:t xml:space="preserve">126. </w:t>
      </w:r>
      <w:r>
        <w:t>Sensitivity analysis is how an entity demonstrates that it understands what its provision depends on. APRA expects comprehensive sensitivity analysis to be performed on a regular and timely basis across credit portfolios, segmented by industry, geography and other relevant dimensions, so that management and the Board can see how provisions respond to changes in the key underlying drivers of credit risk.</w:t>
      </w:r>
    </w:p>
    <w:p>
      <w:pPr>
        <w:pStyle w:val="GuideBody"/>
      </w:pPr>
      <w:r>
        <w:rPr>
          <w:b/>
        </w:rPr>
        <w:t xml:space="preserve">127. </w:t>
      </w:r>
      <w:r>
        <w:t>This analysis can form part of the entity's broader stress testing capability and inform the internal capital adequacy assessment process and risk appetite review. The same governance expectations apply to it as to the models: clear accountabilities, robust controls and oversight over both the process and the decisions taken from it.</w:t>
      </w:r>
    </w:p>
    <w:p>
      <w:pPr>
        <w:pStyle w:val="SourceNote"/>
      </w:pPr>
      <w:r>
        <w:t>Source: APRA provisioning letter, 19 October 2023 [G]. CPG 110 Internal Capital Adequacy Assessment Process and Supervisory Review [G].</w:t>
      </w:r>
    </w:p>
    <w:p>
      <w:pPr>
        <w:pStyle w:val="Heading2"/>
      </w:pPr>
      <w:r>
        <w:t>Identifying credit deterioration</w:t>
      </w:r>
    </w:p>
    <w:p>
      <w:pPr>
        <w:pStyle w:val="GuideBody"/>
      </w:pPr>
      <w:r>
        <w:rPr>
          <w:b/>
        </w:rPr>
        <w:t xml:space="preserve">128. </w:t>
      </w:r>
      <w:r>
        <w:t>APRA has observed that many ADIs continue to rely on manually intensive and judgement-driven processes to capture the effect of emerging risks on vulnerable borrowers and sectors, and has encouraged investment in systematic processes that identify vulnerable sectors and factor sectoral risk into loss estimates.</w:t>
      </w:r>
    </w:p>
    <w:p>
      <w:pPr>
        <w:pStyle w:val="GuideBody"/>
      </w:pPr>
      <w:r>
        <w:rPr>
          <w:b/>
        </w:rPr>
        <w:t xml:space="preserve">129. </w:t>
      </w:r>
      <w:r>
        <w:t>Three things carry most of the weight here: the use of collective assessments, the level of segmentation in the models and the data behind them, and the indicators used to transfer exposures in vulnerable sectors into Stage 2 under AASB 9. The staging decision is a modelled judgement with a direct and often large effect on the reported provision, and it should be validated with that in mind.</w:t>
      </w:r>
    </w:p>
    <w:p>
      <w:pPr>
        <w:pStyle w:val="Heading2"/>
      </w:pPr>
      <w:r>
        <w:t>Focus areas for a review of expected credit loss models</w:t>
      </w:r>
    </w:p>
    <w:p>
      <w:pPr>
        <w:pStyle w:val="GuideBody"/>
      </w:pPr>
      <w:r>
        <w:rPr>
          <w:b/>
        </w:rPr>
        <w:t xml:space="preserve">130. </w:t>
      </w:r>
      <w:r>
        <w:t>Annex G of CPS XXXX sets out the focus areas APRA would expect a review of expected credit loss models to cover. They are drawn from APRA's own published observations on provisioning practice, from the requirements of APS 220, and from the Basel guidance that APG 220 directs ADIs to have regard to.</w:t>
      </w:r>
    </w:p>
    <w:p>
      <w:pPr>
        <w:pStyle w:val="GuideBody"/>
      </w:pPr>
      <w:r>
        <w:rPr>
          <w:b/>
        </w:rPr>
        <w:t xml:space="preserve">131. </w:t>
      </w:r>
      <w:r>
        <w:t>The focus areas are not a checklist to be completed. A review that confirms each item exists without forming a view on whether the provision is right will not have answered the question. The purpose of each area is to test whether the number the entity has reported is supportable.</w:t>
      </w:r>
    </w:p>
    <w:p>
      <w:pPr>
        <w:pStyle w:val="Heading2"/>
      </w:pPr>
      <w:r>
        <w:t>Special purpose engagements under APS 220</w:t>
      </w:r>
    </w:p>
    <w:p>
      <w:pPr>
        <w:pStyle w:val="GuideBody"/>
      </w:pPr>
      <w:r>
        <w:rPr>
          <w:b/>
        </w:rPr>
        <w:t xml:space="preserve">132. </w:t>
      </w:r>
      <w:r>
        <w:t>APS 220 contains a Special purpose engagements provision under which APRA may require an ADI to appoint an independent party to review and provide a report to APRA on all or a particular aspect of the ADI's credit risk management, including provisioning practices. APRA may request such a report without prior consultation with the ADI, may set the terms of the review, and may do so at the ADI's expense.</w:t>
      </w:r>
    </w:p>
    <w:p>
      <w:pPr>
        <w:pStyle w:val="SourceNote"/>
      </w:pPr>
      <w:r>
        <w:t>Source: APS 220, Special purpose engagements [B]. The provision is quoted in full in Annex G of CPS XXXX.</w:t>
      </w:r>
    </w:p>
    <w:p>
      <w:pPr>
        <w:pStyle w:val="GuideBody"/>
      </w:pPr>
      <w:r>
        <w:rPr>
          <w:b/>
        </w:rPr>
        <w:t xml:space="preserve">133. </w:t>
      </w:r>
      <w:r>
        <w:t>A review of expected credit loss models along the lines set out in Annex G is precisely the kind of engagement that provision contemplates, and entities should expect that APRA may commission one on that basis. The terms of reference would be set by APRA rather than negotiated, and the report would be provided to APRA.</w:t>
      </w:r>
    </w:p>
    <w:p>
      <w:pPr>
        <w:pStyle w:val="GuideBody"/>
      </w:pPr>
      <w:r>
        <w:rPr>
          <w:b/>
        </w:rPr>
        <w:t xml:space="preserve">134. </w:t>
      </w:r>
      <w:r>
        <w:t>An entity that maintains its expected credit loss models in accordance with this Prudential Standard should be able to support such an engagement from existing records rather than by assembling evidence in response to it. Where an entity could not, that is itself informative about the state of its model risk management.</w:t>
      </w:r>
    </w:p>
    <w:p>
      <w:pPr>
        <w:pStyle w:val="Verification"/>
      </w:pPr>
      <w:r>
        <w:t>⚠ Verification: the Special purpose engagements provision was read verbatim from APS 220. Paragraph numbers are not asserted because the published rendering of the standard used for verification does not carry them; the provision is cited by its section heading. The proposition that APRA may commission an expected credit loss model review under it is a reading of the provision's express words, which extend to 'all or a particular aspect of the ADI's credit risk management, including provisioning practices'.</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M42, M43, M44, M45</w:t>
            </w:r>
          </w:p>
        </w:tc>
      </w:tr>
    </w:tbl>
    <w:p>
      <w:pPr>
        <w:pStyle w:val="DocMeta"/>
      </w:pPr>
    </w:p>
    <w:p>
      <w:pPr>
        <w:pStyle w:val="GuideBody"/>
      </w:pPr>
      <w:r>
        <w:rPr>
          <w:b/>
        </w:rPr>
        <w:t xml:space="preserve">135.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2.1 Board of directors' responsibilities, which covers understanding and reporting of model risk both individually and in aggregate [SE]. US interagency guidance 2026 §III [SE]. ECB supervisory review of model risk [SE].</w:t>
      </w:r>
    </w:p>
    <w:p>
      <w:pPr>
        <w:pStyle w:val="GuideBody"/>
      </w:pPr>
      <w:r>
        <w:rPr>
          <w:b/>
        </w:rPr>
        <w:t xml:space="preserve">136. </w:t>
      </w:r>
      <w:r>
        <w:t>Where an entity concludes that no capital is warranted in respect of model risk, that conclusion should be reasoned and recorded. Reaching it by omission is not a conclusion.</w:t>
      </w:r>
    </w:p>
    <w:p>
      <w:pPr>
        <w:pStyle w:val="GuideBody"/>
      </w:pPr>
      <w:r>
        <w:rPr>
          <w:b/>
        </w:rPr>
        <w:t xml:space="preserve">137.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138.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139.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140.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141.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142.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143.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144.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145.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146.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28–29</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De minimis models</w:t>
            </w:r>
          </w:p>
        </w:tc>
        <w:tc>
          <w:tcPr>
            <w:tcW w:type="dxa" w:w="1928"/>
          </w:tcPr>
          <w:p>
            <w:pPr>
              <w:pStyle w:val="TableText"/>
            </w:pPr>
            <w:r>
              <w:rPr>
                <w:rFonts w:ascii="Arial" w:hAnsi="Arial"/>
                <w:sz w:val="16"/>
              </w:rPr>
              <w:t>22–27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Board oversight of model risk</w:t>
            </w:r>
          </w:p>
        </w:tc>
        <w:tc>
          <w:tcPr>
            <w:tcW w:type="dxa" w:w="1928"/>
            <w:shd w:val="clear" w:color="auto" w:fill="F4F6FA"/>
          </w:tcPr>
          <w:p>
            <w:pPr>
              <w:pStyle w:val="TableText"/>
            </w:pPr>
            <w:r>
              <w:rPr>
                <w:rFonts w:ascii="Arial" w:hAnsi="Arial"/>
                <w:sz w:val="16"/>
              </w:rPr>
              <w:t>32–33, 35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Senior accountability for the framework</w:t>
            </w:r>
          </w:p>
        </w:tc>
        <w:tc>
          <w:tcPr>
            <w:tcW w:type="dxa" w:w="1928"/>
          </w:tcPr>
          <w:p>
            <w:pPr>
              <w:pStyle w:val="TableText"/>
            </w:pPr>
            <w:r>
              <w:rPr>
                <w:rFonts w:ascii="Arial" w:hAnsi="Arial"/>
                <w:sz w:val="16"/>
              </w:rPr>
              <w:t>36–37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Model ownership and defined lifecycle roles</w:t>
            </w:r>
          </w:p>
        </w:tc>
        <w:tc>
          <w:tcPr>
            <w:tcW w:type="dxa" w:w="1928"/>
            <w:shd w:val="clear" w:color="auto" w:fill="F4F6FA"/>
          </w:tcPr>
          <w:p>
            <w:pPr>
              <w:pStyle w:val="TableText"/>
            </w:pPr>
            <w:r>
              <w:rPr>
                <w:rFonts w:ascii="Arial" w:hAnsi="Arial"/>
                <w:sz w:val="16"/>
              </w:rPr>
              <w:t>38–39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Capability, resourcing and independence</w:t>
            </w:r>
          </w:p>
        </w:tc>
        <w:tc>
          <w:tcPr>
            <w:tcW w:type="dxa" w:w="1928"/>
          </w:tcPr>
          <w:p>
            <w:pPr>
              <w:pStyle w:val="TableText"/>
            </w:pPr>
            <w:r>
              <w:rPr>
                <w:rFonts w:ascii="Arial" w:hAnsi="Arial"/>
                <w:sz w:val="16"/>
              </w:rPr>
              <w:t>40–42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Integrated model risk management framework</w:t>
            </w:r>
          </w:p>
        </w:tc>
        <w:tc>
          <w:tcPr>
            <w:tcW w:type="dxa" w:w="1928"/>
            <w:shd w:val="clear" w:color="auto" w:fill="F4F6FA"/>
          </w:tcPr>
          <w:p>
            <w:pPr>
              <w:pStyle w:val="TableText"/>
            </w:pPr>
            <w:r>
              <w:rPr>
                <w:rFonts w:ascii="Arial" w:hAnsi="Arial"/>
                <w:sz w:val="16"/>
              </w:rPr>
              <w:t>43–44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Model risk appetite and limits</w:t>
            </w:r>
          </w:p>
        </w:tc>
        <w:tc>
          <w:tcPr>
            <w:tcW w:type="dxa" w:w="1928"/>
          </w:tcPr>
          <w:p>
            <w:pPr>
              <w:pStyle w:val="TableText"/>
            </w:pPr>
            <w:r>
              <w:rPr>
                <w:rFonts w:ascii="Arial" w:hAnsi="Arial"/>
                <w:sz w:val="16"/>
              </w:rPr>
              <w:t>45–47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Policy, standards and consistency of application</w:t>
            </w:r>
          </w:p>
        </w:tc>
        <w:tc>
          <w:tcPr>
            <w:tcW w:type="dxa" w:w="1928"/>
            <w:shd w:val="clear" w:color="auto" w:fill="F4F6FA"/>
          </w:tcPr>
          <w:p>
            <w:pPr>
              <w:pStyle w:val="TableText"/>
            </w:pPr>
            <w:r>
              <w:rPr>
                <w:rFonts w:ascii="Arial" w:hAnsi="Arial"/>
                <w:sz w:val="16"/>
              </w:rPr>
              <w:t>48–49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Management information and escalation</w:t>
            </w:r>
          </w:p>
        </w:tc>
        <w:tc>
          <w:tcPr>
            <w:tcW w:type="dxa" w:w="1928"/>
          </w:tcPr>
          <w:p>
            <w:pPr>
              <w:pStyle w:val="TableText"/>
            </w:pPr>
            <w:r>
              <w:rPr>
                <w:rFonts w:ascii="Arial" w:hAnsi="Arial"/>
                <w:sz w:val="16"/>
              </w:rPr>
              <w:t>33–34, 87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identification and enterprise inventory</w:t>
            </w:r>
          </w:p>
        </w:tc>
        <w:tc>
          <w:tcPr>
            <w:tcW w:type="dxa" w:w="1928"/>
            <w:shd w:val="clear" w:color="auto" w:fill="F4F6FA"/>
          </w:tcPr>
          <w:p>
            <w:pPr>
              <w:pStyle w:val="TableText"/>
            </w:pPr>
            <w:r>
              <w:rPr>
                <w:rFonts w:ascii="Arial" w:hAnsi="Arial"/>
                <w:sz w:val="16"/>
              </w:rPr>
              <w:t>24, 50–54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Model risk tiering</w:t>
            </w:r>
          </w:p>
        </w:tc>
        <w:tc>
          <w:tcPr>
            <w:tcW w:type="dxa" w:w="1928"/>
          </w:tcPr>
          <w:p>
            <w:pPr>
              <w:pStyle w:val="TableText"/>
            </w:pPr>
            <w:r>
              <w:rPr>
                <w:rFonts w:ascii="Arial" w:hAnsi="Arial"/>
                <w:sz w:val="16"/>
              </w:rPr>
              <w:t>17–21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Reassessment and trigger events</w:t>
            </w:r>
          </w:p>
        </w:tc>
        <w:tc>
          <w:tcPr>
            <w:tcW w:type="dxa" w:w="1928"/>
            <w:shd w:val="clear" w:color="auto" w:fill="F4F6FA"/>
          </w:tcPr>
          <w:p>
            <w:pPr>
              <w:pStyle w:val="TableText"/>
            </w:pPr>
            <w:r>
              <w:rPr>
                <w:rFonts w:ascii="Arial" w:hAnsi="Arial"/>
                <w:sz w:val="16"/>
              </w:rPr>
              <w:t>27, 30–31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Conceptual soundness and development standards</w:t>
            </w:r>
          </w:p>
        </w:tc>
        <w:tc>
          <w:tcPr>
            <w:tcW w:type="dxa" w:w="1928"/>
          </w:tcPr>
          <w:p>
            <w:pPr>
              <w:pStyle w:val="TableText"/>
            </w:pPr>
            <w:r>
              <w:rPr>
                <w:rFonts w:ascii="Arial" w:hAnsi="Arial"/>
                <w:sz w:val="16"/>
              </w:rPr>
              <w:t>55–58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Data quality, provenance and appropriateness</w:t>
            </w:r>
          </w:p>
        </w:tc>
        <w:tc>
          <w:tcPr>
            <w:tcW w:type="dxa" w:w="1928"/>
            <w:shd w:val="clear" w:color="auto" w:fill="F4F6FA"/>
          </w:tcPr>
          <w:p>
            <w:pPr>
              <w:pStyle w:val="TableText"/>
            </w:pPr>
            <w:r>
              <w:rPr>
                <w:rFonts w:ascii="Arial" w:hAnsi="Arial"/>
                <w:sz w:val="16"/>
              </w:rPr>
              <w:t>59–62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Documentation sufficient for independent reconstruction</w:t>
            </w:r>
          </w:p>
        </w:tc>
        <w:tc>
          <w:tcPr>
            <w:tcW w:type="dxa" w:w="1928"/>
          </w:tcPr>
          <w:p>
            <w:pPr>
              <w:pStyle w:val="TableText"/>
            </w:pPr>
            <w:r>
              <w:rPr>
                <w:rFonts w:ascii="Arial" w:hAnsi="Arial"/>
                <w:sz w:val="16"/>
              </w:rPr>
              <w:t>63–64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Pre-implementation testing</w:t>
            </w:r>
          </w:p>
        </w:tc>
        <w:tc>
          <w:tcPr>
            <w:tcW w:type="dxa" w:w="1928"/>
            <w:shd w:val="clear" w:color="auto" w:fill="F4F6FA"/>
          </w:tcPr>
          <w:p>
            <w:pPr>
              <w:pStyle w:val="TableText"/>
            </w:pPr>
            <w:r>
              <w:rPr>
                <w:rFonts w:ascii="Arial" w:hAnsi="Arial"/>
                <w:sz w:val="16"/>
              </w:rPr>
              <w:t>65–67</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Independent validation</w:t>
            </w:r>
          </w:p>
        </w:tc>
        <w:tc>
          <w:tcPr>
            <w:tcW w:type="dxa" w:w="1928"/>
          </w:tcPr>
          <w:p>
            <w:pPr>
              <w:pStyle w:val="TableText"/>
            </w:pPr>
            <w:r>
              <w:rPr>
                <w:rFonts w:ascii="Arial" w:hAnsi="Arial"/>
                <w:sz w:val="16"/>
              </w:rPr>
              <w:t>75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Scope of validation</w:t>
            </w:r>
          </w:p>
        </w:tc>
        <w:tc>
          <w:tcPr>
            <w:tcW w:type="dxa" w:w="1928"/>
            <w:shd w:val="clear" w:color="auto" w:fill="F4F6FA"/>
          </w:tcPr>
          <w:p>
            <w:pPr>
              <w:pStyle w:val="TableText"/>
            </w:pPr>
            <w:r>
              <w:rPr>
                <w:rFonts w:ascii="Arial" w:hAnsi="Arial"/>
                <w:sz w:val="16"/>
              </w:rPr>
              <w:t>68–71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Effective challenge</w:t>
            </w:r>
          </w:p>
        </w:tc>
        <w:tc>
          <w:tcPr>
            <w:tcW w:type="dxa" w:w="1928"/>
          </w:tcPr>
          <w:p>
            <w:pPr>
              <w:pStyle w:val="TableText"/>
            </w:pPr>
            <w:r>
              <w:rPr>
                <w:rFonts w:ascii="Arial" w:hAnsi="Arial"/>
                <w:sz w:val="16"/>
              </w:rPr>
              <w:t>72–74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Approval and conditions of use</w:t>
            </w:r>
          </w:p>
        </w:tc>
        <w:tc>
          <w:tcPr>
            <w:tcW w:type="dxa" w:w="1928"/>
            <w:shd w:val="clear" w:color="auto" w:fill="F4F6FA"/>
          </w:tcPr>
          <w:p>
            <w:pPr>
              <w:pStyle w:val="TableText"/>
            </w:pPr>
            <w:r>
              <w:rPr>
                <w:rFonts w:ascii="Arial" w:hAnsi="Arial"/>
                <w:sz w:val="16"/>
              </w:rPr>
              <w:t>76–78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Implementation controls</w:t>
            </w:r>
          </w:p>
        </w:tc>
        <w:tc>
          <w:tcPr>
            <w:tcW w:type="dxa" w:w="1928"/>
          </w:tcPr>
          <w:p>
            <w:pPr>
              <w:pStyle w:val="TableText"/>
            </w:pPr>
            <w:r>
              <w:rPr>
                <w:rFonts w:ascii="Arial" w:hAnsi="Arial"/>
                <w:sz w:val="16"/>
              </w:rPr>
              <w:t>70, 79–80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Change management and re-approval</w:t>
            </w:r>
          </w:p>
        </w:tc>
        <w:tc>
          <w:tcPr>
            <w:tcW w:type="dxa" w:w="1928"/>
            <w:shd w:val="clear" w:color="auto" w:fill="F4F6FA"/>
          </w:tcPr>
          <w:p>
            <w:pPr>
              <w:pStyle w:val="TableText"/>
            </w:pPr>
            <w:r>
              <w:rPr>
                <w:rFonts w:ascii="Arial" w:hAnsi="Arial"/>
                <w:sz w:val="16"/>
              </w:rPr>
              <w:t>81–82, 105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Use consistent with approved purpose</w:t>
            </w:r>
          </w:p>
        </w:tc>
        <w:tc>
          <w:tcPr>
            <w:tcW w:type="dxa" w:w="1928"/>
          </w:tcPr>
          <w:p>
            <w:pPr>
              <w:pStyle w:val="TableText"/>
            </w:pPr>
            <w:r>
              <w:rPr>
                <w:rFonts w:ascii="Arial" w:hAnsi="Arial"/>
                <w:sz w:val="16"/>
              </w:rPr>
              <w:t>83–84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Overlays, adjustments and expert judgement</w:t>
            </w:r>
          </w:p>
        </w:tc>
        <w:tc>
          <w:tcPr>
            <w:tcW w:type="dxa" w:w="1928"/>
            <w:shd w:val="clear" w:color="auto" w:fill="F4F6FA"/>
          </w:tcPr>
          <w:p>
            <w:pPr>
              <w:pStyle w:val="TableText"/>
            </w:pPr>
            <w:r>
              <w:rPr>
                <w:rFonts w:ascii="Arial" w:hAnsi="Arial"/>
                <w:sz w:val="16"/>
              </w:rPr>
              <w:t>85–87, 123–125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Ongoing performance monitoring</w:t>
            </w:r>
          </w:p>
        </w:tc>
        <w:tc>
          <w:tcPr>
            <w:tcW w:type="dxa" w:w="1928"/>
          </w:tcPr>
          <w:p>
            <w:pPr>
              <w:pStyle w:val="TableText"/>
            </w:pPr>
            <w:r>
              <w:rPr>
                <w:rFonts w:ascii="Arial" w:hAnsi="Arial"/>
                <w:sz w:val="16"/>
              </w:rPr>
              <w:t>88–90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Limitations, compensating controls and remediation</w:t>
            </w:r>
          </w:p>
        </w:tc>
        <w:tc>
          <w:tcPr>
            <w:tcW w:type="dxa" w:w="1928"/>
            <w:shd w:val="clear" w:color="auto" w:fill="F4F6FA"/>
          </w:tcPr>
          <w:p>
            <w:pPr>
              <w:pStyle w:val="TableText"/>
            </w:pPr>
            <w:r>
              <w:rPr>
                <w:rFonts w:ascii="Arial" w:hAnsi="Arial"/>
                <w:sz w:val="16"/>
              </w:rPr>
              <w:t>78, 91–92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Restriction, suspension and decommissioning</w:t>
            </w:r>
          </w:p>
        </w:tc>
        <w:tc>
          <w:tcPr>
            <w:tcW w:type="dxa" w:w="1928"/>
          </w:tcPr>
          <w:p>
            <w:pPr>
              <w:pStyle w:val="TableText"/>
            </w:pPr>
            <w:r>
              <w:rPr>
                <w:rFonts w:ascii="Arial" w:hAnsi="Arial"/>
                <w:sz w:val="16"/>
              </w:rPr>
              <w:t>93–94</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Vendor and externally developed models</w:t>
            </w:r>
          </w:p>
        </w:tc>
        <w:tc>
          <w:tcPr>
            <w:tcW w:type="dxa" w:w="1928"/>
            <w:shd w:val="clear" w:color="auto" w:fill="F4F6FA"/>
          </w:tcPr>
          <w:p>
            <w:pPr>
              <w:pStyle w:val="TableText"/>
            </w:pPr>
            <w:r>
              <w:rPr>
                <w:rFonts w:ascii="Arial" w:hAnsi="Arial"/>
                <w:sz w:val="16"/>
              </w:rPr>
              <w:t>15, 75, 95–97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Information rights, concentration and substitutability</w:t>
            </w:r>
          </w:p>
        </w:tc>
        <w:tc>
          <w:tcPr>
            <w:tcW w:type="dxa" w:w="1928"/>
          </w:tcPr>
          <w:p>
            <w:pPr>
              <w:pStyle w:val="TableText"/>
            </w:pPr>
            <w:r>
              <w:rPr>
                <w:rFonts w:ascii="Arial" w:hAnsi="Arial"/>
                <w:sz w:val="16"/>
              </w:rPr>
              <w:t>98–100</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Additional controls for AI and machine learning models</w:t>
            </w:r>
          </w:p>
        </w:tc>
        <w:tc>
          <w:tcPr>
            <w:tcW w:type="dxa" w:w="1928"/>
            <w:shd w:val="clear" w:color="auto" w:fill="F4F6FA"/>
          </w:tcPr>
          <w:p>
            <w:pPr>
              <w:pStyle w:val="TableText"/>
            </w:pPr>
            <w:r>
              <w:rPr>
                <w:rFonts w:ascii="Arial" w:hAnsi="Arial"/>
                <w:sz w:val="16"/>
              </w:rPr>
              <w:t>62, 101–106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Boundary with the AI risk management framework</w:t>
            </w:r>
          </w:p>
        </w:tc>
        <w:tc>
          <w:tcPr>
            <w:tcW w:type="dxa" w:w="1928"/>
          </w:tcPr>
          <w:p>
            <w:pPr>
              <w:pStyle w:val="TableText"/>
            </w:pPr>
            <w:r>
              <w:rPr>
                <w:rFonts w:ascii="Arial" w:hAnsi="Arial"/>
                <w:sz w:val="16"/>
              </w:rPr>
              <w:t>107–109</w:t>
            </w:r>
          </w:p>
        </w:tc>
        <w:tc>
          <w:tcPr>
            <w:tcW w:type="dxa" w:w="1871"/>
          </w:tcPr>
          <w:p>
            <w:pPr>
              <w:pStyle w:val="TableText"/>
            </w:pPr>
            <w:r>
              <w:rPr>
                <w:rFonts w:ascii="Arial" w:hAnsi="Arial"/>
                <w:sz w:val="16"/>
              </w:rPr>
              <w:t>Policy choice</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Models used to determine regulatory capital</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Valuation and financial reporting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Expected credit loss and provisioning models</w:t>
            </w:r>
          </w:p>
        </w:tc>
        <w:tc>
          <w:tcPr>
            <w:tcW w:type="dxa" w:w="1928"/>
            <w:shd w:val="clear" w:color="auto" w:fill="F4F6FA"/>
          </w:tcPr>
          <w:p>
            <w:pPr>
              <w:pStyle w:val="TableText"/>
            </w:pPr>
            <w:r>
              <w:rPr>
                <w:rFonts w:ascii="Arial" w:hAnsi="Arial"/>
                <w:sz w:val="16"/>
              </w:rPr>
              <w:t>120–131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114–115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116–117, 126–127</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118–119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47, 135–137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138–139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M44</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74, 140–141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M45</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130–134, 142–143</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De minimis models</w:t>
            </w:r>
          </w:p>
        </w:tc>
        <w:tc>
          <w:tcPr>
            <w:tcW w:type="dxa" w:w="9184"/>
          </w:tcPr>
          <w:p>
            <w:pPr>
              <w:pStyle w:val="TableText"/>
            </w:pPr>
            <w:r>
              <w:rPr>
                <w:rFonts w:ascii="Arial" w:hAnsi="Arial"/>
                <w:sz w:val="15"/>
              </w:rPr>
              <w:t>OSFI E-23 (2027) Principle 2.3 (scope, scale and intensity commensurate with model risk) read with Principle 2.1 (identify and track all models); PRA SS1/23 Principle 1.3 Model tiering; US interagency guidance 2026 §III (models deemed immaterial)</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Board oversight of model risk</w:t>
            </w:r>
          </w:p>
        </w:tc>
        <w:tc>
          <w:tcPr>
            <w:tcW w:type="dxa" w:w="9184"/>
            <w:shd w:val="clear" w:color="auto" w:fill="F4F6FA"/>
          </w:tcPr>
          <w:p>
            <w:pPr>
              <w:pStyle w:val="TableText"/>
            </w:pPr>
            <w:r>
              <w:rPr>
                <w:rFonts w:ascii="Arial" w:hAnsi="Arial"/>
                <w:sz w:val="15"/>
              </w:rPr>
              <w:t>PRA SS1/23 Principle 2 (governance); US interagency guidance 2026 §VI; OSFI E-23 governance</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Senior accountability for the framework</w:t>
            </w:r>
          </w:p>
        </w:tc>
        <w:tc>
          <w:tcPr>
            <w:tcW w:type="dxa" w:w="9184"/>
          </w:tcPr>
          <w:p>
            <w:pPr>
              <w:pStyle w:val="TableText"/>
            </w:pPr>
            <w:r>
              <w:rPr>
                <w:rFonts w:ascii="Arial" w:hAnsi="Arial"/>
                <w:sz w:val="15"/>
              </w:rPr>
              <w:t>PRA SS1/23 Principle 2 (senior management function accountability); OSFI E-23 accountability</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Model ownership and defined lifecycle roles</w:t>
            </w:r>
          </w:p>
        </w:tc>
        <w:tc>
          <w:tcPr>
            <w:tcW w:type="dxa" w:w="9184"/>
            <w:shd w:val="clear" w:color="auto" w:fill="F4F6FA"/>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Capability, resourcing and independence</w:t>
            </w:r>
          </w:p>
        </w:tc>
        <w:tc>
          <w:tcPr>
            <w:tcW w:type="dxa" w:w="9184"/>
          </w:tcPr>
          <w:p>
            <w:pPr>
              <w:pStyle w:val="TableText"/>
            </w:pPr>
            <w:r>
              <w:rPr>
                <w:rFonts w:ascii="Arial" w:hAnsi="Arial"/>
                <w:sz w:val="15"/>
              </w:rPr>
              <w:t>US interagency guidance 2026 §V; PRA SS1/23 Principle 4.1; PRA SS1/23 Principle 4; ECB internal validation</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Integrated model risk management framework</w:t>
            </w:r>
          </w:p>
        </w:tc>
        <w:tc>
          <w:tcPr>
            <w:tcW w:type="dxa" w:w="9184"/>
            <w:shd w:val="clear" w:color="auto" w:fill="F4F6FA"/>
          </w:tcPr>
          <w:p>
            <w:pPr>
              <w:pStyle w:val="TableText"/>
            </w:pPr>
            <w:r>
              <w:rPr>
                <w:rFonts w:ascii="Arial" w:hAnsi="Arial"/>
                <w:sz w:val="15"/>
              </w:rPr>
              <w:t>PRA SS1/23 Principle 2; OSFI E-23 enterprise framework; US interagency guidance 2026 §VI</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Model risk appetite and limits</w:t>
            </w:r>
          </w:p>
        </w:tc>
        <w:tc>
          <w:tcPr>
            <w:tcW w:type="dxa" w:w="9184"/>
          </w:tcPr>
          <w:p>
            <w:pPr>
              <w:pStyle w:val="TableText"/>
            </w:pPr>
            <w:r>
              <w:rPr>
                <w:rFonts w:ascii="Arial" w:hAnsi="Arial"/>
                <w:sz w:val="15"/>
              </w:rPr>
              <w:t>PRA SS1/23 Principle 2 (risk appetite); OSFI E-23 framework aligned to risk appetite</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Policy, standards and consistency of application</w:t>
            </w:r>
          </w:p>
        </w:tc>
        <w:tc>
          <w:tcPr>
            <w:tcW w:type="dxa" w:w="9184"/>
            <w:shd w:val="clear" w:color="auto" w:fill="F4F6FA"/>
          </w:tcPr>
          <w:p>
            <w:pPr>
              <w:pStyle w:val="TableText"/>
            </w:pPr>
            <w:r>
              <w:rPr>
                <w:rFonts w:ascii="Arial" w:hAnsi="Arial"/>
                <w:sz w:val="15"/>
              </w:rPr>
              <w:t>US interagency guidance 2026 §VI policies; OSFI E-23 policies and procedures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Management information and escalation</w:t>
            </w:r>
          </w:p>
        </w:tc>
        <w:tc>
          <w:tcPr>
            <w:tcW w:type="dxa" w:w="9184"/>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identification and enterprise inventory</w:t>
            </w:r>
          </w:p>
        </w:tc>
        <w:tc>
          <w:tcPr>
            <w:tcW w:type="dxa" w:w="9184"/>
            <w:shd w:val="clear" w:color="auto" w:fill="F4F6FA"/>
          </w:tcPr>
          <w:p>
            <w:pPr>
              <w:pStyle w:val="TableText"/>
            </w:pPr>
            <w:r>
              <w:rPr>
                <w:rFonts w:ascii="Arial" w:hAnsi="Arial"/>
                <w:sz w:val="15"/>
              </w:rPr>
              <w:t>PRA SS1/23 Principle 1; US interagency guidance 2026 §VI inventory; OSFI E-23 model inventory</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Model risk tiering</w:t>
            </w:r>
          </w:p>
        </w:tc>
        <w:tc>
          <w:tcPr>
            <w:tcW w:type="dxa" w:w="9184"/>
          </w:tcPr>
          <w:p>
            <w:pPr>
              <w:pStyle w:val="TableText"/>
            </w:pPr>
            <w:r>
              <w:rPr>
                <w:rFonts w:ascii="Arial" w:hAnsi="Arial"/>
                <w:sz w:val="15"/>
              </w:rPr>
              <w:t>PRA SS1/23 Principle 1 (model risk classification); OSFI E-23 model risk rating</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Reassessment and trigger events</w:t>
            </w:r>
          </w:p>
        </w:tc>
        <w:tc>
          <w:tcPr>
            <w:tcW w:type="dxa" w:w="9184"/>
            <w:shd w:val="clear" w:color="auto" w:fill="F4F6FA"/>
          </w:tcPr>
          <w:p>
            <w:pPr>
              <w:pStyle w:val="TableText"/>
            </w:pPr>
            <w:r>
              <w:rPr>
                <w:rFonts w:ascii="Arial" w:hAnsi="Arial"/>
                <w:sz w:val="15"/>
              </w:rPr>
              <w:t>OSFI E-23 review triggers; ECB model change management</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Conceptual soundness and development standards</w:t>
            </w:r>
          </w:p>
        </w:tc>
        <w:tc>
          <w:tcPr>
            <w:tcW w:type="dxa" w:w="9184"/>
          </w:tcPr>
          <w:p>
            <w:pPr>
              <w:pStyle w:val="TableText"/>
            </w:pPr>
            <w:r>
              <w:rPr>
                <w:rFonts w:ascii="Arial" w:hAnsi="Arial"/>
                <w:sz w:val="15"/>
              </w:rPr>
              <w:t>US interagency guidance 2026 §IV; PRA SS1/23 Principle 3; ECB internal models general topics</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Data quality, provenance and appropriateness</w:t>
            </w:r>
          </w:p>
        </w:tc>
        <w:tc>
          <w:tcPr>
            <w:tcW w:type="dxa" w:w="9184"/>
            <w:shd w:val="clear" w:color="auto" w:fill="F4F6FA"/>
          </w:tcPr>
          <w:p>
            <w:pPr>
              <w:pStyle w:val="TableText"/>
            </w:pPr>
            <w:r>
              <w:rPr>
                <w:rFonts w:ascii="Arial" w:hAnsi="Arial"/>
                <w:sz w:val="15"/>
              </w:rPr>
              <w:t>BCBS 239 risk data aggregation capabilities; US interagency guidance 2026 §IV data; ECB data quality</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Documentation sufficient for independent reconstruction</w:t>
            </w:r>
          </w:p>
        </w:tc>
        <w:tc>
          <w:tcPr>
            <w:tcW w:type="dxa" w:w="9184"/>
          </w:tcPr>
          <w:p>
            <w:pPr>
              <w:pStyle w:val="TableText"/>
            </w:pPr>
            <w:r>
              <w:rPr>
                <w:rFonts w:ascii="Arial" w:hAnsi="Arial"/>
                <w:sz w:val="15"/>
              </w:rPr>
              <w:t>US interagency guidance 2026 §VI documentation; PRA SS1/23 Principle 3; ECB documentation requirements</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Pre-implementation testing</w:t>
            </w:r>
          </w:p>
        </w:tc>
        <w:tc>
          <w:tcPr>
            <w:tcW w:type="dxa" w:w="9184"/>
            <w:shd w:val="clear" w:color="auto" w:fill="F4F6FA"/>
          </w:tcPr>
          <w:p>
            <w:pPr>
              <w:pStyle w:val="TableText"/>
            </w:pPr>
            <w:r>
              <w:rPr>
                <w:rFonts w:ascii="Arial" w:hAnsi="Arial"/>
                <w:sz w:val="15"/>
              </w:rPr>
              <w:t>US interagency guidance 2026 §IV (model testing); PRA SS1/23 Principle 3; ECB pre-approval testing</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Independent validation</w:t>
            </w:r>
          </w:p>
        </w:tc>
        <w:tc>
          <w:tcPr>
            <w:tcW w:type="dxa" w:w="9184"/>
          </w:tcPr>
          <w:p>
            <w:pPr>
              <w:pStyle w:val="TableText"/>
            </w:pPr>
            <w:r>
              <w:rPr>
                <w:rFonts w:ascii="Arial" w:hAnsi="Arial"/>
                <w:sz w:val="15"/>
              </w:rPr>
              <w:t>US interagency guidance 2026 §V; PRA SS1/23 Principle 4; OSFI E-23 independent review; ECB internal validation</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Scope of validation</w:t>
            </w:r>
          </w:p>
        </w:tc>
        <w:tc>
          <w:tcPr>
            <w:tcW w:type="dxa" w:w="9184"/>
            <w:shd w:val="clear" w:color="auto" w:fill="F4F6FA"/>
          </w:tcPr>
          <w:p>
            <w:pPr>
              <w:pStyle w:val="TableText"/>
            </w:pPr>
            <w:r>
              <w:rPr>
                <w:rFonts w:ascii="Arial" w:hAnsi="Arial"/>
                <w:sz w:val="15"/>
              </w:rPr>
              <w:t>US interagency guidance 2026 §V (components of model validation);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Effective challenge</w:t>
            </w:r>
          </w:p>
        </w:tc>
        <w:tc>
          <w:tcPr>
            <w:tcW w:type="dxa" w:w="9184"/>
          </w:tcPr>
          <w:p>
            <w:pPr>
              <w:pStyle w:val="TableText"/>
            </w:pPr>
            <w:r>
              <w:rPr>
                <w:rFonts w:ascii="Arial" w:hAnsi="Arial"/>
                <w:sz w:val="15"/>
              </w:rPr>
              <w:t>US interagency guidance 2026 §III (effective challenge); PRA SS1/23 Principle 4</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Approval and conditions of use</w:t>
            </w:r>
          </w:p>
        </w:tc>
        <w:tc>
          <w:tcPr>
            <w:tcW w:type="dxa" w:w="9184"/>
            <w:shd w:val="clear" w:color="auto" w:fill="F4F6FA"/>
          </w:tcPr>
          <w:p>
            <w:pPr>
              <w:pStyle w:val="TableText"/>
            </w:pPr>
            <w:r>
              <w:rPr>
                <w:rFonts w:ascii="Arial" w:hAnsi="Arial"/>
                <w:sz w:val="15"/>
              </w:rPr>
              <w:t>OSFI E-23 approval; ECB model approval and use; US interagency guidance 2026 §VI</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Implementation controls</w:t>
            </w:r>
          </w:p>
        </w:tc>
        <w:tc>
          <w:tcPr>
            <w:tcW w:type="dxa" w:w="9184"/>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Change management and re-approval</w:t>
            </w:r>
          </w:p>
        </w:tc>
        <w:tc>
          <w:tcPr>
            <w:tcW w:type="dxa" w:w="9184"/>
            <w:shd w:val="clear" w:color="auto" w:fill="F4F6FA"/>
          </w:tcPr>
          <w:p>
            <w:pPr>
              <w:pStyle w:val="TableText"/>
            </w:pPr>
            <w:r>
              <w:rPr>
                <w:rFonts w:ascii="Arial" w:hAnsi="Arial"/>
                <w:sz w:val="15"/>
              </w:rPr>
              <w:t>ECB management of model changes; OSFI E-23 model changes; PRA SS1/23 Principle 3</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Use consistent with approved purpose</w:t>
            </w:r>
          </w:p>
        </w:tc>
        <w:tc>
          <w:tcPr>
            <w:tcW w:type="dxa" w:w="9184"/>
          </w:tcPr>
          <w:p>
            <w:pPr>
              <w:pStyle w:val="TableText"/>
            </w:pPr>
            <w:r>
              <w:rPr>
                <w:rFonts w:ascii="Arial" w:hAnsi="Arial"/>
                <w:sz w:val="15"/>
              </w:rPr>
              <w:t>US interagency guidance 2026 §IV (model use); PRA SS1/23 Principle 3; ECB use test</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Overlays, adjustments and expert judgement</w:t>
            </w:r>
          </w:p>
        </w:tc>
        <w:tc>
          <w:tcPr>
            <w:tcW w:type="dxa" w:w="9184"/>
            <w:shd w:val="clear" w:color="auto" w:fill="F4F6FA"/>
          </w:tcPr>
          <w:p>
            <w:pPr>
              <w:pStyle w:val="TableText"/>
            </w:pPr>
            <w:r>
              <w:rPr>
                <w:rFonts w:ascii="Arial" w:hAnsi="Arial"/>
                <w:sz w:val="15"/>
              </w:rPr>
              <w:t>PRA SS1/23 Principle 5 (post-model adjustments); ECB margin of conservatism</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Ongoing performance monitoring</w:t>
            </w:r>
          </w:p>
        </w:tc>
        <w:tc>
          <w:tcPr>
            <w:tcW w:type="dxa" w:w="9184"/>
          </w:tcPr>
          <w:p>
            <w:pPr>
              <w:pStyle w:val="TableText"/>
            </w:pPr>
            <w:r>
              <w:rPr>
                <w:rFonts w:ascii="Arial" w:hAnsi="Arial"/>
                <w:sz w:val="15"/>
              </w:rPr>
              <w:t>US interagency guidance 2026 §V (ongoing model monitoring); PRA SS1/23 Principle 3; OSFI E-23 monitoring</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Limitations, compensating controls and remediation</w:t>
            </w:r>
          </w:p>
        </w:tc>
        <w:tc>
          <w:tcPr>
            <w:tcW w:type="dxa" w:w="9184"/>
            <w:shd w:val="clear" w:color="auto" w:fill="F4F6FA"/>
          </w:tcPr>
          <w:p>
            <w:pPr>
              <w:pStyle w:val="TableText"/>
            </w:pPr>
            <w:r>
              <w:rPr>
                <w:rFonts w:ascii="Arial" w:hAnsi="Arial"/>
                <w:sz w:val="15"/>
              </w:rPr>
              <w:t>PRA SS1/23 Principle 5 (model risk mitigants); OSFI E-23 issue management</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Restriction, suspension and decommissioning</w:t>
            </w:r>
          </w:p>
        </w:tc>
        <w:tc>
          <w:tcPr>
            <w:tcW w:type="dxa" w:w="9184"/>
          </w:tcPr>
          <w:p>
            <w:pPr>
              <w:pStyle w:val="TableText"/>
            </w:pPr>
            <w:r>
              <w:rPr>
                <w:rFonts w:ascii="Arial" w:hAnsi="Arial"/>
                <w:sz w:val="15"/>
              </w:rPr>
              <w:t>OSFI E-23 decommissioning; CPS 230 critical operations and tolerance levels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Vendor and externally developed models</w:t>
            </w:r>
          </w:p>
        </w:tc>
        <w:tc>
          <w:tcPr>
            <w:tcW w:type="dxa" w:w="9184"/>
            <w:shd w:val="clear" w:color="auto" w:fill="F4F6FA"/>
          </w:tcPr>
          <w:p>
            <w:pPr>
              <w:pStyle w:val="TableText"/>
            </w:pPr>
            <w:r>
              <w:rPr>
                <w:rFonts w:ascii="Arial" w:hAnsi="Arial"/>
                <w:sz w:val="15"/>
              </w:rPr>
              <w:t>US interagency guidance 2026 §VII (vendor and other third-party products); OSFI E-23 third-party models; BCBS third-party principles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Information rights, concentration and substitutability</w:t>
            </w:r>
          </w:p>
        </w:tc>
        <w:tc>
          <w:tcPr>
            <w:tcW w:type="dxa" w:w="9184"/>
          </w:tcPr>
          <w:p>
            <w:pPr>
              <w:pStyle w:val="TableText"/>
            </w:pPr>
            <w:r>
              <w:rPr>
                <w:rFonts w:ascii="Arial" w:hAnsi="Arial"/>
                <w:sz w:val="15"/>
              </w:rPr>
              <w:t>CPS 230 service provider management; BCBS third-party principles; FSB concentration analysis</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Additional controls for AI and machine learning models</w:t>
            </w:r>
          </w:p>
        </w:tc>
        <w:tc>
          <w:tcPr>
            <w:tcW w:type="dxa" w:w="9184"/>
            <w:shd w:val="clear" w:color="auto" w:fill="F4F6FA"/>
          </w:tcPr>
          <w:p>
            <w:pPr>
              <w:pStyle w:val="TableText"/>
            </w:pPr>
            <w:r>
              <w:rPr>
                <w:rFonts w:ascii="Arial" w:hAnsi="Arial"/>
                <w:sz w:val="15"/>
              </w:rPr>
              <w:t>OSFI E-23 AI/ML considerations; MAS AI model risk management observations; BCBS digitalisation report</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Boundary with the AI risk management framework</w:t>
            </w:r>
          </w:p>
        </w:tc>
        <w:tc>
          <w:tcPr>
            <w:tcW w:type="dxa" w:w="9184"/>
          </w:tcPr>
          <w:p>
            <w:pPr>
              <w:pStyle w:val="TableText"/>
            </w:pPr>
            <w:r>
              <w:rPr>
                <w:rFonts w:ascii="Arial" w:hAnsi="Arial"/>
                <w:sz w:val="15"/>
              </w:rPr>
              <w:t>OSFI E-23 single framework for models including AI</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Models used to determine regulatory capital</w:t>
            </w:r>
          </w:p>
        </w:tc>
        <w:tc>
          <w:tcPr>
            <w:tcW w:type="dxa" w:w="9184"/>
            <w:shd w:val="clear" w:color="auto" w:fill="F4F6FA"/>
          </w:tcPr>
          <w:p>
            <w:pPr>
              <w:pStyle w:val="TableText"/>
            </w:pPr>
            <w:r>
              <w:rPr>
                <w:rFonts w:ascii="Arial" w:hAnsi="Arial"/>
                <w:sz w:val="15"/>
              </w:rPr>
              <w:t>ECB Guide to internal models; CRR internal model requirements; APS 113 model requirements</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Valuation and financial reporting models</w:t>
            </w:r>
          </w:p>
        </w:tc>
        <w:tc>
          <w:tcPr>
            <w:tcW w:type="dxa" w:w="9184"/>
          </w:tcPr>
          <w:p>
            <w:pPr>
              <w:pStyle w:val="TableText"/>
            </w:pPr>
            <w:r>
              <w:rPr>
                <w:rFonts w:ascii="Arial" w:hAnsi="Arial"/>
                <w:sz w:val="15"/>
              </w:rPr>
              <w:t>BCBS supervisory guidance on fair value practices; ECB internal models market risk</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Expected credit loss and provisioning models</w:t>
            </w:r>
          </w:p>
        </w:tc>
        <w:tc>
          <w:tcPr>
            <w:tcW w:type="dxa" w:w="9184"/>
            <w:shd w:val="clear" w:color="auto" w:fill="F4F6FA"/>
          </w:tcPr>
          <w:p>
            <w:pPr>
              <w:pStyle w:val="TableText"/>
            </w:pPr>
            <w:r>
              <w:rPr>
                <w:rFonts w:ascii="Arial" w:hAnsi="Arial"/>
                <w:sz w:val="15"/>
              </w:rPr>
              <w:t>BCBS d350 Principle 5 (ECL model validation), read with Principles 2, 4, 6 and 7; APS 220, Credit risk and accounting for expected credit losses; APG 220, which directs ADIs to have regard to the Basel guidance</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M44</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M45</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Guidance on credit risk and accounting for expected credit losses (d350, 18 December 2015)</w:t>
      </w:r>
    </w:p>
    <w:p>
      <w:pPr>
        <w:pStyle w:val="SourceNote"/>
      </w:pPr>
      <w:r>
        <w:t>Eleven principles. Principles 1 to 8 address banks; Principles 9 to 11 address supervisors. Principle 5 is the direct antecedent of the expected credit loss model validation obligation in APS 220, which transposes it in near-identical binding language. APG 220 directs ADIs to have regard to this guidance.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Banking supervisors should periodically evaluate the effectiveness of a bank's credit risk practices.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Banking supervisors should consider a bank's credit risk practices when assessing a bank's capital adequacy.</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BCBS-ECL-2015</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Guidance on credit risk and accounting for expected credit losses (BCBS d350)</w:t>
            </w:r>
          </w:p>
        </w:tc>
        <w:tc>
          <w:tcPr>
            <w:tcW w:type="dxa" w:w="2494"/>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2551"/>
          </w:tcPr>
          <w:p>
            <w:pPr>
              <w:pStyle w:val="TableText"/>
            </w:pPr>
            <w:r>
              <w:rPr>
                <w:rFonts w:ascii="Arial" w:hAnsi="Arial"/>
                <w:sz w:val="14"/>
              </w:rPr>
              <w:t>Banks and banking supervisors. Written around IFRS 9-type expected credit loss accounting frameworks.</w:t>
            </w:r>
          </w:p>
        </w:tc>
      </w:tr>
      <w:tr>
        <w:tc>
          <w:tcPr>
            <w:tcW w:type="dxa" w:w="964"/>
            <w:shd w:val="clear" w:color="auto" w:fill="F4F6FA"/>
          </w:tcPr>
          <w:p>
            <w:pPr>
              <w:pStyle w:val="TableText"/>
            </w:pPr>
            <w:r>
              <w:rPr>
                <w:rFonts w:ascii="Arial" w:hAnsi="Arial"/>
                <w:sz w:val="14"/>
              </w:rPr>
              <w:t>BCBS-CR-NL-2023</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credit risk issues (bcbs_nl32)</w:t>
            </w:r>
          </w:p>
        </w:tc>
        <w:tc>
          <w:tcPr>
            <w:tcW w:type="dxa" w:w="2494"/>
            <w:shd w:val="clear" w:color="auto" w:fill="F4F6FA"/>
          </w:tcPr>
          <w:p>
            <w:pPr>
              <w:pStyle w:val="TableText"/>
            </w:pPr>
            <w:r>
              <w:rPr>
                <w:rFonts w:ascii="Arial" w:hAnsi="Arial"/>
                <w:sz w:val="14"/>
              </w:rPr>
              <w:t>Supervisory newsletter. Not a standard and not binding.</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APRA-APS220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220 Credit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Authorised deposit-taking institutions.</w:t>
            </w:r>
          </w:p>
        </w:tc>
      </w:tr>
      <w:tr>
        <w:tc>
          <w:tcPr>
            <w:tcW w:type="dxa" w:w="964"/>
            <w:shd w:val="clear" w:color="auto" w:fill="F4F6FA"/>
          </w:tcPr>
          <w:p>
            <w:pPr>
              <w:pStyle w:val="TableText"/>
            </w:pPr>
            <w:r>
              <w:rPr>
                <w:rFonts w:ascii="Arial" w:hAnsi="Arial"/>
                <w:sz w:val="14"/>
              </w:rPr>
              <w:t>APRA-APG220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APG 220 Credit Risk Management</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ADIs implementing APS 220.</w:t>
            </w:r>
          </w:p>
        </w:tc>
      </w:tr>
      <w:tr>
        <w:tc>
          <w:tcPr>
            <w:tcW w:type="dxa" w:w="964"/>
          </w:tcPr>
          <w:p>
            <w:pPr>
              <w:pStyle w:val="TableText"/>
            </w:pPr>
            <w:r>
              <w:rPr>
                <w:rFonts w:ascii="Arial" w:hAnsi="Arial"/>
                <w:sz w:val="14"/>
              </w:rPr>
              <w:t>APRA-PROV-2023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Letter — Credit risk provisioning practices for locally incorporated authorised deposit-taking institutions</w:t>
            </w:r>
          </w:p>
        </w:tc>
        <w:tc>
          <w:tcPr>
            <w:tcW w:type="dxa" w:w="2494"/>
          </w:tcPr>
          <w:p>
            <w:pPr>
              <w:pStyle w:val="TableText"/>
            </w:pPr>
            <w:r>
              <w:rPr>
                <w:rFonts w:ascii="Arial" w:hAnsi="Arial"/>
                <w:sz w:val="14"/>
              </w:rPr>
              <w:t>Letter to industry. Supervisory observations and expectations; not a prudential standard.</w:t>
            </w:r>
          </w:p>
        </w:tc>
        <w:tc>
          <w:tcPr>
            <w:tcW w:type="dxa" w:w="2551"/>
          </w:tcPr>
          <w:p>
            <w:pPr>
              <w:pStyle w:val="TableText"/>
            </w:pPr>
            <w:r>
              <w:rPr>
                <w:rFonts w:ascii="Arial" w:hAnsi="Arial"/>
                <w:sz w:val="14"/>
              </w:rPr>
              <w:t>Locally incorporated ADIs.</w:t>
            </w:r>
          </w:p>
        </w:tc>
      </w:tr>
      <w:tr>
        <w:tc>
          <w:tcPr>
            <w:tcW w:type="dxa" w:w="964"/>
            <w:shd w:val="clear" w:color="auto" w:fill="F4F6FA"/>
          </w:tcPr>
          <w:p>
            <w:pPr>
              <w:pStyle w:val="TableText"/>
            </w:pPr>
            <w:r>
              <w:rPr>
                <w:rFonts w:ascii="Arial" w:hAnsi="Arial"/>
                <w:sz w:val="14"/>
              </w:rPr>
              <w:t>AASB-9</w:t>
            </w:r>
          </w:p>
        </w:tc>
        <w:tc>
          <w:tcPr>
            <w:tcW w:type="dxa" w:w="794"/>
            <w:shd w:val="clear" w:color="auto" w:fill="F4F6FA"/>
          </w:tcPr>
          <w:p>
            <w:pPr>
              <w:pStyle w:val="TableText"/>
            </w:pPr>
            <w:r>
              <w:rPr>
                <w:rFonts w:ascii="Arial" w:hAnsi="Arial"/>
                <w:sz w:val="14"/>
              </w:rPr>
              <w:t>AASB</w:t>
            </w:r>
          </w:p>
        </w:tc>
        <w:tc>
          <w:tcPr>
            <w:tcW w:type="dxa" w:w="2608"/>
            <w:shd w:val="clear" w:color="auto" w:fill="F4F6FA"/>
          </w:tcPr>
          <w:p>
            <w:pPr>
              <w:pStyle w:val="TableText"/>
            </w:pPr>
            <w:r>
              <w:rPr>
                <w:rFonts w:ascii="Arial" w:hAnsi="Arial"/>
                <w:sz w:val="14"/>
              </w:rPr>
              <w:t>AASB 9 Financial Instruments</w:t>
            </w:r>
          </w:p>
        </w:tc>
        <w:tc>
          <w:tcPr>
            <w:tcW w:type="dxa" w:w="2494"/>
            <w:shd w:val="clear" w:color="auto" w:fill="F4F6FA"/>
          </w:tcPr>
          <w:p>
            <w:pPr>
              <w:pStyle w:val="TableText"/>
            </w:pPr>
            <w:r>
              <w:rPr>
                <w:rFonts w:ascii="Arial" w:hAnsi="Arial"/>
                <w:sz w:val="14"/>
              </w:rPr>
              <w:t>Australian Accounting Standard. Binding for financial reporting purposes under the Corporations Act; not a prudential instrument.</w:t>
            </w:r>
          </w:p>
        </w:tc>
        <w:tc>
          <w:tcPr>
            <w:tcW w:type="dxa" w:w="2551"/>
            <w:shd w:val="clear" w:color="auto" w:fill="F4F6FA"/>
          </w:tcPr>
          <w:p>
            <w:pPr>
              <w:pStyle w:val="TableText"/>
            </w:pPr>
            <w:r>
              <w:rPr>
                <w:rFonts w:ascii="Arial" w:hAnsi="Arial"/>
                <w:sz w:val="14"/>
              </w:rPr>
              <w:t>Entities preparing financial statements under Australian Accounting Standards.</w:t>
            </w:r>
          </w:p>
        </w:tc>
      </w:tr>
      <w:tr>
        <w:tc>
          <w:tcPr>
            <w:tcW w:type="dxa" w:w="964"/>
          </w:tcPr>
          <w:p>
            <w:pPr>
              <w:pStyle w:val="TableText"/>
            </w:pPr>
            <w:r>
              <w:rPr>
                <w:rFonts w:ascii="Arial" w:hAnsi="Arial"/>
                <w:sz w:val="14"/>
              </w:rPr>
              <w:t>APRA-CPG110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110 Internal Capital Adequacy Assessment Process and Supervisory Review</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 conducting an ICAAP.</w:t>
            </w:r>
          </w:p>
        </w:tc>
      </w:tr>
      <w:tr>
        <w:tc>
          <w:tcPr>
            <w:tcW w:type="dxa" w:w="964"/>
            <w:shd w:val="clear" w:color="auto" w:fill="F4F6FA"/>
          </w:tcPr>
          <w:p>
            <w:pPr>
              <w:pStyle w:val="TableText"/>
            </w:pPr>
            <w:r>
              <w:rPr>
                <w:rFonts w:ascii="Arial" w:hAnsi="Arial"/>
                <w:sz w:val="14"/>
              </w:rPr>
              <w:t>APRA-CPS001</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001 Defined terms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APRA-regulated entities, as the source of cross-industry defined terms.</w:t>
            </w:r>
          </w:p>
        </w:tc>
      </w:tr>
      <w:tr>
        <w:tc>
          <w:tcPr>
            <w:tcW w:type="dxa" w:w="964"/>
          </w:tcPr>
          <w:p>
            <w:pPr>
              <w:pStyle w:val="TableText"/>
            </w:pPr>
            <w:r>
              <w:rPr>
                <w:rFonts w:ascii="Arial" w:hAnsi="Arial"/>
                <w:sz w:val="14"/>
              </w:rPr>
              <w:t>APRA-CPS220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220 Risk Management</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220. SPS 220 is the RSE licensee counterpart.</w:t>
            </w:r>
          </w:p>
        </w:tc>
      </w:tr>
      <w:tr>
        <w:tc>
          <w:tcPr>
            <w:tcW w:type="dxa" w:w="964"/>
            <w:shd w:val="clear" w:color="auto" w:fill="F4F6FA"/>
          </w:tcPr>
          <w:p>
            <w:pPr>
              <w:pStyle w:val="TableText"/>
            </w:pPr>
            <w:r>
              <w:rPr>
                <w:rFonts w:ascii="Arial" w:hAnsi="Arial"/>
                <w:sz w:val="14"/>
              </w:rPr>
              <w:t>APRA-SPS220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220 Risk Management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APRA-CPS230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230 Operational Risk Management</w:t>
            </w:r>
          </w:p>
        </w:tc>
        <w:tc>
          <w:tcPr>
            <w:tcW w:type="dxa" w:w="2494"/>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tcPr>
          <w:p>
            <w:pPr>
              <w:pStyle w:val="TableText"/>
            </w:pPr>
            <w:r>
              <w:rPr>
                <w:rFonts w:ascii="Arial" w:hAnsi="Arial"/>
                <w:sz w:val="14"/>
              </w:rPr>
              <w:t>APRA-regulated entities as defined in CPS 230.</w:t>
            </w:r>
          </w:p>
        </w:tc>
      </w:tr>
      <w:tr>
        <w:tc>
          <w:tcPr>
            <w:tcW w:type="dxa" w:w="964"/>
            <w:shd w:val="clear" w:color="auto" w:fill="F4F6FA"/>
          </w:tcPr>
          <w:p>
            <w:pPr>
              <w:pStyle w:val="TableText"/>
            </w:pPr>
            <w:r>
              <w:rPr>
                <w:rFonts w:ascii="Arial" w:hAnsi="Arial"/>
                <w:sz w:val="14"/>
              </w:rPr>
              <w:t>APRA-CPS234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234 Information Security</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234.</w:t>
            </w:r>
          </w:p>
        </w:tc>
      </w:tr>
      <w:tr>
        <w:tc>
          <w:tcPr>
            <w:tcW w:type="dxa" w:w="964"/>
          </w:tcPr>
          <w:p>
            <w:pPr>
              <w:pStyle w:val="TableText"/>
            </w:pPr>
            <w:r>
              <w:rPr>
                <w:rFonts w:ascii="Arial" w:hAnsi="Arial"/>
                <w:sz w:val="14"/>
              </w:rPr>
              <w:t>APRA-CPG235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235 Managing Data Risk</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w:t>
            </w:r>
          </w:p>
        </w:tc>
      </w:tr>
      <w:tr>
        <w:tc>
          <w:tcPr>
            <w:tcW w:type="dxa" w:w="964"/>
            <w:shd w:val="clear" w:color="auto" w:fill="F4F6FA"/>
          </w:tcPr>
          <w:p>
            <w:pPr>
              <w:pStyle w:val="TableText"/>
            </w:pPr>
            <w:r>
              <w:rPr>
                <w:rFonts w:ascii="Arial" w:hAnsi="Arial"/>
                <w:sz w:val="14"/>
              </w:rPr>
              <w:t>APRA-APS113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113 Capital Adequacy: Internal Ratings-based Approach to Credit Risk</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ADIs approved by APRA to use the internal ratings-based approach.</w:t>
            </w:r>
          </w:p>
        </w:tc>
      </w:tr>
      <w:tr>
        <w:tc>
          <w:tcPr>
            <w:tcW w:type="dxa" w:w="964"/>
          </w:tcPr>
          <w:p>
            <w:pPr>
              <w:pStyle w:val="TableText"/>
            </w:pPr>
            <w:r>
              <w:rPr>
                <w:rFonts w:ascii="Arial" w:hAnsi="Arial"/>
                <w:sz w:val="14"/>
              </w:rPr>
              <w:t>APRA-CPS320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320 Actuarial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Insurers as defined in the standard.</w:t>
            </w:r>
          </w:p>
        </w:tc>
      </w:tr>
      <w:tr>
        <w:tc>
          <w:tcPr>
            <w:tcW w:type="dxa" w:w="964"/>
            <w:shd w:val="clear" w:color="auto" w:fill="F4F6FA"/>
          </w:tcPr>
          <w:p>
            <w:pPr>
              <w:pStyle w:val="TableText"/>
            </w:pPr>
            <w:r>
              <w:rPr>
                <w:rFonts w:ascii="Arial" w:hAnsi="Arial"/>
                <w:sz w:val="14"/>
              </w:rPr>
              <w:t>APRA-SPS530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530 Investment Governance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APRA-HPS110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HPS 110 Capital Adequacy (private health insurance)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Private health insurers.</w:t>
            </w:r>
          </w:p>
        </w:tc>
      </w:tr>
      <w:tr>
        <w:tc>
          <w:tcPr>
            <w:tcW w:type="dxa" w:w="964"/>
            <w:shd w:val="clear" w:color="auto" w:fill="F4F6FA"/>
          </w:tcPr>
          <w:p>
            <w:pPr>
              <w:pStyle w:val="TableText"/>
            </w:pPr>
            <w:r>
              <w:rPr>
                <w:rFonts w:ascii="Arial" w:hAnsi="Arial"/>
                <w:sz w:val="14"/>
              </w:rPr>
              <w:t>APRA-SPS114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114 Operational Risk Financial Requirement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APRA-SPS515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515 Strategic Planning and Member Outcomes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