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M32</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M05, M14, M15, M16</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De minimis models</w:t>
      </w:r>
    </w:p>
    <w:p>
      <w:pPr>
        <w:pStyle w:val="GuideBody"/>
      </w:pPr>
      <w:r>
        <w:rPr>
          <w:b/>
        </w:rPr>
        <w:t xml:space="preserve">22. </w:t>
      </w:r>
      <w:r>
        <w:t>CPS XXXX permits an entity to determine that a model is de minimis and to apply to it only the identification, inventory, ownership, classification and reassessment requirements. The determination turns on consequence: whether the entity could be materially wrong, or materially unfair to a customer or beneficiary, if the model were wrong and the error went undetected.</w:t>
      </w:r>
    </w:p>
    <w:p>
      <w:pPr>
        <w:pStyle w:val="GuideBody"/>
      </w:pPr>
      <w:r>
        <w:rPr>
          <w:b/>
        </w:rPr>
        <w:t xml:space="preserve">23. </w:t>
      </w:r>
      <w:r>
        <w:t>It is not a determination about size, complexity, cost or how long a model has been in use. A simple model that has run without incident for a decade is not de minimis if an error in it would misstate a provision. Conversely a sophisticated model used to prioritise internal workflow may well be.</w:t>
      </w:r>
    </w:p>
    <w:p>
      <w:pPr>
        <w:pStyle w:val="SourceNote"/>
      </w:pPr>
      <w:r>
        <w:t>Source: US interagency guidance 2026 §III, which states that where models are deemed immaterial, model risk management may consist of identifying those models and monitoring the conditions under which their use may become material [SE]. OSFI Guideline E-23 (2027) Principle 2.3, read with Principle 2.1 [SE]. PRA SS1/23 Principle 1.3 Model tiering [SE].</w:t>
      </w:r>
    </w:p>
    <w:p>
      <w:pPr>
        <w:pStyle w:val="GuideBody"/>
      </w:pPr>
      <w:r>
        <w:rPr>
          <w:b/>
        </w:rPr>
        <w:t xml:space="preserve">24. </w:t>
      </w:r>
      <w:r>
        <w:t>A de minimis model stays in the inventory. That is the point on which the exception depends: an entity that has removed a model from the inventory cannot demonstrate that the determination was ever made, still less that it remains correct. Entities should treat the de minimis population as a reportable category rather than as an absence.</w:t>
      </w:r>
    </w:p>
    <w:p>
      <w:pPr>
        <w:pStyle w:val="GuideBody"/>
      </w:pPr>
      <w:r>
        <w:rPr>
          <w:b/>
        </w:rPr>
        <w:t xml:space="preserve">25. </w:t>
      </w:r>
      <w:r>
        <w:t>Certain models cannot be de minimis whatever the entity's assessment. These are models determining a regulatory capital requirement, a provision, a technical or insurance liability, a valuation reported in the financial statements, a unit price or another amount attributable to a customer or beneficiary, and models supporting a critical operation. The consequence of error in these classes is realised directly and is frequently irreversible.</w:t>
      </w:r>
    </w:p>
    <w:p>
      <w:pPr>
        <w:pStyle w:val="GuideBody"/>
      </w:pPr>
      <w:r>
        <w:rPr>
          <w:b/>
        </w:rPr>
        <w:t xml:space="preserve">26. </w:t>
      </w:r>
      <w:r>
        <w:t>Two failure modes deserve specific attention. The first is aggregation: models that are individually immaterial can matter collectively, particularly where they feed the same process, share a data source or rest on a common assumption. The entity should examine the population, not only the individual determinations. The second is disaggregation: splitting a model so that each component falls below the threshold, which defeats the exception rather than satisfying it.</w:t>
      </w:r>
    </w:p>
    <w:p>
      <w:pPr>
        <w:pStyle w:val="GuideBody"/>
      </w:pPr>
      <w:r>
        <w:rPr>
          <w:b/>
        </w:rPr>
        <w:t xml:space="preserve">27. </w:t>
      </w:r>
      <w:r>
        <w:t>A determination attaches to a use, not to a model in the abstract. Where a model that was de minimis for one purpose begins to be relied on for another, the determination should be revisited before the new use begins rather than at the next scheduled review.</w:t>
      </w:r>
    </w:p>
    <w:p>
      <w:pPr>
        <w:pStyle w:val="Verification"/>
      </w:pPr>
      <w:r>
        <w:t>⚠ Verification: the de minimis mechanism is drawn from the treatment of immaterial models in the 2026 United States interagency guidance and from OSFI Principles 2.1 and 2.3, which relieve low-risk models of the full lifecycle while keeping them within identification. The prohibited classes, the aggregate test and the anti-disaggregation limb are Australian drafting choices and are identified as a policy design choice in the assessment workbook.</w:t>
      </w:r>
    </w:p>
    <w:p>
      <w:pPr>
        <w:pStyle w:val="Heading2"/>
      </w:pPr>
      <w:r>
        <w:t>Controlled exceptions</w:t>
      </w:r>
    </w:p>
    <w:p>
      <w:pPr>
        <w:pStyle w:val="GuideBody"/>
      </w:pPr>
      <w:r>
        <w:rPr>
          <w:b/>
        </w:rPr>
        <w:t xml:space="preserve">28.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29.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30.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31.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M06, M07, M08, M09, M13</w:t>
            </w:r>
          </w:p>
        </w:tc>
      </w:tr>
    </w:tbl>
    <w:p>
      <w:pPr>
        <w:pStyle w:val="DocMeta"/>
      </w:pPr>
    </w:p>
    <w:p>
      <w:pPr>
        <w:pStyle w:val="GuideBody"/>
      </w:pPr>
      <w:r>
        <w:rPr>
          <w:b/>
        </w:rPr>
        <w:t xml:space="preserve">32.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33.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34.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35.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36.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37.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38.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39.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40.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41.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42.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M10, M11, M12, M41</w:t>
            </w:r>
          </w:p>
        </w:tc>
      </w:tr>
    </w:tbl>
    <w:p>
      <w:pPr>
        <w:pStyle w:val="DocMeta"/>
      </w:pPr>
    </w:p>
    <w:p>
      <w:pPr>
        <w:pStyle w:val="GuideBody"/>
      </w:pPr>
      <w:r>
        <w:rPr>
          <w:b/>
        </w:rPr>
        <w:t xml:space="preserve">43.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44.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45. </w:t>
      </w:r>
      <w:r>
        <w:t>A model risk appetite should be capable of being breached. An appetite expressed only as a statement of intent cannot be monitored and therefore cannot constrain behaviour.</w:t>
      </w:r>
    </w:p>
    <w:p>
      <w:pPr>
        <w:pStyle w:val="GuideBody"/>
      </w:pPr>
      <w:r>
        <w:rPr>
          <w:b/>
        </w:rPr>
        <w:t xml:space="preserve">46.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47.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48.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49.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M14</w:t>
            </w:r>
          </w:p>
        </w:tc>
      </w:tr>
    </w:tbl>
    <w:p>
      <w:pPr>
        <w:pStyle w:val="DocMeta"/>
      </w:pPr>
    </w:p>
    <w:p>
      <w:pPr>
        <w:pStyle w:val="GuideBody"/>
      </w:pPr>
      <w:r>
        <w:rPr>
          <w:b/>
        </w:rPr>
        <w:t xml:space="preserve">50.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51.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52.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53.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54.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M17, M18, M19, M34</w:t>
            </w:r>
          </w:p>
        </w:tc>
      </w:tr>
    </w:tbl>
    <w:p>
      <w:pPr>
        <w:pStyle w:val="DocMeta"/>
      </w:pPr>
    </w:p>
    <w:p>
      <w:pPr>
        <w:pStyle w:val="GuideBody"/>
      </w:pPr>
      <w:r>
        <w:rPr>
          <w:b/>
        </w:rPr>
        <w:t xml:space="preserve">55.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56.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57.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58.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59.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60.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61.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62.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63.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64.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M20, M21, M22, M23, M24, M25, M30, M32, M43</w:t>
            </w:r>
          </w:p>
        </w:tc>
      </w:tr>
    </w:tbl>
    <w:p>
      <w:pPr>
        <w:pStyle w:val="DocMeta"/>
      </w:pPr>
    </w:p>
    <w:p>
      <w:pPr>
        <w:pStyle w:val="GuideBody"/>
      </w:pPr>
      <w:r>
        <w:rPr>
          <w:b/>
        </w:rPr>
        <w:t xml:space="preserve">65.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66.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67.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68.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69.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70.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71.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72.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73.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74.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75.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76.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77.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78.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 M25, M26, M27, M28</w:t>
            </w:r>
          </w:p>
        </w:tc>
      </w:tr>
    </w:tbl>
    <w:p>
      <w:pPr>
        <w:pStyle w:val="DocMeta"/>
      </w:pPr>
    </w:p>
    <w:p>
      <w:pPr>
        <w:pStyle w:val="GuideBody"/>
      </w:pPr>
      <w:r>
        <w:rPr>
          <w:b/>
        </w:rPr>
        <w:t xml:space="preserve">79.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80.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81.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82.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83.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84.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85.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86.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87.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M29, M30, M31</w:t>
            </w:r>
          </w:p>
        </w:tc>
      </w:tr>
    </w:tbl>
    <w:p>
      <w:pPr>
        <w:pStyle w:val="DocMeta"/>
      </w:pPr>
    </w:p>
    <w:p>
      <w:pPr>
        <w:pStyle w:val="GuideBody"/>
      </w:pPr>
      <w:r>
        <w:rPr>
          <w:b/>
        </w:rPr>
        <w:t xml:space="preserve">88.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89.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90.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91.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92.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93.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94.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M32, M33</w:t>
            </w:r>
          </w:p>
        </w:tc>
      </w:tr>
    </w:tbl>
    <w:p>
      <w:pPr>
        <w:pStyle w:val="DocMeta"/>
      </w:pPr>
    </w:p>
    <w:p>
      <w:pPr>
        <w:pStyle w:val="GuideBody"/>
      </w:pPr>
      <w:r>
        <w:rPr>
          <w:b/>
        </w:rPr>
        <w:t xml:space="preserve">95.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96.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97.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98.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99.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100.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M26, M34, M35</w:t>
            </w:r>
          </w:p>
        </w:tc>
      </w:tr>
    </w:tbl>
    <w:p>
      <w:pPr>
        <w:pStyle w:val="DocMeta"/>
      </w:pPr>
    </w:p>
    <w:p>
      <w:pPr>
        <w:pStyle w:val="GuideBody"/>
      </w:pPr>
      <w:r>
        <w:rPr>
          <w:b/>
        </w:rPr>
        <w:t xml:space="preserve">101.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102.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103.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104.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105.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106.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107.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108.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109.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M36, M37, M38, M39, M40</w:t>
            </w:r>
          </w:p>
        </w:tc>
      </w:tr>
    </w:tbl>
    <w:p>
      <w:pPr>
        <w:pStyle w:val="DocMeta"/>
      </w:pPr>
    </w:p>
    <w:p>
      <w:pPr>
        <w:pStyle w:val="GuideBody"/>
      </w:pPr>
      <w:r>
        <w:rPr>
          <w:b/>
        </w:rPr>
        <w:t xml:space="preserve">110.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111.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112.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113.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114.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115.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116.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117.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118.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119.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M41, M42, M43, M44</w:t>
            </w:r>
          </w:p>
        </w:tc>
      </w:tr>
    </w:tbl>
    <w:p>
      <w:pPr>
        <w:pStyle w:val="DocMeta"/>
      </w:pPr>
    </w:p>
    <w:p>
      <w:pPr>
        <w:pStyle w:val="GuideBody"/>
      </w:pPr>
      <w:r>
        <w:rPr>
          <w:b/>
        </w:rPr>
        <w:t xml:space="preserve">120.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121. </w:t>
      </w:r>
      <w:r>
        <w:t>Where an entity concludes that no capital is warranted in respect of model risk, that conclusion should be reasoned and recorded. Reaching it by omission is not a conclusion.</w:t>
      </w:r>
    </w:p>
    <w:p>
      <w:pPr>
        <w:pStyle w:val="GuideBody"/>
      </w:pPr>
      <w:r>
        <w:rPr>
          <w:b/>
        </w:rPr>
        <w:t xml:space="preserve">122.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123.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124.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125.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126.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127.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128.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129.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130.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131.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28–29</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De minimis models</w:t>
            </w:r>
          </w:p>
        </w:tc>
        <w:tc>
          <w:tcPr>
            <w:tcW w:type="dxa" w:w="1928"/>
          </w:tcPr>
          <w:p>
            <w:pPr>
              <w:pStyle w:val="TableText"/>
            </w:pPr>
            <w:r>
              <w:rPr>
                <w:rFonts w:ascii="Arial" w:hAnsi="Arial"/>
                <w:sz w:val="16"/>
              </w:rPr>
              <w:t>22–27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Board oversight of model risk</w:t>
            </w:r>
          </w:p>
        </w:tc>
        <w:tc>
          <w:tcPr>
            <w:tcW w:type="dxa" w:w="1928"/>
            <w:shd w:val="clear" w:color="auto" w:fill="F4F6FA"/>
          </w:tcPr>
          <w:p>
            <w:pPr>
              <w:pStyle w:val="TableText"/>
            </w:pPr>
            <w:r>
              <w:rPr>
                <w:rFonts w:ascii="Arial" w:hAnsi="Arial"/>
                <w:sz w:val="16"/>
              </w:rPr>
              <w:t>32–33, 35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Senior accountability for the framework</w:t>
            </w:r>
          </w:p>
        </w:tc>
        <w:tc>
          <w:tcPr>
            <w:tcW w:type="dxa" w:w="1928"/>
          </w:tcPr>
          <w:p>
            <w:pPr>
              <w:pStyle w:val="TableText"/>
            </w:pPr>
            <w:r>
              <w:rPr>
                <w:rFonts w:ascii="Arial" w:hAnsi="Arial"/>
                <w:sz w:val="16"/>
              </w:rPr>
              <w:t>36–37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Model ownership and defined lifecycle roles</w:t>
            </w:r>
          </w:p>
        </w:tc>
        <w:tc>
          <w:tcPr>
            <w:tcW w:type="dxa" w:w="1928"/>
            <w:shd w:val="clear" w:color="auto" w:fill="F4F6FA"/>
          </w:tcPr>
          <w:p>
            <w:pPr>
              <w:pStyle w:val="TableText"/>
            </w:pPr>
            <w:r>
              <w:rPr>
                <w:rFonts w:ascii="Arial" w:hAnsi="Arial"/>
                <w:sz w:val="16"/>
              </w:rPr>
              <w:t>38–39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Capability, resourcing and independence</w:t>
            </w:r>
          </w:p>
        </w:tc>
        <w:tc>
          <w:tcPr>
            <w:tcW w:type="dxa" w:w="1928"/>
          </w:tcPr>
          <w:p>
            <w:pPr>
              <w:pStyle w:val="TableText"/>
            </w:pPr>
            <w:r>
              <w:rPr>
                <w:rFonts w:ascii="Arial" w:hAnsi="Arial"/>
                <w:sz w:val="16"/>
              </w:rPr>
              <w:t>40–42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Integrated model risk management framework</w:t>
            </w:r>
          </w:p>
        </w:tc>
        <w:tc>
          <w:tcPr>
            <w:tcW w:type="dxa" w:w="1928"/>
            <w:shd w:val="clear" w:color="auto" w:fill="F4F6FA"/>
          </w:tcPr>
          <w:p>
            <w:pPr>
              <w:pStyle w:val="TableText"/>
            </w:pPr>
            <w:r>
              <w:rPr>
                <w:rFonts w:ascii="Arial" w:hAnsi="Arial"/>
                <w:sz w:val="16"/>
              </w:rPr>
              <w:t>43–44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Model risk appetite and limits</w:t>
            </w:r>
          </w:p>
        </w:tc>
        <w:tc>
          <w:tcPr>
            <w:tcW w:type="dxa" w:w="1928"/>
          </w:tcPr>
          <w:p>
            <w:pPr>
              <w:pStyle w:val="TableText"/>
            </w:pPr>
            <w:r>
              <w:rPr>
                <w:rFonts w:ascii="Arial" w:hAnsi="Arial"/>
                <w:sz w:val="16"/>
              </w:rPr>
              <w:t>45–47</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Policy, standards and consistency of application</w:t>
            </w:r>
          </w:p>
        </w:tc>
        <w:tc>
          <w:tcPr>
            <w:tcW w:type="dxa" w:w="1928"/>
            <w:shd w:val="clear" w:color="auto" w:fill="F4F6FA"/>
          </w:tcPr>
          <w:p>
            <w:pPr>
              <w:pStyle w:val="TableText"/>
            </w:pPr>
            <w:r>
              <w:rPr>
                <w:rFonts w:ascii="Arial" w:hAnsi="Arial"/>
                <w:sz w:val="16"/>
              </w:rPr>
              <w:t>48–49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Management information and escalation</w:t>
            </w:r>
          </w:p>
        </w:tc>
        <w:tc>
          <w:tcPr>
            <w:tcW w:type="dxa" w:w="1928"/>
          </w:tcPr>
          <w:p>
            <w:pPr>
              <w:pStyle w:val="TableText"/>
            </w:pPr>
            <w:r>
              <w:rPr>
                <w:rFonts w:ascii="Arial" w:hAnsi="Arial"/>
                <w:sz w:val="16"/>
              </w:rPr>
              <w:t>33–34, 87</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identification and enterprise inventory</w:t>
            </w:r>
          </w:p>
        </w:tc>
        <w:tc>
          <w:tcPr>
            <w:tcW w:type="dxa" w:w="1928"/>
            <w:shd w:val="clear" w:color="auto" w:fill="F4F6FA"/>
          </w:tcPr>
          <w:p>
            <w:pPr>
              <w:pStyle w:val="TableText"/>
            </w:pPr>
            <w:r>
              <w:rPr>
                <w:rFonts w:ascii="Arial" w:hAnsi="Arial"/>
                <w:sz w:val="16"/>
              </w:rPr>
              <w:t>24, 50–54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Model risk tiering</w:t>
            </w:r>
          </w:p>
        </w:tc>
        <w:tc>
          <w:tcPr>
            <w:tcW w:type="dxa" w:w="1928"/>
          </w:tcPr>
          <w:p>
            <w:pPr>
              <w:pStyle w:val="TableText"/>
            </w:pPr>
            <w:r>
              <w:rPr>
                <w:rFonts w:ascii="Arial" w:hAnsi="Arial"/>
                <w:sz w:val="16"/>
              </w:rPr>
              <w:t>17–21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Reassessment and trigger events</w:t>
            </w:r>
          </w:p>
        </w:tc>
        <w:tc>
          <w:tcPr>
            <w:tcW w:type="dxa" w:w="1928"/>
            <w:shd w:val="clear" w:color="auto" w:fill="F4F6FA"/>
          </w:tcPr>
          <w:p>
            <w:pPr>
              <w:pStyle w:val="TableText"/>
            </w:pPr>
            <w:r>
              <w:rPr>
                <w:rFonts w:ascii="Arial" w:hAnsi="Arial"/>
                <w:sz w:val="16"/>
              </w:rPr>
              <w:t>27, 30–31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Conceptual soundness and development standards</w:t>
            </w:r>
          </w:p>
        </w:tc>
        <w:tc>
          <w:tcPr>
            <w:tcW w:type="dxa" w:w="1928"/>
          </w:tcPr>
          <w:p>
            <w:pPr>
              <w:pStyle w:val="TableText"/>
            </w:pPr>
            <w:r>
              <w:rPr>
                <w:rFonts w:ascii="Arial" w:hAnsi="Arial"/>
                <w:sz w:val="16"/>
              </w:rPr>
              <w:t>55–58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Data quality, provenance and appropriateness</w:t>
            </w:r>
          </w:p>
        </w:tc>
        <w:tc>
          <w:tcPr>
            <w:tcW w:type="dxa" w:w="1928"/>
            <w:shd w:val="clear" w:color="auto" w:fill="F4F6FA"/>
          </w:tcPr>
          <w:p>
            <w:pPr>
              <w:pStyle w:val="TableText"/>
            </w:pPr>
            <w:r>
              <w:rPr>
                <w:rFonts w:ascii="Arial" w:hAnsi="Arial"/>
                <w:sz w:val="16"/>
              </w:rPr>
              <w:t>59–62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Documentation sufficient for independent reconstruction</w:t>
            </w:r>
          </w:p>
        </w:tc>
        <w:tc>
          <w:tcPr>
            <w:tcW w:type="dxa" w:w="1928"/>
          </w:tcPr>
          <w:p>
            <w:pPr>
              <w:pStyle w:val="TableText"/>
            </w:pPr>
            <w:r>
              <w:rPr>
                <w:rFonts w:ascii="Arial" w:hAnsi="Arial"/>
                <w:sz w:val="16"/>
              </w:rPr>
              <w:t>63–64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Pre-implementation testing</w:t>
            </w:r>
          </w:p>
        </w:tc>
        <w:tc>
          <w:tcPr>
            <w:tcW w:type="dxa" w:w="1928"/>
            <w:shd w:val="clear" w:color="auto" w:fill="F4F6FA"/>
          </w:tcPr>
          <w:p>
            <w:pPr>
              <w:pStyle w:val="TableText"/>
            </w:pPr>
            <w:r>
              <w:rPr>
                <w:rFonts w:ascii="Arial" w:hAnsi="Arial"/>
                <w:sz w:val="16"/>
              </w:rPr>
              <w:t>65–67</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Independent validation</w:t>
            </w:r>
          </w:p>
        </w:tc>
        <w:tc>
          <w:tcPr>
            <w:tcW w:type="dxa" w:w="1928"/>
          </w:tcPr>
          <w:p>
            <w:pPr>
              <w:pStyle w:val="TableText"/>
            </w:pPr>
            <w:r>
              <w:rPr>
                <w:rFonts w:ascii="Arial" w:hAnsi="Arial"/>
                <w:sz w:val="16"/>
              </w:rPr>
              <w:t>75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Scope of validation</w:t>
            </w:r>
          </w:p>
        </w:tc>
        <w:tc>
          <w:tcPr>
            <w:tcW w:type="dxa" w:w="1928"/>
            <w:shd w:val="clear" w:color="auto" w:fill="F4F6FA"/>
          </w:tcPr>
          <w:p>
            <w:pPr>
              <w:pStyle w:val="TableText"/>
            </w:pPr>
            <w:r>
              <w:rPr>
                <w:rFonts w:ascii="Arial" w:hAnsi="Arial"/>
                <w:sz w:val="16"/>
              </w:rPr>
              <w:t>68–71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Effective challenge</w:t>
            </w:r>
          </w:p>
        </w:tc>
        <w:tc>
          <w:tcPr>
            <w:tcW w:type="dxa" w:w="1928"/>
          </w:tcPr>
          <w:p>
            <w:pPr>
              <w:pStyle w:val="TableText"/>
            </w:pPr>
            <w:r>
              <w:rPr>
                <w:rFonts w:ascii="Arial" w:hAnsi="Arial"/>
                <w:sz w:val="16"/>
              </w:rPr>
              <w:t>72–74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Approval and conditions of use</w:t>
            </w:r>
          </w:p>
        </w:tc>
        <w:tc>
          <w:tcPr>
            <w:tcW w:type="dxa" w:w="1928"/>
            <w:shd w:val="clear" w:color="auto" w:fill="F4F6FA"/>
          </w:tcPr>
          <w:p>
            <w:pPr>
              <w:pStyle w:val="TableText"/>
            </w:pPr>
            <w:r>
              <w:rPr>
                <w:rFonts w:ascii="Arial" w:hAnsi="Arial"/>
                <w:sz w:val="16"/>
              </w:rPr>
              <w:t>76–78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Implementation controls</w:t>
            </w:r>
          </w:p>
        </w:tc>
        <w:tc>
          <w:tcPr>
            <w:tcW w:type="dxa" w:w="1928"/>
          </w:tcPr>
          <w:p>
            <w:pPr>
              <w:pStyle w:val="TableText"/>
            </w:pPr>
            <w:r>
              <w:rPr>
                <w:rFonts w:ascii="Arial" w:hAnsi="Arial"/>
                <w:sz w:val="16"/>
              </w:rPr>
              <w:t>70, 79–80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Change management and re-approval</w:t>
            </w:r>
          </w:p>
        </w:tc>
        <w:tc>
          <w:tcPr>
            <w:tcW w:type="dxa" w:w="1928"/>
            <w:shd w:val="clear" w:color="auto" w:fill="F4F6FA"/>
          </w:tcPr>
          <w:p>
            <w:pPr>
              <w:pStyle w:val="TableText"/>
            </w:pPr>
            <w:r>
              <w:rPr>
                <w:rFonts w:ascii="Arial" w:hAnsi="Arial"/>
                <w:sz w:val="16"/>
              </w:rPr>
              <w:t>81–82, 105</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Use consistent with approved purpose</w:t>
            </w:r>
          </w:p>
        </w:tc>
        <w:tc>
          <w:tcPr>
            <w:tcW w:type="dxa" w:w="1928"/>
          </w:tcPr>
          <w:p>
            <w:pPr>
              <w:pStyle w:val="TableText"/>
            </w:pPr>
            <w:r>
              <w:rPr>
                <w:rFonts w:ascii="Arial" w:hAnsi="Arial"/>
                <w:sz w:val="16"/>
              </w:rPr>
              <w:t>83–84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Overlays, adjustments and expert judgement</w:t>
            </w:r>
          </w:p>
        </w:tc>
        <w:tc>
          <w:tcPr>
            <w:tcW w:type="dxa" w:w="1928"/>
            <w:shd w:val="clear" w:color="auto" w:fill="F4F6FA"/>
          </w:tcPr>
          <w:p>
            <w:pPr>
              <w:pStyle w:val="TableText"/>
            </w:pPr>
            <w:r>
              <w:rPr>
                <w:rFonts w:ascii="Arial" w:hAnsi="Arial"/>
                <w:sz w:val="16"/>
              </w:rPr>
              <w:t>85–87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Ongoing performance monitoring</w:t>
            </w:r>
          </w:p>
        </w:tc>
        <w:tc>
          <w:tcPr>
            <w:tcW w:type="dxa" w:w="1928"/>
          </w:tcPr>
          <w:p>
            <w:pPr>
              <w:pStyle w:val="TableText"/>
            </w:pPr>
            <w:r>
              <w:rPr>
                <w:rFonts w:ascii="Arial" w:hAnsi="Arial"/>
                <w:sz w:val="16"/>
              </w:rPr>
              <w:t>88–90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Limitations, compensating controls and remediation</w:t>
            </w:r>
          </w:p>
        </w:tc>
        <w:tc>
          <w:tcPr>
            <w:tcW w:type="dxa" w:w="1928"/>
            <w:shd w:val="clear" w:color="auto" w:fill="F4F6FA"/>
          </w:tcPr>
          <w:p>
            <w:pPr>
              <w:pStyle w:val="TableText"/>
            </w:pPr>
            <w:r>
              <w:rPr>
                <w:rFonts w:ascii="Arial" w:hAnsi="Arial"/>
                <w:sz w:val="16"/>
              </w:rPr>
              <w:t>78, 91–92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Restriction, suspension and decommissioning</w:t>
            </w:r>
          </w:p>
        </w:tc>
        <w:tc>
          <w:tcPr>
            <w:tcW w:type="dxa" w:w="1928"/>
          </w:tcPr>
          <w:p>
            <w:pPr>
              <w:pStyle w:val="TableText"/>
            </w:pPr>
            <w:r>
              <w:rPr>
                <w:rFonts w:ascii="Arial" w:hAnsi="Arial"/>
                <w:sz w:val="16"/>
              </w:rPr>
              <w:t>93–94</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Vendor and externally developed models</w:t>
            </w:r>
          </w:p>
        </w:tc>
        <w:tc>
          <w:tcPr>
            <w:tcW w:type="dxa" w:w="1928"/>
            <w:shd w:val="clear" w:color="auto" w:fill="F4F6FA"/>
          </w:tcPr>
          <w:p>
            <w:pPr>
              <w:pStyle w:val="TableText"/>
            </w:pPr>
            <w:r>
              <w:rPr>
                <w:rFonts w:ascii="Arial" w:hAnsi="Arial"/>
                <w:sz w:val="16"/>
              </w:rPr>
              <w:t>15, 75, 95–97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Information rights, concentration and substitutability</w:t>
            </w:r>
          </w:p>
        </w:tc>
        <w:tc>
          <w:tcPr>
            <w:tcW w:type="dxa" w:w="1928"/>
          </w:tcPr>
          <w:p>
            <w:pPr>
              <w:pStyle w:val="TableText"/>
            </w:pPr>
            <w:r>
              <w:rPr>
                <w:rFonts w:ascii="Arial" w:hAnsi="Arial"/>
                <w:sz w:val="16"/>
              </w:rPr>
              <w:t>98–100</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Additional controls for AI and machine learning models</w:t>
            </w:r>
          </w:p>
        </w:tc>
        <w:tc>
          <w:tcPr>
            <w:tcW w:type="dxa" w:w="1928"/>
            <w:shd w:val="clear" w:color="auto" w:fill="F4F6FA"/>
          </w:tcPr>
          <w:p>
            <w:pPr>
              <w:pStyle w:val="TableText"/>
            </w:pPr>
            <w:r>
              <w:rPr>
                <w:rFonts w:ascii="Arial" w:hAnsi="Arial"/>
                <w:sz w:val="16"/>
              </w:rPr>
              <w:t>62, 101–106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Boundary with the AI risk management framework</w:t>
            </w:r>
          </w:p>
        </w:tc>
        <w:tc>
          <w:tcPr>
            <w:tcW w:type="dxa" w:w="1928"/>
          </w:tcPr>
          <w:p>
            <w:pPr>
              <w:pStyle w:val="TableText"/>
            </w:pPr>
            <w:r>
              <w:rPr>
                <w:rFonts w:ascii="Arial" w:hAnsi="Arial"/>
                <w:sz w:val="16"/>
              </w:rPr>
              <w:t>107–109</w:t>
            </w:r>
          </w:p>
        </w:tc>
        <w:tc>
          <w:tcPr>
            <w:tcW w:type="dxa" w:w="1871"/>
          </w:tcPr>
          <w:p>
            <w:pPr>
              <w:pStyle w:val="TableText"/>
            </w:pPr>
            <w:r>
              <w:rPr>
                <w:rFonts w:ascii="Arial" w:hAnsi="Arial"/>
                <w:sz w:val="16"/>
              </w:rPr>
              <w:t>Policy choice</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Models used to determine regulatory capital</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Valuation and financial reporting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Actuarial, reserving and insurance liability models</w:t>
            </w:r>
          </w:p>
        </w:tc>
        <w:tc>
          <w:tcPr>
            <w:tcW w:type="dxa" w:w="1928"/>
            <w:shd w:val="clear" w:color="auto" w:fill="F4F6FA"/>
          </w:tcPr>
          <w:p>
            <w:pPr>
              <w:pStyle w:val="TableText"/>
            </w:pPr>
            <w:r>
              <w:rPr>
                <w:rFonts w:ascii="Arial" w:hAnsi="Arial"/>
                <w:sz w:val="16"/>
              </w:rPr>
              <w:t>114–115</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Models used by RSE licensees</w:t>
            </w:r>
          </w:p>
        </w:tc>
        <w:tc>
          <w:tcPr>
            <w:tcW w:type="dxa" w:w="1928"/>
          </w:tcPr>
          <w:p>
            <w:pPr>
              <w:pStyle w:val="TableText"/>
            </w:pPr>
            <w:r>
              <w:rPr>
                <w:rFonts w:ascii="Arial" w:hAnsi="Arial"/>
                <w:sz w:val="16"/>
              </w:rPr>
              <w:t>116–117</w:t>
            </w:r>
          </w:p>
        </w:tc>
        <w:tc>
          <w:tcPr>
            <w:tcW w:type="dxa" w:w="1871"/>
          </w:tcPr>
          <w:p>
            <w:pPr>
              <w:pStyle w:val="TableText"/>
            </w:pPr>
            <w:r>
              <w:rPr>
                <w:rFonts w:ascii="Arial" w:hAnsi="Arial"/>
                <w:sz w:val="16"/>
              </w:rPr>
              <w:t>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Stress testing, scenario and capital planning models</w:t>
            </w:r>
          </w:p>
        </w:tc>
        <w:tc>
          <w:tcPr>
            <w:tcW w:type="dxa" w:w="1928"/>
            <w:shd w:val="clear" w:color="auto" w:fill="F4F6FA"/>
          </w:tcPr>
          <w:p>
            <w:pPr>
              <w:pStyle w:val="TableText"/>
            </w:pPr>
            <w:r>
              <w:rPr>
                <w:rFonts w:ascii="Arial" w:hAnsi="Arial"/>
                <w:sz w:val="16"/>
              </w:rPr>
              <w:t>118–119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Aggregate assessment of model risk</w:t>
            </w:r>
          </w:p>
        </w:tc>
        <w:tc>
          <w:tcPr>
            <w:tcW w:type="dxa" w:w="1928"/>
          </w:tcPr>
          <w:p>
            <w:pPr>
              <w:pStyle w:val="TableText"/>
            </w:pPr>
            <w:r>
              <w:rPr>
                <w:rFonts w:ascii="Arial" w:hAnsi="Arial"/>
                <w:sz w:val="16"/>
              </w:rPr>
              <w:t>47, 120–122</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Records and reconstructability</w:t>
            </w:r>
          </w:p>
        </w:tc>
        <w:tc>
          <w:tcPr>
            <w:tcW w:type="dxa" w:w="1928"/>
            <w:shd w:val="clear" w:color="auto" w:fill="F4F6FA"/>
          </w:tcPr>
          <w:p>
            <w:pPr>
              <w:pStyle w:val="TableText"/>
            </w:pPr>
            <w:r>
              <w:rPr>
                <w:rFonts w:ascii="Arial" w:hAnsi="Arial"/>
                <w:sz w:val="16"/>
              </w:rPr>
              <w:t>123–124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Internal audit and independent assurance</w:t>
            </w:r>
          </w:p>
        </w:tc>
        <w:tc>
          <w:tcPr>
            <w:tcW w:type="dxa" w:w="1928"/>
          </w:tcPr>
          <w:p>
            <w:pPr>
              <w:pStyle w:val="TableText"/>
            </w:pPr>
            <w:r>
              <w:rPr>
                <w:rFonts w:ascii="Arial" w:hAnsi="Arial"/>
                <w:sz w:val="16"/>
              </w:rPr>
              <w:t>74, 125–126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M44</w:t>
            </w:r>
          </w:p>
        </w:tc>
        <w:tc>
          <w:tcPr>
            <w:tcW w:type="dxa" w:w="3628"/>
            <w:shd w:val="clear" w:color="auto" w:fill="F4F6FA"/>
          </w:tcPr>
          <w:p>
            <w:pPr>
              <w:pStyle w:val="TableText"/>
            </w:pPr>
            <w:r>
              <w:rPr>
                <w:rFonts w:ascii="Arial" w:hAnsi="Arial"/>
                <w:sz w:val="16"/>
              </w:rPr>
              <w:t>Notification and provision of information to APRA</w:t>
            </w:r>
          </w:p>
        </w:tc>
        <w:tc>
          <w:tcPr>
            <w:tcW w:type="dxa" w:w="1928"/>
            <w:shd w:val="clear" w:color="auto" w:fill="F4F6FA"/>
          </w:tcPr>
          <w:p>
            <w:pPr>
              <w:pStyle w:val="TableText"/>
            </w:pPr>
            <w:r>
              <w:rPr>
                <w:rFonts w:ascii="Arial" w:hAnsi="Arial"/>
                <w:sz w:val="16"/>
              </w:rPr>
              <w:t>127–128</w:t>
            </w:r>
          </w:p>
        </w:tc>
        <w:tc>
          <w:tcPr>
            <w:tcW w:type="dxa" w:w="1871"/>
            <w:shd w:val="clear" w:color="auto" w:fill="F4F6FA"/>
          </w:tcPr>
          <w:p>
            <w:pPr>
              <w:pStyle w:val="TableText"/>
            </w:pPr>
            <w:r>
              <w:rPr>
                <w:rFonts w:ascii="Arial" w:hAnsi="Arial"/>
                <w:sz w:val="16"/>
              </w:rPr>
              <w:t>Extracted + inferred; legal drafting required</w:t>
            </w:r>
          </w:p>
        </w:tc>
        <w:tc>
          <w:tcPr>
            <w:tcW w:type="dxa" w:w="1134"/>
            <w:shd w:val="clear" w:color="auto" w:fill="F4F6FA"/>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De minimis models</w:t>
            </w:r>
          </w:p>
        </w:tc>
        <w:tc>
          <w:tcPr>
            <w:tcW w:type="dxa" w:w="9184"/>
          </w:tcPr>
          <w:p>
            <w:pPr>
              <w:pStyle w:val="TableText"/>
            </w:pPr>
            <w:r>
              <w:rPr>
                <w:rFonts w:ascii="Arial" w:hAnsi="Arial"/>
                <w:sz w:val="15"/>
              </w:rPr>
              <w:t>OSFI E-23 (2027) Principle 2.3 (scope, scale and intensity commensurate with model risk) read with Principle 2.1 (identify and track all models); PRA SS1/23 Principle 1.3 Model tiering; US interagency guidance 2026 §III (models deemed immaterial)</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Board oversight of model risk</w:t>
            </w:r>
          </w:p>
        </w:tc>
        <w:tc>
          <w:tcPr>
            <w:tcW w:type="dxa" w:w="9184"/>
            <w:shd w:val="clear" w:color="auto" w:fill="F4F6FA"/>
          </w:tcPr>
          <w:p>
            <w:pPr>
              <w:pStyle w:val="TableText"/>
            </w:pPr>
            <w:r>
              <w:rPr>
                <w:rFonts w:ascii="Arial" w:hAnsi="Arial"/>
                <w:sz w:val="15"/>
              </w:rPr>
              <w:t>PRA SS1/23 Principle 2 (governance); US interagency guidance 2026 §VI; OSFI E-23 governance</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Senior accountability for the framework</w:t>
            </w:r>
          </w:p>
        </w:tc>
        <w:tc>
          <w:tcPr>
            <w:tcW w:type="dxa" w:w="9184"/>
          </w:tcPr>
          <w:p>
            <w:pPr>
              <w:pStyle w:val="TableText"/>
            </w:pPr>
            <w:r>
              <w:rPr>
                <w:rFonts w:ascii="Arial" w:hAnsi="Arial"/>
                <w:sz w:val="15"/>
              </w:rPr>
              <w:t>PRA SS1/23 Principle 2 (senior management function accountability); OSFI E-23 accountability</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Model ownership and defined lifecycle roles</w:t>
            </w:r>
          </w:p>
        </w:tc>
        <w:tc>
          <w:tcPr>
            <w:tcW w:type="dxa" w:w="9184"/>
            <w:shd w:val="clear" w:color="auto" w:fill="F4F6FA"/>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Capability, resourcing and independence</w:t>
            </w:r>
          </w:p>
        </w:tc>
        <w:tc>
          <w:tcPr>
            <w:tcW w:type="dxa" w:w="9184"/>
          </w:tcPr>
          <w:p>
            <w:pPr>
              <w:pStyle w:val="TableText"/>
            </w:pPr>
            <w:r>
              <w:rPr>
                <w:rFonts w:ascii="Arial" w:hAnsi="Arial"/>
                <w:sz w:val="15"/>
              </w:rPr>
              <w:t>US interagency guidance 2026 §V; PRA SS1/23 Principle 4.1; PRA SS1/23 Principle 4; ECB internal validation</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Integrated model risk management framework</w:t>
            </w:r>
          </w:p>
        </w:tc>
        <w:tc>
          <w:tcPr>
            <w:tcW w:type="dxa" w:w="9184"/>
            <w:shd w:val="clear" w:color="auto" w:fill="F4F6FA"/>
          </w:tcPr>
          <w:p>
            <w:pPr>
              <w:pStyle w:val="TableText"/>
            </w:pPr>
            <w:r>
              <w:rPr>
                <w:rFonts w:ascii="Arial" w:hAnsi="Arial"/>
                <w:sz w:val="15"/>
              </w:rPr>
              <w:t>PRA SS1/23 Principle 2; OSFI E-23 enterprise framework; US interagency guidance 2026 §VI</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Model risk appetite and limits</w:t>
            </w:r>
          </w:p>
        </w:tc>
        <w:tc>
          <w:tcPr>
            <w:tcW w:type="dxa" w:w="9184"/>
          </w:tcPr>
          <w:p>
            <w:pPr>
              <w:pStyle w:val="TableText"/>
            </w:pPr>
            <w:r>
              <w:rPr>
                <w:rFonts w:ascii="Arial" w:hAnsi="Arial"/>
                <w:sz w:val="15"/>
              </w:rPr>
              <w:t>PRA SS1/23 Principle 2 (risk appetite); OSFI E-23 framework aligned to risk appetite</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Policy, standards and consistency of application</w:t>
            </w:r>
          </w:p>
        </w:tc>
        <w:tc>
          <w:tcPr>
            <w:tcW w:type="dxa" w:w="9184"/>
            <w:shd w:val="clear" w:color="auto" w:fill="F4F6FA"/>
          </w:tcPr>
          <w:p>
            <w:pPr>
              <w:pStyle w:val="TableText"/>
            </w:pPr>
            <w:r>
              <w:rPr>
                <w:rFonts w:ascii="Arial" w:hAnsi="Arial"/>
                <w:sz w:val="15"/>
              </w:rPr>
              <w:t>US interagency guidance 2026 §VI policies; OSFI E-23 policies and procedures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Management information and escalation</w:t>
            </w:r>
          </w:p>
        </w:tc>
        <w:tc>
          <w:tcPr>
            <w:tcW w:type="dxa" w:w="9184"/>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identification and enterprise inventory</w:t>
            </w:r>
          </w:p>
        </w:tc>
        <w:tc>
          <w:tcPr>
            <w:tcW w:type="dxa" w:w="9184"/>
            <w:shd w:val="clear" w:color="auto" w:fill="F4F6FA"/>
          </w:tcPr>
          <w:p>
            <w:pPr>
              <w:pStyle w:val="TableText"/>
            </w:pPr>
            <w:r>
              <w:rPr>
                <w:rFonts w:ascii="Arial" w:hAnsi="Arial"/>
                <w:sz w:val="15"/>
              </w:rPr>
              <w:t>PRA SS1/23 Principle 1; US interagency guidance 2026 §VI inventory; OSFI E-23 model inventory</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Model risk tiering</w:t>
            </w:r>
          </w:p>
        </w:tc>
        <w:tc>
          <w:tcPr>
            <w:tcW w:type="dxa" w:w="9184"/>
          </w:tcPr>
          <w:p>
            <w:pPr>
              <w:pStyle w:val="TableText"/>
            </w:pPr>
            <w:r>
              <w:rPr>
                <w:rFonts w:ascii="Arial" w:hAnsi="Arial"/>
                <w:sz w:val="15"/>
              </w:rPr>
              <w:t>PRA SS1/23 Principle 1 (model risk classification); OSFI E-23 model risk rating</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Reassessment and trigger events</w:t>
            </w:r>
          </w:p>
        </w:tc>
        <w:tc>
          <w:tcPr>
            <w:tcW w:type="dxa" w:w="9184"/>
            <w:shd w:val="clear" w:color="auto" w:fill="F4F6FA"/>
          </w:tcPr>
          <w:p>
            <w:pPr>
              <w:pStyle w:val="TableText"/>
            </w:pPr>
            <w:r>
              <w:rPr>
                <w:rFonts w:ascii="Arial" w:hAnsi="Arial"/>
                <w:sz w:val="15"/>
              </w:rPr>
              <w:t>OSFI E-23 review triggers; ECB model change management</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Conceptual soundness and development standards</w:t>
            </w:r>
          </w:p>
        </w:tc>
        <w:tc>
          <w:tcPr>
            <w:tcW w:type="dxa" w:w="9184"/>
          </w:tcPr>
          <w:p>
            <w:pPr>
              <w:pStyle w:val="TableText"/>
            </w:pPr>
            <w:r>
              <w:rPr>
                <w:rFonts w:ascii="Arial" w:hAnsi="Arial"/>
                <w:sz w:val="15"/>
              </w:rPr>
              <w:t>US interagency guidance 2026 §IV; PRA SS1/23 Principle 3; ECB internal models general topics</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Data quality, provenance and appropriateness</w:t>
            </w:r>
          </w:p>
        </w:tc>
        <w:tc>
          <w:tcPr>
            <w:tcW w:type="dxa" w:w="9184"/>
            <w:shd w:val="clear" w:color="auto" w:fill="F4F6FA"/>
          </w:tcPr>
          <w:p>
            <w:pPr>
              <w:pStyle w:val="TableText"/>
            </w:pPr>
            <w:r>
              <w:rPr>
                <w:rFonts w:ascii="Arial" w:hAnsi="Arial"/>
                <w:sz w:val="15"/>
              </w:rPr>
              <w:t>BCBS 239 risk data aggregation capabilities; US interagency guidance 2026 §IV data; ECB data quality</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Documentation sufficient for independent reconstruction</w:t>
            </w:r>
          </w:p>
        </w:tc>
        <w:tc>
          <w:tcPr>
            <w:tcW w:type="dxa" w:w="9184"/>
          </w:tcPr>
          <w:p>
            <w:pPr>
              <w:pStyle w:val="TableText"/>
            </w:pPr>
            <w:r>
              <w:rPr>
                <w:rFonts w:ascii="Arial" w:hAnsi="Arial"/>
                <w:sz w:val="15"/>
              </w:rPr>
              <w:t>US interagency guidance 2026 §VI documentation; PRA SS1/23 Principle 3; ECB documentation requirements</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Pre-implementation testing</w:t>
            </w:r>
          </w:p>
        </w:tc>
        <w:tc>
          <w:tcPr>
            <w:tcW w:type="dxa" w:w="9184"/>
            <w:shd w:val="clear" w:color="auto" w:fill="F4F6FA"/>
          </w:tcPr>
          <w:p>
            <w:pPr>
              <w:pStyle w:val="TableText"/>
            </w:pPr>
            <w:r>
              <w:rPr>
                <w:rFonts w:ascii="Arial" w:hAnsi="Arial"/>
                <w:sz w:val="15"/>
              </w:rPr>
              <w:t>US interagency guidance 2026 §IV (model testing); PRA SS1/23 Principle 3; ECB pre-approval testing</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Independent validation</w:t>
            </w:r>
          </w:p>
        </w:tc>
        <w:tc>
          <w:tcPr>
            <w:tcW w:type="dxa" w:w="9184"/>
          </w:tcPr>
          <w:p>
            <w:pPr>
              <w:pStyle w:val="TableText"/>
            </w:pPr>
            <w:r>
              <w:rPr>
                <w:rFonts w:ascii="Arial" w:hAnsi="Arial"/>
                <w:sz w:val="15"/>
              </w:rPr>
              <w:t>US interagency guidance 2026 §V; PRA SS1/23 Principle 4; OSFI E-23 independent review; ECB internal validation</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Scope of validation</w:t>
            </w:r>
          </w:p>
        </w:tc>
        <w:tc>
          <w:tcPr>
            <w:tcW w:type="dxa" w:w="9184"/>
            <w:shd w:val="clear" w:color="auto" w:fill="F4F6FA"/>
          </w:tcPr>
          <w:p>
            <w:pPr>
              <w:pStyle w:val="TableText"/>
            </w:pPr>
            <w:r>
              <w:rPr>
                <w:rFonts w:ascii="Arial" w:hAnsi="Arial"/>
                <w:sz w:val="15"/>
              </w:rPr>
              <w:t>US interagency guidance 2026 §V (components of model validation);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Effective challenge</w:t>
            </w:r>
          </w:p>
        </w:tc>
        <w:tc>
          <w:tcPr>
            <w:tcW w:type="dxa" w:w="9184"/>
          </w:tcPr>
          <w:p>
            <w:pPr>
              <w:pStyle w:val="TableText"/>
            </w:pPr>
            <w:r>
              <w:rPr>
                <w:rFonts w:ascii="Arial" w:hAnsi="Arial"/>
                <w:sz w:val="15"/>
              </w:rPr>
              <w:t>US interagency guidance 2026 §III (effective challenge); PRA SS1/23 Principle 4</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Approval and conditions of use</w:t>
            </w:r>
          </w:p>
        </w:tc>
        <w:tc>
          <w:tcPr>
            <w:tcW w:type="dxa" w:w="9184"/>
            <w:shd w:val="clear" w:color="auto" w:fill="F4F6FA"/>
          </w:tcPr>
          <w:p>
            <w:pPr>
              <w:pStyle w:val="TableText"/>
            </w:pPr>
            <w:r>
              <w:rPr>
                <w:rFonts w:ascii="Arial" w:hAnsi="Arial"/>
                <w:sz w:val="15"/>
              </w:rPr>
              <w:t>OSFI E-23 approval; ECB model approval and use; US interagency guidance 2026 §VI</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Implementation controls</w:t>
            </w:r>
          </w:p>
        </w:tc>
        <w:tc>
          <w:tcPr>
            <w:tcW w:type="dxa" w:w="9184"/>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Change management and re-approval</w:t>
            </w:r>
          </w:p>
        </w:tc>
        <w:tc>
          <w:tcPr>
            <w:tcW w:type="dxa" w:w="9184"/>
            <w:shd w:val="clear" w:color="auto" w:fill="F4F6FA"/>
          </w:tcPr>
          <w:p>
            <w:pPr>
              <w:pStyle w:val="TableText"/>
            </w:pPr>
            <w:r>
              <w:rPr>
                <w:rFonts w:ascii="Arial" w:hAnsi="Arial"/>
                <w:sz w:val="15"/>
              </w:rPr>
              <w:t>ECB management of model changes; OSFI E-23 model changes; PRA SS1/23 Principle 3</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Use consistent with approved purpose</w:t>
            </w:r>
          </w:p>
        </w:tc>
        <w:tc>
          <w:tcPr>
            <w:tcW w:type="dxa" w:w="9184"/>
          </w:tcPr>
          <w:p>
            <w:pPr>
              <w:pStyle w:val="TableText"/>
            </w:pPr>
            <w:r>
              <w:rPr>
                <w:rFonts w:ascii="Arial" w:hAnsi="Arial"/>
                <w:sz w:val="15"/>
              </w:rPr>
              <w:t>US interagency guidance 2026 §IV (model use); PRA SS1/23 Principle 3; ECB use test</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Overlays, adjustments and expert judgement</w:t>
            </w:r>
          </w:p>
        </w:tc>
        <w:tc>
          <w:tcPr>
            <w:tcW w:type="dxa" w:w="9184"/>
            <w:shd w:val="clear" w:color="auto" w:fill="F4F6FA"/>
          </w:tcPr>
          <w:p>
            <w:pPr>
              <w:pStyle w:val="TableText"/>
            </w:pPr>
            <w:r>
              <w:rPr>
                <w:rFonts w:ascii="Arial" w:hAnsi="Arial"/>
                <w:sz w:val="15"/>
              </w:rPr>
              <w:t>PRA SS1/23 Principle 5 (post-model adjustments); ECB margin of conservatism</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Ongoing performance monitoring</w:t>
            </w:r>
          </w:p>
        </w:tc>
        <w:tc>
          <w:tcPr>
            <w:tcW w:type="dxa" w:w="9184"/>
          </w:tcPr>
          <w:p>
            <w:pPr>
              <w:pStyle w:val="TableText"/>
            </w:pPr>
            <w:r>
              <w:rPr>
                <w:rFonts w:ascii="Arial" w:hAnsi="Arial"/>
                <w:sz w:val="15"/>
              </w:rPr>
              <w:t>US interagency guidance 2026 §V (ongoing model monitoring); PRA SS1/23 Principle 3; OSFI E-23 monitoring</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Limitations, compensating controls and remediation</w:t>
            </w:r>
          </w:p>
        </w:tc>
        <w:tc>
          <w:tcPr>
            <w:tcW w:type="dxa" w:w="9184"/>
            <w:shd w:val="clear" w:color="auto" w:fill="F4F6FA"/>
          </w:tcPr>
          <w:p>
            <w:pPr>
              <w:pStyle w:val="TableText"/>
            </w:pPr>
            <w:r>
              <w:rPr>
                <w:rFonts w:ascii="Arial" w:hAnsi="Arial"/>
                <w:sz w:val="15"/>
              </w:rPr>
              <w:t>PRA SS1/23 Principle 5 (model risk mitigants); OSFI E-23 issue management</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Restriction, suspension and decommissioning</w:t>
            </w:r>
          </w:p>
        </w:tc>
        <w:tc>
          <w:tcPr>
            <w:tcW w:type="dxa" w:w="9184"/>
          </w:tcPr>
          <w:p>
            <w:pPr>
              <w:pStyle w:val="TableText"/>
            </w:pPr>
            <w:r>
              <w:rPr>
                <w:rFonts w:ascii="Arial" w:hAnsi="Arial"/>
                <w:sz w:val="15"/>
              </w:rPr>
              <w:t>OSFI E-23 decommissioning; CPS 230 critical operations and tolerance levels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Vendor and externally developed models</w:t>
            </w:r>
          </w:p>
        </w:tc>
        <w:tc>
          <w:tcPr>
            <w:tcW w:type="dxa" w:w="9184"/>
            <w:shd w:val="clear" w:color="auto" w:fill="F4F6FA"/>
          </w:tcPr>
          <w:p>
            <w:pPr>
              <w:pStyle w:val="TableText"/>
            </w:pPr>
            <w:r>
              <w:rPr>
                <w:rFonts w:ascii="Arial" w:hAnsi="Arial"/>
                <w:sz w:val="15"/>
              </w:rPr>
              <w:t>US interagency guidance 2026 §VII (vendor and other third-party products); OSFI E-23 third-party models; BCBS third-party principles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Information rights, concentration and substitutability</w:t>
            </w:r>
          </w:p>
        </w:tc>
        <w:tc>
          <w:tcPr>
            <w:tcW w:type="dxa" w:w="9184"/>
          </w:tcPr>
          <w:p>
            <w:pPr>
              <w:pStyle w:val="TableText"/>
            </w:pPr>
            <w:r>
              <w:rPr>
                <w:rFonts w:ascii="Arial" w:hAnsi="Arial"/>
                <w:sz w:val="15"/>
              </w:rPr>
              <w:t>CPS 230 service provider management; BCBS third-party principles; FSB concentration analysis</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Additional controls for AI and machine learning models</w:t>
            </w:r>
          </w:p>
        </w:tc>
        <w:tc>
          <w:tcPr>
            <w:tcW w:type="dxa" w:w="9184"/>
            <w:shd w:val="clear" w:color="auto" w:fill="F4F6FA"/>
          </w:tcPr>
          <w:p>
            <w:pPr>
              <w:pStyle w:val="TableText"/>
            </w:pPr>
            <w:r>
              <w:rPr>
                <w:rFonts w:ascii="Arial" w:hAnsi="Arial"/>
                <w:sz w:val="15"/>
              </w:rPr>
              <w:t>OSFI E-23 AI/ML considerations; MAS AI model risk management observations; BCBS digitalisation report</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Boundary with the AI risk management framework</w:t>
            </w:r>
          </w:p>
        </w:tc>
        <w:tc>
          <w:tcPr>
            <w:tcW w:type="dxa" w:w="9184"/>
          </w:tcPr>
          <w:p>
            <w:pPr>
              <w:pStyle w:val="TableText"/>
            </w:pPr>
            <w:r>
              <w:rPr>
                <w:rFonts w:ascii="Arial" w:hAnsi="Arial"/>
                <w:sz w:val="15"/>
              </w:rPr>
              <w:t>OSFI E-23 single framework for models including AI</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Models used to determine regulatory capital</w:t>
            </w:r>
          </w:p>
        </w:tc>
        <w:tc>
          <w:tcPr>
            <w:tcW w:type="dxa" w:w="9184"/>
            <w:shd w:val="clear" w:color="auto" w:fill="F4F6FA"/>
          </w:tcPr>
          <w:p>
            <w:pPr>
              <w:pStyle w:val="TableText"/>
            </w:pPr>
            <w:r>
              <w:rPr>
                <w:rFonts w:ascii="Arial" w:hAnsi="Arial"/>
                <w:sz w:val="15"/>
              </w:rPr>
              <w:t>ECB Guide to internal models; CRR internal model requirements; APS 113 model requirements</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Valuation and financial reporting models</w:t>
            </w:r>
          </w:p>
        </w:tc>
        <w:tc>
          <w:tcPr>
            <w:tcW w:type="dxa" w:w="9184"/>
          </w:tcPr>
          <w:p>
            <w:pPr>
              <w:pStyle w:val="TableText"/>
            </w:pPr>
            <w:r>
              <w:rPr>
                <w:rFonts w:ascii="Arial" w:hAnsi="Arial"/>
                <w:sz w:val="15"/>
              </w:rPr>
              <w:t>BCBS supervisory guidance on fair value practices; ECB internal models market risk</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Actuarial, reserving and insurance liability models</w:t>
            </w:r>
          </w:p>
        </w:tc>
        <w:tc>
          <w:tcPr>
            <w:tcW w:type="dxa" w:w="9184"/>
            <w:shd w:val="clear" w:color="auto" w:fill="F4F6FA"/>
          </w:tcPr>
          <w:p>
            <w:pPr>
              <w:pStyle w:val="TableText"/>
            </w:pPr>
            <w:r>
              <w:rPr>
                <w:rFonts w:ascii="Arial" w:hAnsi="Arial"/>
                <w:sz w:val="15"/>
              </w:rPr>
              <w:t>APRA Appointed Actuary framework; OSFI E-23 application to insurers</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Models used by RSE licensees</w:t>
            </w:r>
          </w:p>
        </w:tc>
        <w:tc>
          <w:tcPr>
            <w:tcW w:type="dxa" w:w="9184"/>
          </w:tcPr>
          <w:p>
            <w:pPr>
              <w:pStyle w:val="TableText"/>
            </w:pPr>
            <w:r>
              <w:rPr>
                <w:rFonts w:ascii="Arial" w:hAnsi="Arial"/>
                <w:sz w:val="15"/>
              </w:rPr>
              <w:t>SPS 530 investment governance; SPS 515 business performance review</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Stress testing, scenario and capital planning models</w:t>
            </w:r>
          </w:p>
        </w:tc>
        <w:tc>
          <w:tcPr>
            <w:tcW w:type="dxa" w:w="9184"/>
            <w:shd w:val="clear" w:color="auto" w:fill="F4F6FA"/>
          </w:tcPr>
          <w:p>
            <w:pPr>
              <w:pStyle w:val="TableText"/>
            </w:pPr>
            <w:r>
              <w:rPr>
                <w:rFonts w:ascii="Arial" w:hAnsi="Arial"/>
                <w:sz w:val="15"/>
              </w:rPr>
              <w:t>BCBS stress testing principles; PRA SS1/23 application to stress testing models</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Aggregate assessment of model risk</w:t>
            </w:r>
          </w:p>
        </w:tc>
        <w:tc>
          <w:tcPr>
            <w:tcW w:type="dxa" w:w="9184"/>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Records and reconstructability</w:t>
            </w:r>
          </w:p>
        </w:tc>
        <w:tc>
          <w:tcPr>
            <w:tcW w:type="dxa" w:w="9184"/>
            <w:shd w:val="clear" w:color="auto" w:fill="F4F6FA"/>
          </w:tcPr>
          <w:p>
            <w:pPr>
              <w:pStyle w:val="TableText"/>
            </w:pPr>
            <w:r>
              <w:rPr>
                <w:rFonts w:ascii="Arial" w:hAnsi="Arial"/>
                <w:sz w:val="15"/>
              </w:rPr>
              <w:t>US interagency guidance 2026 §VI documentation and records; ECB documentation</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Internal audit and independent assurance</w:t>
            </w:r>
          </w:p>
        </w:tc>
        <w:tc>
          <w:tcPr>
            <w:tcW w:type="dxa" w:w="9184"/>
          </w:tcPr>
          <w:p>
            <w:pPr>
              <w:pStyle w:val="TableText"/>
            </w:pPr>
            <w:r>
              <w:rPr>
                <w:rFonts w:ascii="Arial" w:hAnsi="Arial"/>
                <w:sz w:val="15"/>
              </w:rPr>
              <w:t>US interagency guidance 2026 §VI internal audit; ECB internal audit of internal models</w:t>
            </w:r>
          </w:p>
        </w:tc>
      </w:tr>
      <w:tr>
        <w:tc>
          <w:tcPr>
            <w:tcW w:type="dxa" w:w="1020"/>
            <w:shd w:val="clear" w:color="auto" w:fill="F4F6FA"/>
          </w:tcPr>
          <w:p>
            <w:pPr>
              <w:pStyle w:val="TableText"/>
            </w:pPr>
            <w:r>
              <w:rPr>
                <w:rFonts w:ascii="Arial" w:hAnsi="Arial"/>
                <w:sz w:val="15"/>
              </w:rPr>
              <w:t>M44</w:t>
            </w:r>
          </w:p>
        </w:tc>
        <w:tc>
          <w:tcPr>
            <w:tcW w:type="dxa" w:w="3402"/>
            <w:shd w:val="clear" w:color="auto" w:fill="F4F6FA"/>
          </w:tcPr>
          <w:p>
            <w:pPr>
              <w:pStyle w:val="TableText"/>
            </w:pPr>
            <w:r>
              <w:rPr>
                <w:rFonts w:ascii="Arial" w:hAnsi="Arial"/>
                <w:sz w:val="15"/>
              </w:rPr>
              <w:t>Notification and provision of information to APRA</w:t>
            </w:r>
          </w:p>
        </w:tc>
        <w:tc>
          <w:tcPr>
            <w:tcW w:type="dxa" w:w="9184"/>
            <w:shd w:val="clear" w:color="auto" w:fill="F4F6FA"/>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APRA-CPS220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220 Risk Management</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220. SPS 220 is the RSE licensee counterpart.</w:t>
            </w:r>
          </w:p>
        </w:tc>
      </w:tr>
      <w:tr>
        <w:tc>
          <w:tcPr>
            <w:tcW w:type="dxa" w:w="964"/>
            <w:shd w:val="clear" w:color="auto" w:fill="F4F6FA"/>
          </w:tcPr>
          <w:p>
            <w:pPr>
              <w:pStyle w:val="TableText"/>
            </w:pPr>
            <w:r>
              <w:rPr>
                <w:rFonts w:ascii="Arial" w:hAnsi="Arial"/>
                <w:sz w:val="14"/>
              </w:rPr>
              <w:t>APRA-SPS220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220 Risk Management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APRA-CPS230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230 Operational Risk Management</w:t>
            </w:r>
          </w:p>
        </w:tc>
        <w:tc>
          <w:tcPr>
            <w:tcW w:type="dxa" w:w="2494"/>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tcPr>
          <w:p>
            <w:pPr>
              <w:pStyle w:val="TableText"/>
            </w:pPr>
            <w:r>
              <w:rPr>
                <w:rFonts w:ascii="Arial" w:hAnsi="Arial"/>
                <w:sz w:val="14"/>
              </w:rPr>
              <w:t>APRA-regulated entities as defined in CPS 230.</w:t>
            </w:r>
          </w:p>
        </w:tc>
      </w:tr>
      <w:tr>
        <w:tc>
          <w:tcPr>
            <w:tcW w:type="dxa" w:w="964"/>
            <w:shd w:val="clear" w:color="auto" w:fill="F4F6FA"/>
          </w:tcPr>
          <w:p>
            <w:pPr>
              <w:pStyle w:val="TableText"/>
            </w:pPr>
            <w:r>
              <w:rPr>
                <w:rFonts w:ascii="Arial" w:hAnsi="Arial"/>
                <w:sz w:val="14"/>
              </w:rPr>
              <w:t>APRA-CPS234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234 Information Security</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234.</w:t>
            </w:r>
          </w:p>
        </w:tc>
      </w:tr>
      <w:tr>
        <w:tc>
          <w:tcPr>
            <w:tcW w:type="dxa" w:w="964"/>
          </w:tcPr>
          <w:p>
            <w:pPr>
              <w:pStyle w:val="TableText"/>
            </w:pPr>
            <w:r>
              <w:rPr>
                <w:rFonts w:ascii="Arial" w:hAnsi="Arial"/>
                <w:sz w:val="14"/>
              </w:rPr>
              <w:t>APRA-CPG235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235 Managing Data Risk</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w:t>
            </w:r>
          </w:p>
        </w:tc>
      </w:tr>
      <w:tr>
        <w:tc>
          <w:tcPr>
            <w:tcW w:type="dxa" w:w="964"/>
            <w:shd w:val="clear" w:color="auto" w:fill="F4F6FA"/>
          </w:tcPr>
          <w:p>
            <w:pPr>
              <w:pStyle w:val="TableText"/>
            </w:pPr>
            <w:r>
              <w:rPr>
                <w:rFonts w:ascii="Arial" w:hAnsi="Arial"/>
                <w:sz w:val="14"/>
              </w:rPr>
              <w:t>APRA-APS113</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APS 113 Capital Adequacy: Internal Ratings-based Approach to Credit Risk</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ADIs approved by APRA to use the internal ratings-based approach.</w:t>
            </w:r>
          </w:p>
        </w:tc>
      </w:tr>
      <w:tr>
        <w:tc>
          <w:tcPr>
            <w:tcW w:type="dxa" w:w="964"/>
          </w:tcPr>
          <w:p>
            <w:pPr>
              <w:pStyle w:val="TableText"/>
            </w:pPr>
            <w:r>
              <w:rPr>
                <w:rFonts w:ascii="Arial" w:hAnsi="Arial"/>
                <w:sz w:val="14"/>
              </w:rPr>
              <w:t>APRA-CPS320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320 Actuarial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Insurers as defined in the standard.</w:t>
            </w:r>
          </w:p>
        </w:tc>
      </w:tr>
      <w:tr>
        <w:tc>
          <w:tcPr>
            <w:tcW w:type="dxa" w:w="964"/>
            <w:shd w:val="clear" w:color="auto" w:fill="F4F6FA"/>
          </w:tcPr>
          <w:p>
            <w:pPr>
              <w:pStyle w:val="TableText"/>
            </w:pPr>
            <w:r>
              <w:rPr>
                <w:rFonts w:ascii="Arial" w:hAnsi="Arial"/>
                <w:sz w:val="14"/>
              </w:rPr>
              <w:t>APRA-SPS530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530 Investment Governance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APRA-HPS110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HPS 110 Capital Adequacy (private health insurance)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Private health insurers.</w:t>
            </w:r>
          </w:p>
        </w:tc>
      </w:tr>
      <w:tr>
        <w:tc>
          <w:tcPr>
            <w:tcW w:type="dxa" w:w="964"/>
            <w:shd w:val="clear" w:color="auto" w:fill="F4F6FA"/>
          </w:tcPr>
          <w:p>
            <w:pPr>
              <w:pStyle w:val="TableText"/>
            </w:pPr>
            <w:r>
              <w:rPr>
                <w:rFonts w:ascii="Arial" w:hAnsi="Arial"/>
                <w:sz w:val="14"/>
              </w:rPr>
              <w:t>APRA-SPS114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114 Operational Risk Financial Requirement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APRA-SPS515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515 Strategic Planning and Member Outcomes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