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24. Actuarial and insurance models  (M38)</w:t>
      </w:r>
    </w:p>
    <w:p>
      <w:pPr>
        <w:pStyle w:val="ContentsItem"/>
      </w:pPr>
      <w:r>
        <w:t>25. Superannuation models  (M39)</w:t>
      </w:r>
    </w:p>
    <w:p>
      <w:pPr>
        <w:pStyle w:val="ContentsItem"/>
      </w:pPr>
      <w:r>
        <w:t>26. Stress testing and scenario models  (M40)</w:t>
      </w:r>
    </w:p>
    <w:p>
      <w:pPr>
        <w:pStyle w:val="ContentsHead"/>
      </w:pPr>
      <w:r>
        <w:t>Part J — Aggregate risk, records and assurance</w:t>
      </w:r>
    </w:p>
    <w:p>
      <w:pPr>
        <w:pStyle w:val="ContentsItem"/>
      </w:pPr>
      <w:r>
        <w:t>27. Aggregate model risk  (M41)</w:t>
      </w:r>
    </w:p>
    <w:p>
      <w:pPr>
        <w:pStyle w:val="ContentsItem"/>
      </w:pPr>
      <w:r>
        <w:t>28. Records  (M42)</w:t>
      </w:r>
    </w:p>
    <w:p>
      <w:pPr>
        <w:pStyle w:val="ContentsItem"/>
      </w:pPr>
      <w:r>
        <w:t>29. Assurance  (M43)</w:t>
      </w:r>
    </w:p>
    <w:p>
      <w:pPr>
        <w:pStyle w:val="ContentsItem"/>
      </w:pPr>
      <w:r>
        <w:t>30. APRA engagement  (M44)</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ongoing model monitoring, and outcomes analysis comparing model outputs with corresponding actual outcomes to the extent those outcomes are observable and sufficient for the purpose,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112–113.</w:t>
      </w:r>
    </w:p>
    <w:p>
      <w:pPr>
        <w:pStyle w:val="Heading2"/>
      </w:pPr>
      <w:r>
        <w:t>24. Actuarial and insurance models</w:t>
      </w:r>
    </w:p>
    <w:p>
      <w:pPr>
        <w:pStyle w:val="Heading3"/>
      </w:pPr>
      <w:r>
        <w:t>M38 — Actuarial, reserving and insurance liability models</w:t>
      </w:r>
    </w:p>
    <w:p>
      <w:pPr>
        <w:pStyle w:val="Requirement"/>
      </w:pPr>
      <w:r>
        <w:rPr>
          <w:b/>
        </w:rPr>
        <w:t>M38.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M39 — Models used by RSE licensees</w:t>
      </w:r>
    </w:p>
    <w:p>
      <w:pPr>
        <w:pStyle w:val="Requirement"/>
      </w:pPr>
      <w:r>
        <w:rPr>
          <w:b/>
        </w:rPr>
        <w:t>M39.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w:t>
      </w:r>
    </w:p>
    <w:p>
      <w:pPr>
        <w:pStyle w:val="Heading2"/>
      </w:pPr>
      <w:r>
        <w:t>26. Stress testing and scenario models</w:t>
      </w:r>
    </w:p>
    <w:p>
      <w:pPr>
        <w:pStyle w:val="Heading3"/>
      </w:pPr>
      <w:r>
        <w:t>M40 — Stress testing, scenario and capital planning models</w:t>
      </w:r>
    </w:p>
    <w:p>
      <w:pPr>
        <w:pStyle w:val="Requirement"/>
      </w:pPr>
      <w:r>
        <w:rPr>
          <w:b/>
        </w:rPr>
        <w:t>M40.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w:t>
      </w:r>
    </w:p>
    <w:p>
      <w:pPr>
        <w:pStyle w:val="Heading1"/>
      </w:pPr>
      <w:r>
        <w:t>Part J — Aggregate risk, records and assurance</w:t>
      </w:r>
    </w:p>
    <w:p>
      <w:pPr>
        <w:pStyle w:val="Heading2"/>
      </w:pPr>
      <w:r>
        <w:t>27. Aggregate model risk</w:t>
      </w:r>
    </w:p>
    <w:p>
      <w:pPr>
        <w:pStyle w:val="Heading3"/>
      </w:pPr>
      <w:r>
        <w:t>M41 — Aggregate assessment of model risk</w:t>
      </w:r>
    </w:p>
    <w:p>
      <w:pPr>
        <w:pStyle w:val="Requirement"/>
      </w:pPr>
      <w:r>
        <w:rPr>
          <w:b/>
        </w:rPr>
        <w:t>M41.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120–122.</w:t>
      </w:r>
    </w:p>
    <w:p>
      <w:pPr>
        <w:pStyle w:val="Heading2"/>
      </w:pPr>
      <w:r>
        <w:t>28. Records</w:t>
      </w:r>
    </w:p>
    <w:p>
      <w:pPr>
        <w:pStyle w:val="Heading3"/>
      </w:pPr>
      <w:r>
        <w:t>M42 — Records and reconstructability</w:t>
      </w:r>
    </w:p>
    <w:p>
      <w:pPr>
        <w:pStyle w:val="Requirement"/>
      </w:pPr>
      <w:r>
        <w:rPr>
          <w:b/>
        </w:rPr>
        <w:t>M42.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123–124.</w:t>
      </w:r>
    </w:p>
    <w:p>
      <w:pPr>
        <w:pStyle w:val="Heading2"/>
      </w:pPr>
      <w:r>
        <w:t>29. Assurance</w:t>
      </w:r>
    </w:p>
    <w:p>
      <w:pPr>
        <w:pStyle w:val="Heading3"/>
      </w:pPr>
      <w:r>
        <w:t>M43 — Internal audit and independent assurance</w:t>
      </w:r>
    </w:p>
    <w:p>
      <w:pPr>
        <w:pStyle w:val="Requirement"/>
      </w:pPr>
      <w:r>
        <w:rPr>
          <w:b/>
        </w:rPr>
        <w:t>M43.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125–126.</w:t>
      </w:r>
    </w:p>
    <w:p>
      <w:pPr>
        <w:pStyle w:val="Heading2"/>
      </w:pPr>
      <w:r>
        <w:t>30. APRA engagement</w:t>
      </w:r>
    </w:p>
    <w:p>
      <w:pPr>
        <w:pStyle w:val="Heading3"/>
      </w:pPr>
      <w:r>
        <w:t>M44 — Notification and provision of information to APRA</w:t>
      </w:r>
    </w:p>
    <w:p>
      <w:pPr>
        <w:pStyle w:val="Requirement"/>
      </w:pPr>
      <w:r>
        <w:rPr>
          <w:b/>
        </w:rPr>
        <w:t>M44.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127–128.</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Aggregate model risk</w:t>
            </w:r>
          </w:p>
        </w:tc>
        <w:tc>
          <w:tcPr>
            <w:tcW w:type="dxa" w:w="1757"/>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tcPr>
          <w:p>
            <w:pPr>
              <w:pStyle w:val="TableText"/>
            </w:pPr>
            <w:r>
              <w:rPr>
                <w:rFonts w:ascii="Arial" w:hAnsi="Arial"/>
                <w:sz w:val="14"/>
              </w:rPr>
              <w:t>Principle 2.1 board responsibilities, covering understanding and reporting of model risk in aggregate.</w:t>
            </w:r>
          </w:p>
        </w:tc>
        <w:tc>
          <w:tcPr>
            <w:tcW w:type="dxa" w:w="1701"/>
          </w:tcPr>
          <w:p>
            <w:pPr>
              <w:pStyle w:val="TableText"/>
            </w:pPr>
            <w:r>
              <w:rPr>
                <w:rFonts w:ascii="Arial" w:hAnsi="Arial"/>
                <w:sz w:val="14"/>
              </w:rPr>
              <w:t>Outcome 1 requires model risk to be understood across the enterprise.</w:t>
            </w:r>
          </w:p>
        </w:tc>
        <w:tc>
          <w:tcPr>
            <w:tcW w:type="dxa" w:w="1701"/>
          </w:tcPr>
          <w:p>
            <w:pPr>
              <w:pStyle w:val="TableText"/>
            </w:pPr>
            <w:r>
              <w:rPr>
                <w:rFonts w:ascii="Arial" w:hAnsi="Arial"/>
                <w:sz w:val="14"/>
              </w:rPr>
              <w:t>Model risk considered in supervisory review.</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Internal audit and assurance</w:t>
            </w:r>
          </w:p>
        </w:tc>
        <w:tc>
          <w:tcPr>
            <w:tcW w:type="dxa" w:w="1757"/>
            <w:shd w:val="clear" w:color="auto" w:fill="F4F6FA"/>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shd w:val="clear" w:color="auto" w:fill="F4F6FA"/>
          </w:tcPr>
          <w:p>
            <w:pPr>
              <w:pStyle w:val="TableText"/>
            </w:pPr>
            <w:r>
              <w:rPr>
                <w:rFonts w:ascii="Arial" w:hAnsi="Arial"/>
                <w:sz w:val="14"/>
              </w:rPr>
              <w:t>Internal audit evaluates whether model risk management practices are rigorous and effective, rather than duplicating validation.</w:t>
            </w:r>
          </w:p>
        </w:tc>
        <w:tc>
          <w:tcPr>
            <w:tcW w:type="dxa" w:w="1701"/>
            <w:shd w:val="clear" w:color="auto" w:fill="F4F6FA"/>
          </w:tcPr>
          <w:p>
            <w:pPr>
              <w:pStyle w:val="TableText"/>
            </w:pPr>
            <w:r>
              <w:rPr>
                <w:rFonts w:ascii="Arial" w:hAnsi="Arial"/>
                <w:sz w:val="14"/>
              </w:rPr>
              <w:t>Principle 2.5 Internal Audit.</w:t>
            </w:r>
          </w:p>
        </w:tc>
        <w:tc>
          <w:tcPr>
            <w:tcW w:type="dxa" w:w="1701"/>
            <w:shd w:val="clear" w:color="auto" w:fill="F4F6FA"/>
          </w:tcPr>
          <w:p>
            <w:pPr>
              <w:pStyle w:val="TableText"/>
            </w:pPr>
            <w:r>
              <w:rPr>
                <w:rFonts w:ascii="Arial" w:hAnsi="Arial"/>
                <w:sz w:val="14"/>
              </w:rPr>
              <w:t>Addressed within governance expectations.</w:t>
            </w:r>
          </w:p>
        </w:tc>
        <w:tc>
          <w:tcPr>
            <w:tcW w:type="dxa" w:w="1701"/>
            <w:shd w:val="clear" w:color="auto" w:fill="F4F6FA"/>
          </w:tcPr>
          <w:p>
            <w:pPr>
              <w:pStyle w:val="TableText"/>
            </w:pPr>
            <w:r>
              <w:rPr>
                <w:rFonts w:ascii="Arial" w:hAnsi="Arial"/>
                <w:sz w:val="14"/>
              </w:rPr>
              <w:t>Section 7 internal audit; CRR Article 191 makes it binding.</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Three lines concepts apply generally.</w:t>
            </w:r>
          </w:p>
        </w:tc>
        <w:tc>
          <w:tcPr>
            <w:tcW w:type="dxa" w:w="1417"/>
            <w:shd w:val="clear" w:color="auto" w:fill="F4F6FA"/>
          </w:tcPr>
          <w:p>
            <w:pPr>
              <w:pStyle w:val="TableText"/>
            </w:pPr>
            <w:r>
              <w:rPr>
                <w:rFonts w:ascii="Arial" w:hAnsi="Arial"/>
                <w:sz w:val="14"/>
              </w:rPr>
              <w:t>Governance sound practices.</w:t>
            </w:r>
          </w:p>
        </w:tc>
      </w:tr>
      <w:tr>
        <w:tc>
          <w:tcPr>
            <w:tcW w:type="dxa" w:w="1417"/>
          </w:tcPr>
          <w:p>
            <w:pPr>
              <w:pStyle w:val="TableText"/>
            </w:pPr>
            <w:r>
              <w:rPr>
                <w:rFonts w:ascii="Arial" w:hAnsi="Arial"/>
                <w:sz w:val="14"/>
              </w:rPr>
              <w:t>Supervisory notification</w:t>
            </w:r>
          </w:p>
        </w:tc>
        <w:tc>
          <w:tcPr>
            <w:tcW w:type="dxa" w:w="1757"/>
          </w:tcPr>
          <w:p>
            <w:pPr>
              <w:pStyle w:val="TableText"/>
            </w:pPr>
            <w:r>
              <w:rPr>
                <w:rFonts w:ascii="Arial" w:hAnsi="Arial"/>
                <w:sz w:val="14"/>
              </w:rPr>
              <w:t>Cross-references CPS 230 and CPS 234 rather than creating a separate deadline, with early engagement expected on material model weakness.</w:t>
            </w:r>
          </w:p>
        </w:tc>
        <w:tc>
          <w:tcPr>
            <w:tcW w:type="dxa" w:w="1701"/>
          </w:tcPr>
          <w:p>
            <w:pPr>
              <w:pStyle w:val="TableText"/>
            </w:pPr>
            <w:r>
              <w:rPr>
                <w:rFonts w:ascii="Arial" w:hAnsi="Arial"/>
                <w:sz w:val="14"/>
              </w:rPr>
              <w:t>No model-specific notification requirement.</w:t>
            </w:r>
          </w:p>
        </w:tc>
        <w:tc>
          <w:tcPr>
            <w:tcW w:type="dxa" w:w="1701"/>
          </w:tcPr>
          <w:p>
            <w:pPr>
              <w:pStyle w:val="TableText"/>
            </w:pPr>
            <w:r>
              <w:rPr>
                <w:rFonts w:ascii="Arial" w:hAnsi="Arial"/>
                <w:sz w:val="14"/>
              </w:rPr>
              <w:t>Escalation within the framework; no notification rule.</w:t>
            </w:r>
          </w:p>
        </w:tc>
        <w:tc>
          <w:tcPr>
            <w:tcW w:type="dxa" w:w="1701"/>
          </w:tcPr>
          <w:p>
            <w:pPr>
              <w:pStyle w:val="TableText"/>
            </w:pPr>
            <w:r>
              <w:rPr>
                <w:rFonts w:ascii="Arial" w:hAnsi="Arial"/>
                <w:sz w:val="14"/>
              </w:rPr>
              <w:t>Supervisory engagement expected.</w:t>
            </w:r>
          </w:p>
        </w:tc>
        <w:tc>
          <w:tcPr>
            <w:tcW w:type="dxa" w:w="1701"/>
          </w:tcPr>
          <w:p>
            <w:pPr>
              <w:pStyle w:val="TableText"/>
            </w:pPr>
            <w:r>
              <w:rPr>
                <w:rFonts w:ascii="Arial" w:hAnsi="Arial"/>
                <w:sz w:val="14"/>
              </w:rPr>
              <w:t>Model change approval required from the supervisor for capital models.</w:t>
            </w:r>
          </w:p>
        </w:tc>
        <w:tc>
          <w:tcPr>
            <w:tcW w:type="dxa" w:w="1644"/>
          </w:tcPr>
          <w:p>
            <w:pPr>
              <w:pStyle w:val="TableText"/>
            </w:pPr>
            <w:r>
              <w:rPr>
                <w:rFonts w:ascii="Arial" w:hAnsi="Arial"/>
                <w:sz w:val="14"/>
              </w:rPr>
              <w:t>Notification for capital model changes.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APRA-CPS220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220 Risk Management</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https://www.apra.gov.au/standards/cps-220</w:t>
            </w:r>
          </w:p>
        </w:tc>
      </w:tr>
      <w:tr>
        <w:tc>
          <w:tcPr>
            <w:tcW w:type="dxa" w:w="1077"/>
            <w:shd w:val="clear" w:color="auto" w:fill="F4F6FA"/>
          </w:tcPr>
          <w:p>
            <w:pPr>
              <w:pStyle w:val="TableText"/>
            </w:pPr>
            <w:r>
              <w:rPr>
                <w:rFonts w:ascii="Arial" w:hAnsi="Arial"/>
                <w:sz w:val="14"/>
              </w:rPr>
              <w:t>APRA-SPS220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220 Risk Management</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https://www.apra.gov.au/standards/sps-220</w:t>
            </w:r>
          </w:p>
        </w:tc>
      </w:tr>
      <w:tr>
        <w:tc>
          <w:tcPr>
            <w:tcW w:type="dxa" w:w="1077"/>
          </w:tcPr>
          <w:p>
            <w:pPr>
              <w:pStyle w:val="TableText"/>
            </w:pPr>
            <w:r>
              <w:rPr>
                <w:rFonts w:ascii="Arial" w:hAnsi="Arial"/>
                <w:sz w:val="14"/>
              </w:rPr>
              <w:t>APRA-CPS230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230 Operational Risk Management</w:t>
            </w:r>
          </w:p>
        </w:tc>
        <w:tc>
          <w:tcPr>
            <w:tcW w:type="dxa" w:w="1304"/>
          </w:tcPr>
          <w:p>
            <w:pPr>
              <w:pStyle w:val="TableText"/>
            </w:pPr>
            <w:r>
              <w:rPr>
                <w:rFonts w:ascii="Arial" w:hAnsi="Arial"/>
                <w:sz w:val="14"/>
              </w:rPr>
              <w:t>Determined 23 Apr 2026; commences 1 Jul 2026</w:t>
            </w:r>
          </w:p>
        </w:tc>
        <w:tc>
          <w:tcPr>
            <w:tcW w:type="dxa" w:w="1701"/>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tcPr>
          <w:p>
            <w:pPr>
              <w:pStyle w:val="TableText"/>
            </w:pPr>
            <w:r>
              <w:rPr>
                <w:rFonts w:ascii="Arial" w:hAnsi="Arial"/>
                <w:sz w:val="14"/>
              </w:rPr>
              <w:t>https://www.apra.gov.au/standards/cps-230</w:t>
            </w:r>
          </w:p>
        </w:tc>
      </w:tr>
      <w:tr>
        <w:tc>
          <w:tcPr>
            <w:tcW w:type="dxa" w:w="1077"/>
            <w:shd w:val="clear" w:color="auto" w:fill="F4F6FA"/>
          </w:tcPr>
          <w:p>
            <w:pPr>
              <w:pStyle w:val="TableText"/>
            </w:pPr>
            <w:r>
              <w:rPr>
                <w:rFonts w:ascii="Arial" w:hAnsi="Arial"/>
                <w:sz w:val="14"/>
              </w:rPr>
              <w:t>APRA-CPS234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234 Information Security</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https://www.apra.gov.au/standards/cps-234</w:t>
            </w:r>
          </w:p>
        </w:tc>
      </w:tr>
      <w:tr>
        <w:tc>
          <w:tcPr>
            <w:tcW w:type="dxa" w:w="1077"/>
          </w:tcPr>
          <w:p>
            <w:pPr>
              <w:pStyle w:val="TableText"/>
            </w:pPr>
            <w:r>
              <w:rPr>
                <w:rFonts w:ascii="Arial" w:hAnsi="Arial"/>
                <w:sz w:val="14"/>
              </w:rPr>
              <w:t>APRA-CPG235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Practice Guide CPG 235 Managing Data Risk</w:t>
            </w:r>
          </w:p>
        </w:tc>
        <w:tc>
          <w:tcPr>
            <w:tcW w:type="dxa" w:w="1304"/>
          </w:tcPr>
          <w:p>
            <w:pPr>
              <w:pStyle w:val="TableText"/>
            </w:pPr>
            <w:r>
              <w:rPr>
                <w:rFonts w:ascii="Arial" w:hAnsi="Arial"/>
                <w:sz w:val="14"/>
              </w:rPr>
              <w:t>Sep 2013</w:t>
            </w:r>
          </w:p>
        </w:tc>
        <w:tc>
          <w:tcPr>
            <w:tcW w:type="dxa" w:w="1701"/>
          </w:tcPr>
          <w:p>
            <w:pPr>
              <w:pStyle w:val="TableText"/>
            </w:pPr>
            <w:r>
              <w:rPr>
                <w:rFonts w:ascii="Arial" w:hAnsi="Arial"/>
                <w:sz w:val="14"/>
              </w:rPr>
              <w:t>Prudential practice guide. Non-enforceable guidance.</w:t>
            </w:r>
          </w:p>
        </w:tc>
        <w:tc>
          <w:tcPr>
            <w:tcW w:type="dxa" w:w="1984"/>
          </w:tcPr>
          <w:p>
            <w:pPr>
              <w:pStyle w:val="TableText"/>
            </w:pPr>
            <w:r>
              <w:rPr>
                <w:rFonts w:ascii="Arial" w:hAnsi="Arial"/>
                <w:sz w:val="14"/>
              </w:rPr>
              <w:t>https://www.apra.gov.au/system/files/Prudential-Practice-Guide-CPG-235-Managing-Data-Risk_1.pdf</w:t>
            </w:r>
          </w:p>
        </w:tc>
      </w:tr>
      <w:tr>
        <w:tc>
          <w:tcPr>
            <w:tcW w:type="dxa" w:w="1077"/>
            <w:shd w:val="clear" w:color="auto" w:fill="F4F6FA"/>
          </w:tcPr>
          <w:p>
            <w:pPr>
              <w:pStyle w:val="TableText"/>
            </w:pPr>
            <w:r>
              <w:rPr>
                <w:rFonts w:ascii="Arial" w:hAnsi="Arial"/>
                <w:sz w:val="14"/>
              </w:rPr>
              <w:t>APRA-APS113</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APS 113 Capital Adequacy: Internal Ratings-based Approach to Credit Risk</w:t>
            </w:r>
          </w:p>
        </w:tc>
        <w:tc>
          <w:tcPr>
            <w:tcW w:type="dxa" w:w="1304"/>
            <w:shd w:val="clear" w:color="auto" w:fill="F4F6FA"/>
          </w:tcPr>
          <w:p>
            <w:pPr>
              <w:pStyle w:val="TableText"/>
            </w:pPr>
            <w:r>
              <w:rPr>
                <w:rFonts w:ascii="Arial" w:hAnsi="Arial"/>
                <w:sz w:val="14"/>
              </w:rPr>
              <w:t>Released 4 Jun 2026; commenced 30 Jun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https://www.apra.gov.au/standards/aps-113</w:t>
            </w:r>
          </w:p>
        </w:tc>
      </w:tr>
      <w:tr>
        <w:tc>
          <w:tcPr>
            <w:tcW w:type="dxa" w:w="1077"/>
          </w:tcPr>
          <w:p>
            <w:pPr>
              <w:pStyle w:val="TableText"/>
            </w:pPr>
            <w:r>
              <w:rPr>
                <w:rFonts w:ascii="Arial" w:hAnsi="Arial"/>
                <w:sz w:val="14"/>
              </w:rPr>
              <w:t>APRA-CPS320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320 Actuarial and Related Matters</w:t>
            </w:r>
          </w:p>
        </w:tc>
        <w:tc>
          <w:tcPr>
            <w:tcW w:type="dxa" w:w="1304"/>
          </w:tcPr>
          <w:p>
            <w:pPr>
              <w:pStyle w:val="TableText"/>
            </w:pPr>
            <w:r>
              <w:rPr>
                <w:rFonts w:ascii="Arial" w:hAnsi="Arial"/>
                <w:sz w:val="14"/>
              </w:rPr>
              <w:t>Determined 29 Apr 2026; commenced 1 Jul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https://www.apra.gov.au/standards/cps-320</w:t>
            </w:r>
          </w:p>
        </w:tc>
      </w:tr>
      <w:tr>
        <w:tc>
          <w:tcPr>
            <w:tcW w:type="dxa" w:w="1077"/>
            <w:shd w:val="clear" w:color="auto" w:fill="F4F6FA"/>
          </w:tcPr>
          <w:p>
            <w:pPr>
              <w:pStyle w:val="TableText"/>
            </w:pPr>
            <w:r>
              <w:rPr>
                <w:rFonts w:ascii="Arial" w:hAnsi="Arial"/>
                <w:sz w:val="14"/>
              </w:rPr>
              <w:t>APRA-SPS530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530 Investment Governance</w:t>
            </w:r>
          </w:p>
        </w:tc>
        <w:tc>
          <w:tcPr>
            <w:tcW w:type="dxa" w:w="1304"/>
            <w:shd w:val="clear" w:color="auto" w:fill="F4F6FA"/>
          </w:tcPr>
          <w:p>
            <w:pPr>
              <w:pStyle w:val="TableText"/>
            </w:pPr>
            <w:r>
              <w:rPr>
                <w:rFonts w:ascii="Arial" w:hAnsi="Arial"/>
                <w:sz w:val="14"/>
              </w:rPr>
              <w:t>Commenced 1 Jan 2023</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https://www.apra.gov.au/standards/sps-530</w:t>
            </w:r>
          </w:p>
        </w:tc>
      </w:tr>
      <w:tr>
        <w:tc>
          <w:tcPr>
            <w:tcW w:type="dxa" w:w="1077"/>
          </w:tcPr>
          <w:p>
            <w:pPr>
              <w:pStyle w:val="TableText"/>
            </w:pPr>
            <w:r>
              <w:rPr>
                <w:rFonts w:ascii="Arial" w:hAnsi="Arial"/>
                <w:sz w:val="14"/>
              </w:rPr>
              <w:t>APRA-HPS110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HPS 110 Capital Adequacy (private health insurance)</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https://www.apra.gov.au/standards/hps-110</w:t>
            </w:r>
          </w:p>
        </w:tc>
      </w:tr>
      <w:tr>
        <w:tc>
          <w:tcPr>
            <w:tcW w:type="dxa" w:w="1077"/>
            <w:shd w:val="clear" w:color="auto" w:fill="F4F6FA"/>
          </w:tcPr>
          <w:p>
            <w:pPr>
              <w:pStyle w:val="TableText"/>
            </w:pPr>
            <w:r>
              <w:rPr>
                <w:rFonts w:ascii="Arial" w:hAnsi="Arial"/>
                <w:sz w:val="14"/>
              </w:rPr>
              <w:t>APRA-SPS114</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114 Operational Risk Financial Requirement</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https://www.apra.gov.au/standards/sps-114</w:t>
            </w:r>
          </w:p>
        </w:tc>
      </w:tr>
      <w:tr>
        <w:tc>
          <w:tcPr>
            <w:tcW w:type="dxa" w:w="1077"/>
          </w:tcPr>
          <w:p>
            <w:pPr>
              <w:pStyle w:val="TableText"/>
            </w:pPr>
            <w:r>
              <w:rPr>
                <w:rFonts w:ascii="Arial" w:hAnsi="Arial"/>
                <w:sz w:val="14"/>
              </w:rPr>
              <w:t>APRA-SPS515</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515 Strategic Planning and Member Outcomes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M39</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M42</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M44</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M39</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